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024" w:rsidRPr="00A4038A" w:rsidRDefault="00105024" w:rsidP="00C40203">
      <w:pPr>
        <w:outlineLvl w:val="0"/>
        <w:rPr>
          <w:rFonts w:ascii="Times New Roman" w:hAnsi="Times New Roman"/>
          <w:b/>
          <w:lang w:val="en-CA"/>
        </w:rPr>
      </w:pPr>
      <w:r w:rsidRPr="00A4038A">
        <w:rPr>
          <w:rFonts w:ascii="Times New Roman" w:hAnsi="Times New Roman"/>
          <w:b/>
          <w:sz w:val="28"/>
          <w:lang w:val="en-CA"/>
        </w:rPr>
        <w:t>The trajectory of indigeneity politics against land dispossession in Indonesia</w:t>
      </w:r>
    </w:p>
    <w:p w:rsidR="00105024" w:rsidRPr="00A4038A" w:rsidRDefault="00105024" w:rsidP="00105024">
      <w:pPr>
        <w:rPr>
          <w:rFonts w:ascii="Times New Roman" w:hAnsi="Times New Roman"/>
          <w:lang w:val="en-CA"/>
        </w:rPr>
      </w:pPr>
    </w:p>
    <w:p w:rsidR="00105024" w:rsidRPr="00A4038A" w:rsidRDefault="00105024" w:rsidP="00105024">
      <w:pPr>
        <w:rPr>
          <w:rFonts w:ascii="Times New Roman" w:hAnsi="Times New Roman"/>
          <w:i/>
          <w:lang w:val="en-CA"/>
        </w:rPr>
      </w:pPr>
      <w:bookmarkStart w:id="0" w:name="_GoBack"/>
      <w:bookmarkEnd w:id="0"/>
    </w:p>
    <w:p w:rsidR="00105024" w:rsidRPr="00A4038A" w:rsidRDefault="00105024" w:rsidP="00105024">
      <w:pPr>
        <w:rPr>
          <w:rFonts w:ascii="Times New Roman" w:hAnsi="Times New Roman"/>
        </w:rPr>
      </w:pPr>
    </w:p>
    <w:p w:rsidR="00105024" w:rsidRPr="00A4038A" w:rsidRDefault="00105024" w:rsidP="00105024">
      <w:pPr>
        <w:rPr>
          <w:rFonts w:ascii="Times New Roman" w:hAnsi="Times New Roman"/>
        </w:rPr>
      </w:pPr>
      <w:r w:rsidRPr="00A4038A">
        <w:rPr>
          <w:rFonts w:ascii="Times New Roman" w:hAnsi="Times New Roman"/>
        </w:rPr>
        <w:t xml:space="preserve">The systemic </w:t>
      </w:r>
      <w:r w:rsidR="00504B1F" w:rsidRPr="00A4038A">
        <w:rPr>
          <w:rFonts w:ascii="Times New Roman" w:hAnsi="Times New Roman"/>
        </w:rPr>
        <w:t xml:space="preserve">land dispossession </w:t>
      </w:r>
      <w:r w:rsidRPr="00A4038A">
        <w:rPr>
          <w:rFonts w:ascii="Times New Roman" w:hAnsi="Times New Roman"/>
        </w:rPr>
        <w:t xml:space="preserve">in Indonesia prompted by the </w:t>
      </w:r>
      <w:r w:rsidRPr="00A4038A">
        <w:rPr>
          <w:rFonts w:ascii="Times New Roman" w:hAnsi="Times New Roman"/>
          <w:i/>
        </w:rPr>
        <w:t>longue duree</w:t>
      </w:r>
      <w:r w:rsidRPr="00A4038A">
        <w:rPr>
          <w:rFonts w:ascii="Times New Roman" w:hAnsi="Times New Roman"/>
        </w:rPr>
        <w:t xml:space="preserve"> of legal machination back to the colonial era and pursued under the post-colonial state today. Under the </w:t>
      </w:r>
      <w:r w:rsidR="00505EBC" w:rsidRPr="00A4038A">
        <w:rPr>
          <w:rFonts w:ascii="Times New Roman" w:hAnsi="Times New Roman"/>
        </w:rPr>
        <w:t>New Order authoritarian regime</w:t>
      </w:r>
      <w:r w:rsidRPr="00A4038A">
        <w:rPr>
          <w:rFonts w:ascii="Times New Roman" w:hAnsi="Times New Roman"/>
        </w:rPr>
        <w:t>, the state endorsed terra-nullification of the customary territories had been the basis for the stipulation of state forest (</w:t>
      </w:r>
      <w:r w:rsidRPr="00A4038A">
        <w:rPr>
          <w:rFonts w:ascii="Times New Roman" w:hAnsi="Times New Roman"/>
          <w:i/>
        </w:rPr>
        <w:t>hutannegara</w:t>
      </w:r>
      <w:r w:rsidRPr="00A4038A">
        <w:rPr>
          <w:rFonts w:ascii="Times New Roman" w:hAnsi="Times New Roman"/>
        </w:rPr>
        <w:t xml:space="preserve">). It is a precondition to authorize forest commodification through the forest extractive license to state and private entities. The precariousness of the continuous dispossession and the opening-up of political opportunities after the fall of the General Suharto led regime </w:t>
      </w:r>
      <w:r w:rsidR="00B76CEF" w:rsidRPr="00A4038A">
        <w:rPr>
          <w:rFonts w:ascii="Times New Roman" w:hAnsi="Times New Roman"/>
        </w:rPr>
        <w:t xml:space="preserve">in 1998 </w:t>
      </w:r>
      <w:r w:rsidRPr="00A4038A">
        <w:rPr>
          <w:rFonts w:ascii="Times New Roman" w:hAnsi="Times New Roman"/>
        </w:rPr>
        <w:t xml:space="preserve">generated a new phase for the struggles of the customary groups in different parts of the archipelago. The establishment of </w:t>
      </w:r>
      <w:r w:rsidRPr="00A4038A">
        <w:rPr>
          <w:rFonts w:ascii="Times New Roman" w:hAnsi="Times New Roman"/>
          <w:i/>
        </w:rPr>
        <w:t>AliansiMasyarakatAdat Nusantara</w:t>
      </w:r>
      <w:r w:rsidRPr="00A4038A">
        <w:rPr>
          <w:rFonts w:ascii="Times New Roman" w:hAnsi="Times New Roman"/>
        </w:rPr>
        <w:t xml:space="preserve"> (AMAN/Indigenous Peoples' Alliance of the Archipelago) in 1999 provided a unified national movement platform for the localized and sporadic struggles to contest the state ignorance of their perennial claims. Since its early formation, AMAN and the indigenous movement constituents have</w:t>
      </w:r>
      <w:r w:rsidRPr="00A4038A">
        <w:rPr>
          <w:rFonts w:ascii="Times New Roman" w:hAnsi="Times New Roman"/>
          <w:bCs/>
          <w:lang w:val="en-CA"/>
        </w:rPr>
        <w:t xml:space="preserve"> been embracing the politics of indigeneity</w:t>
      </w:r>
      <w:r w:rsidRPr="00A4038A">
        <w:rPr>
          <w:rFonts w:ascii="Times New Roman" w:hAnsi="Times New Roman"/>
        </w:rPr>
        <w:t xml:space="preserve">under the rubric of </w:t>
      </w:r>
      <w:r w:rsidRPr="00A4038A">
        <w:rPr>
          <w:rFonts w:ascii="Times New Roman" w:hAnsi="Times New Roman"/>
          <w:bCs/>
          <w:lang w:val="en-CA"/>
        </w:rPr>
        <w:t xml:space="preserve">“indigenous peoples” as outlined by international human right instruments to frame the Indonesian </w:t>
      </w:r>
      <w:r w:rsidR="00C35350" w:rsidRPr="00A4038A">
        <w:rPr>
          <w:rFonts w:ascii="Times New Roman" w:hAnsi="Times New Roman"/>
          <w:bCs/>
          <w:i/>
          <w:lang w:val="en-CA"/>
        </w:rPr>
        <w:t>MasyarakatAdat</w:t>
      </w:r>
      <w:r w:rsidRPr="00A4038A">
        <w:rPr>
          <w:rFonts w:ascii="Times New Roman" w:hAnsi="Times New Roman"/>
          <w:bCs/>
          <w:lang w:val="en-CA"/>
        </w:rPr>
        <w:t>(</w:t>
      </w:r>
      <w:r w:rsidR="003D0519" w:rsidRPr="00A4038A">
        <w:rPr>
          <w:rFonts w:ascii="Times New Roman" w:hAnsi="Times New Roman"/>
          <w:bCs/>
          <w:lang w:val="en-CA"/>
        </w:rPr>
        <w:t>Moniaga</w:t>
      </w:r>
      <w:r w:rsidRPr="00A4038A">
        <w:rPr>
          <w:rFonts w:ascii="Times New Roman" w:hAnsi="Times New Roman"/>
          <w:bCs/>
          <w:lang w:val="en-CA"/>
        </w:rPr>
        <w:t xml:space="preserve"> 2007).</w:t>
      </w:r>
    </w:p>
    <w:p w:rsidR="00E631DC" w:rsidRDefault="00105024" w:rsidP="00105024">
      <w:pPr>
        <w:ind w:firstLine="720"/>
        <w:rPr>
          <w:rFonts w:ascii="Times New Roman" w:hAnsi="Times New Roman"/>
          <w:lang w:val="en-CA"/>
        </w:rPr>
      </w:pPr>
      <w:r w:rsidRPr="00A4038A">
        <w:rPr>
          <w:rFonts w:ascii="Times New Roman" w:hAnsi="Times New Roman"/>
        </w:rPr>
        <w:t xml:space="preserve">This chapter examines the rise of indigeneity and counter-hegemonic indigenous legal maneuvering spearheaded by </w:t>
      </w:r>
      <w:r w:rsidRPr="00A4038A">
        <w:rPr>
          <w:rFonts w:ascii="Times New Roman" w:hAnsi="Times New Roman"/>
          <w:i/>
        </w:rPr>
        <w:t>AliansiMasyarakatAdat Nusantara</w:t>
      </w:r>
      <w:r w:rsidRPr="00A4038A">
        <w:rPr>
          <w:rFonts w:ascii="Times New Roman" w:hAnsi="Times New Roman"/>
        </w:rPr>
        <w:t xml:space="preserve"> (AMAN) against ongoing land dispossession in Indonesia since the fall of </w:t>
      </w:r>
      <w:r w:rsidRPr="00A4038A">
        <w:rPr>
          <w:rFonts w:ascii="Times New Roman" w:hAnsi="Times New Roman"/>
          <w:lang w:val="en-CA"/>
        </w:rPr>
        <w:t>New Order</w:t>
      </w:r>
      <w:r w:rsidRPr="00A4038A">
        <w:rPr>
          <w:rFonts w:ascii="Times New Roman" w:hAnsi="Times New Roman"/>
        </w:rPr>
        <w:t xml:space="preserve"> authoritarian regime. We examine indigenous mobilizations (strategy, organization and tactics) in the post-authoritarian country, including the avenue of new types of legal activism when it comes to the creative destruction of global capitalism today. </w:t>
      </w:r>
      <w:r w:rsidRPr="00A4038A">
        <w:rPr>
          <w:rFonts w:ascii="Times New Roman" w:hAnsi="Times New Roman"/>
          <w:lang w:val="en-CA"/>
        </w:rPr>
        <w:t xml:space="preserve">After providing a brief contextual background on the </w:t>
      </w:r>
      <w:r w:rsidR="006C12A6">
        <w:rPr>
          <w:rFonts w:ascii="Times New Roman" w:hAnsi="Times New Roman"/>
          <w:lang w:val="en-CA"/>
        </w:rPr>
        <w:t xml:space="preserve">coloniality of state-izing customary communities’ lands and territories as well as the </w:t>
      </w:r>
      <w:r w:rsidRPr="00A4038A">
        <w:rPr>
          <w:rFonts w:ascii="Times New Roman" w:hAnsi="Times New Roman"/>
          <w:lang w:val="en-CA"/>
        </w:rPr>
        <w:t>rise of indigeneity</w:t>
      </w:r>
      <w:r w:rsidR="006C12A6">
        <w:rPr>
          <w:rFonts w:ascii="Times New Roman" w:hAnsi="Times New Roman"/>
          <w:lang w:val="en-CA"/>
        </w:rPr>
        <w:t xml:space="preserve"> politics</w:t>
      </w:r>
      <w:r w:rsidRPr="00A4038A">
        <w:rPr>
          <w:rFonts w:ascii="Times New Roman" w:hAnsi="Times New Roman"/>
          <w:lang w:val="en-CA"/>
        </w:rPr>
        <w:t>, the chapter dwells on indigenous mobilizations and their varied ways to articulate the demand for national policy change toward property recognition over customary territories (</w:t>
      </w:r>
      <w:r w:rsidRPr="00A4038A">
        <w:rPr>
          <w:rFonts w:ascii="Times New Roman" w:hAnsi="Times New Roman"/>
          <w:i/>
          <w:lang w:val="en-CA"/>
        </w:rPr>
        <w:t>wilayahadat</w:t>
      </w:r>
      <w:r w:rsidR="006C12A6">
        <w:rPr>
          <w:rFonts w:ascii="Times New Roman" w:hAnsi="Times New Roman"/>
          <w:lang w:val="en-CA"/>
        </w:rPr>
        <w:t>) and</w:t>
      </w:r>
      <w:r w:rsidRPr="00A4038A">
        <w:rPr>
          <w:rFonts w:ascii="Times New Roman" w:hAnsi="Times New Roman"/>
          <w:lang w:val="en-CA"/>
        </w:rPr>
        <w:t>againstthe state controlled forest zone (</w:t>
      </w:r>
      <w:r w:rsidRPr="00A4038A">
        <w:rPr>
          <w:rFonts w:ascii="Times New Roman" w:hAnsi="Times New Roman"/>
          <w:i/>
          <w:lang w:val="en-CA"/>
        </w:rPr>
        <w:t>kawasanhutannegara</w:t>
      </w:r>
      <w:r w:rsidRPr="00A4038A">
        <w:rPr>
          <w:rFonts w:ascii="Times New Roman" w:hAnsi="Times New Roman"/>
          <w:lang w:val="en-CA"/>
        </w:rPr>
        <w:t xml:space="preserve">). </w:t>
      </w:r>
    </w:p>
    <w:p w:rsidR="00105024" w:rsidRPr="00A4038A" w:rsidRDefault="00105024" w:rsidP="00105024">
      <w:pPr>
        <w:ind w:firstLine="720"/>
        <w:rPr>
          <w:rFonts w:ascii="Times New Roman" w:hAnsi="Times New Roman"/>
        </w:rPr>
      </w:pPr>
      <w:r w:rsidRPr="00A4038A">
        <w:rPr>
          <w:rFonts w:ascii="Times New Roman" w:hAnsi="Times New Roman"/>
          <w:lang w:val="en-CA"/>
        </w:rPr>
        <w:t xml:space="preserve">The </w:t>
      </w:r>
      <w:r w:rsidR="006C12A6">
        <w:rPr>
          <w:rFonts w:ascii="Times New Roman" w:hAnsi="Times New Roman"/>
          <w:lang w:val="en-CA"/>
        </w:rPr>
        <w:t xml:space="preserve">chapter </w:t>
      </w:r>
      <w:r w:rsidRPr="00A4038A">
        <w:rPr>
          <w:rFonts w:ascii="Times New Roman" w:hAnsi="Times New Roman"/>
          <w:lang w:val="en-CA"/>
        </w:rPr>
        <w:t>focus</w:t>
      </w:r>
      <w:r w:rsidR="006C12A6">
        <w:rPr>
          <w:rFonts w:ascii="Times New Roman" w:hAnsi="Times New Roman"/>
          <w:lang w:val="en-CA"/>
        </w:rPr>
        <w:t xml:space="preserve">es </w:t>
      </w:r>
      <w:r w:rsidRPr="00A4038A">
        <w:rPr>
          <w:rFonts w:ascii="Times New Roman" w:hAnsi="Times New Roman"/>
          <w:lang w:val="en-CA"/>
        </w:rPr>
        <w:t xml:space="preserve">on </w:t>
      </w:r>
      <w:r w:rsidR="00921672" w:rsidRPr="00A4038A">
        <w:rPr>
          <w:rFonts w:ascii="Times New Roman" w:hAnsi="Times New Roman"/>
          <w:lang w:val="en-CA"/>
        </w:rPr>
        <w:t xml:space="preserve">two </w:t>
      </w:r>
      <w:r w:rsidRPr="00A4038A">
        <w:rPr>
          <w:rFonts w:ascii="Times New Roman" w:hAnsi="Times New Roman"/>
          <w:lang w:val="en-CA"/>
        </w:rPr>
        <w:t>modes of policy advocacy and campaign against land dispossession: (a) the production of the Constitutional Court Ruling No. 35/PUU-X/2012, a new legal landmark that establishes the constitutional norm of the citizenship status of Indonesian indigenous peoples (</w:t>
      </w:r>
      <w:r w:rsidRPr="00A4038A">
        <w:rPr>
          <w:rFonts w:ascii="Times New Roman" w:hAnsi="Times New Roman"/>
          <w:i/>
          <w:lang w:val="en-CA"/>
        </w:rPr>
        <w:t>masyarakathukumadat</w:t>
      </w:r>
      <w:r w:rsidRPr="00A4038A">
        <w:rPr>
          <w:rFonts w:ascii="Times New Roman" w:hAnsi="Times New Roman"/>
          <w:lang w:val="en-CA"/>
        </w:rPr>
        <w:t xml:space="preserve">) as rights bearing subjects, and the owners of their customary territory; </w:t>
      </w:r>
      <w:r w:rsidR="00B76CEF" w:rsidRPr="00A4038A">
        <w:rPr>
          <w:rFonts w:ascii="Times New Roman" w:hAnsi="Times New Roman"/>
          <w:lang w:val="en-CA"/>
        </w:rPr>
        <w:t xml:space="preserve">and </w:t>
      </w:r>
      <w:r w:rsidRPr="00A4038A">
        <w:rPr>
          <w:rFonts w:ascii="Times New Roman" w:hAnsi="Times New Roman"/>
          <w:lang w:val="en-CA"/>
        </w:rPr>
        <w:t>(b) the National Inquiry on Indigenous Peoples’ Rights held by the Indonesian National Human Rights Commission (</w:t>
      </w:r>
      <w:r w:rsidRPr="00A4038A">
        <w:rPr>
          <w:rFonts w:ascii="Times New Roman" w:hAnsi="Times New Roman"/>
          <w:i/>
          <w:lang w:val="en-CA"/>
        </w:rPr>
        <w:t>Komnas HAM</w:t>
      </w:r>
      <w:r w:rsidRPr="00A4038A">
        <w:rPr>
          <w:rFonts w:ascii="Times New Roman" w:hAnsi="Times New Roman"/>
          <w:lang w:val="en-CA"/>
        </w:rPr>
        <w:t xml:space="preserve">).  We analyze </w:t>
      </w:r>
      <w:r w:rsidRPr="00A4038A" w:rsidDel="00D56515">
        <w:rPr>
          <w:rFonts w:ascii="Times New Roman" w:hAnsi="Times New Roman"/>
          <w:lang w:val="en-CA"/>
        </w:rPr>
        <w:t>the</w:t>
      </w:r>
      <w:r w:rsidRPr="00A4038A">
        <w:rPr>
          <w:rFonts w:ascii="Times New Roman" w:hAnsi="Times New Roman"/>
          <w:lang w:val="en-CA"/>
        </w:rPr>
        <w:t xml:space="preserve"> efficacies and limits of these t</w:t>
      </w:r>
      <w:r w:rsidR="00B76CEF" w:rsidRPr="00A4038A">
        <w:rPr>
          <w:rFonts w:ascii="Times New Roman" w:hAnsi="Times New Roman"/>
          <w:lang w:val="en-CA"/>
        </w:rPr>
        <w:t xml:space="preserve">wo </w:t>
      </w:r>
      <w:r w:rsidRPr="00A4038A">
        <w:rPr>
          <w:rFonts w:ascii="Times New Roman" w:hAnsi="Times New Roman"/>
          <w:lang w:val="en-CA"/>
        </w:rPr>
        <w:t xml:space="preserve">legal activisms as the vehicle for the campaigning of land rights restitution for indigenous communities, and undoing the discriminatory categorization of Indonesian indigenous peoples. This chapter is </w:t>
      </w:r>
      <w:r w:rsidR="003D0519" w:rsidRPr="00A4038A">
        <w:rPr>
          <w:rFonts w:ascii="Times New Roman" w:hAnsi="Times New Roman"/>
          <w:lang w:val="en-CA"/>
        </w:rPr>
        <w:t xml:space="preserve">primarily </w:t>
      </w:r>
      <w:r w:rsidRPr="00A4038A">
        <w:rPr>
          <w:rFonts w:ascii="Times New Roman" w:hAnsi="Times New Roman"/>
          <w:lang w:val="en-CA"/>
        </w:rPr>
        <w:t>based on first author involvement with the indigenous people’s movement in Indonesia since the early establishment of AMAN in various roles, including facilitating the first national congress in Jakarta in 1999 and recently as expert witness for the judicial review of Forestry Law no. 41/1999.</w:t>
      </w:r>
    </w:p>
    <w:p w:rsidR="00E8783A" w:rsidRPr="00A4038A" w:rsidRDefault="00E8783A"/>
    <w:p w:rsidR="00105024" w:rsidRPr="00A4038A" w:rsidRDefault="00105024" w:rsidP="00C40203">
      <w:pPr>
        <w:outlineLvl w:val="0"/>
        <w:rPr>
          <w:rFonts w:ascii="Times New Roman" w:hAnsi="Times New Roman"/>
          <w:b/>
          <w:lang w:val="en-CA"/>
        </w:rPr>
      </w:pPr>
      <w:r w:rsidRPr="00A4038A">
        <w:rPr>
          <w:rFonts w:ascii="Times New Roman" w:hAnsi="Times New Roman"/>
          <w:b/>
          <w:lang w:val="en-CA"/>
        </w:rPr>
        <w:t xml:space="preserve">The coloniality of </w:t>
      </w:r>
      <w:r w:rsidRPr="00A4038A">
        <w:rPr>
          <w:rFonts w:ascii="Times New Roman" w:hAnsi="Times New Roman"/>
          <w:b/>
        </w:rPr>
        <w:t>‘state-izing’ customary communities’ territory</w:t>
      </w:r>
    </w:p>
    <w:p w:rsidR="00105024" w:rsidRPr="00A4038A" w:rsidRDefault="00105024" w:rsidP="00105024">
      <w:pPr>
        <w:rPr>
          <w:rFonts w:ascii="Times New Roman" w:hAnsi="Times New Roman"/>
        </w:rPr>
      </w:pPr>
    </w:p>
    <w:p w:rsidR="00105024" w:rsidRPr="00A4038A" w:rsidRDefault="00105024" w:rsidP="00105024">
      <w:pPr>
        <w:rPr>
          <w:rFonts w:ascii="Times New Roman" w:hAnsi="Times New Roman"/>
        </w:rPr>
      </w:pPr>
      <w:r w:rsidRPr="00A4038A">
        <w:rPr>
          <w:rFonts w:ascii="Times New Roman" w:hAnsi="Times New Roman"/>
        </w:rPr>
        <w:t xml:space="preserve">The </w:t>
      </w:r>
      <w:r w:rsidR="003D0519" w:rsidRPr="00A4038A">
        <w:rPr>
          <w:rFonts w:ascii="Times New Roman" w:hAnsi="Times New Roman"/>
        </w:rPr>
        <w:t xml:space="preserve">escalating </w:t>
      </w:r>
      <w:r w:rsidRPr="00A4038A">
        <w:rPr>
          <w:rFonts w:ascii="Times New Roman" w:hAnsi="Times New Roman"/>
        </w:rPr>
        <w:t xml:space="preserve">legalized terra-nullification of the customary territories today goes hand in hand with the deepening commitment of the ruling elite to privilege the giant corporations and facilitate the </w:t>
      </w:r>
      <w:r w:rsidR="00F6791A">
        <w:rPr>
          <w:rFonts w:ascii="Times New Roman" w:hAnsi="Times New Roman"/>
        </w:rPr>
        <w:t>formation of</w:t>
      </w:r>
      <w:r w:rsidR="00DF3EF9">
        <w:rPr>
          <w:rFonts w:ascii="Times New Roman" w:hAnsi="Times New Roman"/>
        </w:rPr>
        <w:t xml:space="preserve">a corporatized state of </w:t>
      </w:r>
      <w:r w:rsidRPr="00A4038A">
        <w:rPr>
          <w:rFonts w:ascii="Times New Roman" w:hAnsi="Times New Roman"/>
        </w:rPr>
        <w:t xml:space="preserve">Indonesia (Robison and Hadiz 2004). </w:t>
      </w:r>
      <w:r w:rsidRPr="00A4038A">
        <w:rPr>
          <w:rFonts w:ascii="Times New Roman" w:hAnsi="Times New Roman"/>
        </w:rPr>
        <w:lastRenderedPageBreak/>
        <w:t>Furthermore, the state’s reliance on institutions and practices of natural resources extraction in accounting for the majority of revenues ‘evoke the continuities from colonial to postcolonial systems of multilayered exploitation and export to the center of the world-economy’ (Anderson in Gellert 2010: 35). The ramifications of the ‘abuse of public resources by rent-seeking elites’ (</w:t>
      </w:r>
      <w:r w:rsidRPr="002C1D71">
        <w:rPr>
          <w:rFonts w:ascii="Times New Roman" w:hAnsi="Times New Roman"/>
        </w:rPr>
        <w:t>Thee</w:t>
      </w:r>
      <w:r w:rsidRPr="00A4038A">
        <w:rPr>
          <w:rFonts w:ascii="Times New Roman" w:hAnsi="Times New Roman"/>
        </w:rPr>
        <w:t xml:space="preserve"> 2013:57) in the era of the colonial capitalist East India Company (VOC) to today’s neoliberal ‘Indonesia Inc.’</w:t>
      </w:r>
      <w:r w:rsidRPr="00A4038A">
        <w:rPr>
          <w:rStyle w:val="FootnoteReference"/>
          <w:rFonts w:ascii="Times New Roman" w:hAnsi="Times New Roman"/>
        </w:rPr>
        <w:footnoteReference w:id="1"/>
      </w:r>
      <w:r w:rsidRPr="00A4038A">
        <w:rPr>
          <w:rFonts w:ascii="Times New Roman" w:hAnsi="Times New Roman"/>
        </w:rPr>
        <w:t xml:space="preserve"> explain the </w:t>
      </w:r>
      <w:r w:rsidR="003D0519" w:rsidRPr="00A4038A">
        <w:rPr>
          <w:rFonts w:ascii="Times New Roman" w:hAnsi="Times New Roman"/>
        </w:rPr>
        <w:t xml:space="preserve">acceleration </w:t>
      </w:r>
      <w:r w:rsidRPr="00A4038A">
        <w:rPr>
          <w:rFonts w:ascii="Times New Roman" w:hAnsi="Times New Roman"/>
        </w:rPr>
        <w:t xml:space="preserve">of the extractive regime as well as the intensification of today’s agrarian crisis in the post-colony. </w:t>
      </w:r>
    </w:p>
    <w:p w:rsidR="00105024" w:rsidRPr="00A4038A" w:rsidRDefault="00105024" w:rsidP="007B3486">
      <w:pPr>
        <w:ind w:firstLine="720"/>
        <w:rPr>
          <w:rFonts w:ascii="Times New Roman" w:hAnsi="Times New Roman"/>
        </w:rPr>
      </w:pPr>
      <w:r w:rsidRPr="00A4038A">
        <w:rPr>
          <w:rFonts w:ascii="Times New Roman" w:hAnsi="Times New Roman"/>
        </w:rPr>
        <w:t>During the Suharto authoritarian reg</w:t>
      </w:r>
      <w:r w:rsidR="00505EBC" w:rsidRPr="00A4038A">
        <w:rPr>
          <w:rFonts w:ascii="Times New Roman" w:hAnsi="Times New Roman"/>
        </w:rPr>
        <w:t>ime of more than three decades</w:t>
      </w:r>
      <w:r w:rsidRPr="00A4038A">
        <w:rPr>
          <w:rFonts w:ascii="Times New Roman" w:hAnsi="Times New Roman"/>
        </w:rPr>
        <w:t xml:space="preserve">, the plundering of natural resources was implemented under legal protection of the state apparatus </w:t>
      </w:r>
      <w:r w:rsidR="007B3486" w:rsidRPr="00A4038A">
        <w:rPr>
          <w:rFonts w:ascii="Times New Roman" w:hAnsi="Times New Roman"/>
        </w:rPr>
        <w:t xml:space="preserve">accelerated </w:t>
      </w:r>
      <w:r w:rsidRPr="00A4038A">
        <w:rPr>
          <w:rFonts w:ascii="Times New Roman" w:hAnsi="Times New Roman"/>
        </w:rPr>
        <w:t xml:space="preserve">by the prevailing of ‘colonial laws in an independent country’ (Laujeng 2012). </w:t>
      </w:r>
      <w:r w:rsidR="007B3486" w:rsidRPr="00A4038A">
        <w:rPr>
          <w:rFonts w:ascii="Times New Roman" w:hAnsi="Times New Roman"/>
        </w:rPr>
        <w:t xml:space="preserve">The </w:t>
      </w:r>
      <w:r w:rsidR="00F01F9F" w:rsidRPr="00A4038A">
        <w:rPr>
          <w:rFonts w:ascii="Times New Roman" w:hAnsi="Times New Roman"/>
        </w:rPr>
        <w:t xml:space="preserve">regime </w:t>
      </w:r>
      <w:r w:rsidR="00652AED" w:rsidRPr="00A4038A">
        <w:rPr>
          <w:rFonts w:ascii="Times New Roman" w:hAnsi="Times New Roman"/>
        </w:rPr>
        <w:t xml:space="preserve">augmented </w:t>
      </w:r>
      <w:r w:rsidR="007B3486" w:rsidRPr="00A4038A">
        <w:rPr>
          <w:rFonts w:ascii="Times New Roman" w:hAnsi="Times New Roman"/>
        </w:rPr>
        <w:t xml:space="preserve">the revival of colonial territorialization policy through </w:t>
      </w:r>
      <w:r w:rsidR="00656338" w:rsidRPr="00A4038A">
        <w:rPr>
          <w:rFonts w:ascii="Times New Roman" w:hAnsi="Times New Roman"/>
        </w:rPr>
        <w:t>the Basic Forestry Law of 1967 and the revised Forestry Law No. 41/ 1999</w:t>
      </w:r>
      <w:r w:rsidR="00652AED" w:rsidRPr="00A4038A">
        <w:rPr>
          <w:rFonts w:ascii="Times New Roman" w:hAnsi="Times New Roman"/>
        </w:rPr>
        <w:t xml:space="preserve"> that </w:t>
      </w:r>
      <w:r w:rsidR="007B3486" w:rsidRPr="00A4038A">
        <w:rPr>
          <w:rFonts w:ascii="Times New Roman" w:hAnsi="Times New Roman"/>
        </w:rPr>
        <w:t>defin</w:t>
      </w:r>
      <w:r w:rsidR="00652AED" w:rsidRPr="00A4038A">
        <w:rPr>
          <w:rFonts w:ascii="Times New Roman" w:hAnsi="Times New Roman"/>
        </w:rPr>
        <w:t xml:space="preserve">ed </w:t>
      </w:r>
      <w:r w:rsidR="007B3486" w:rsidRPr="00A4038A">
        <w:rPr>
          <w:rFonts w:ascii="Times New Roman" w:hAnsi="Times New Roman"/>
        </w:rPr>
        <w:t>and enforce</w:t>
      </w:r>
      <w:r w:rsidR="00652AED" w:rsidRPr="00A4038A">
        <w:rPr>
          <w:rFonts w:ascii="Times New Roman" w:hAnsi="Times New Roman"/>
        </w:rPr>
        <w:t xml:space="preserve">d </w:t>
      </w:r>
      <w:r w:rsidR="007B3486" w:rsidRPr="00A4038A">
        <w:rPr>
          <w:rFonts w:ascii="Times New Roman" w:hAnsi="Times New Roman"/>
        </w:rPr>
        <w:t>boundaries, classifi</w:t>
      </w:r>
      <w:r w:rsidR="00652AED" w:rsidRPr="00A4038A">
        <w:rPr>
          <w:rFonts w:ascii="Times New Roman" w:hAnsi="Times New Roman"/>
        </w:rPr>
        <w:t xml:space="preserve">ed </w:t>
      </w:r>
      <w:r w:rsidR="007B3486" w:rsidRPr="00A4038A">
        <w:rPr>
          <w:rFonts w:ascii="Times New Roman" w:hAnsi="Times New Roman"/>
        </w:rPr>
        <w:t>the forest</w:t>
      </w:r>
      <w:r w:rsidR="00F6791A">
        <w:rPr>
          <w:rFonts w:ascii="Times New Roman" w:hAnsi="Times New Roman"/>
        </w:rPr>
        <w:t xml:space="preserve"> zones</w:t>
      </w:r>
      <w:r w:rsidR="007B3486" w:rsidRPr="00A4038A">
        <w:rPr>
          <w:rFonts w:ascii="Times New Roman" w:hAnsi="Times New Roman"/>
        </w:rPr>
        <w:t xml:space="preserve"> for specific forms of use, and </w:t>
      </w:r>
      <w:r w:rsidR="00652AED" w:rsidRPr="00A4038A">
        <w:rPr>
          <w:rFonts w:ascii="Times New Roman" w:hAnsi="Times New Roman"/>
        </w:rPr>
        <w:t xml:space="preserve">designated </w:t>
      </w:r>
      <w:r w:rsidR="007B3486" w:rsidRPr="00A4038A">
        <w:rPr>
          <w:rFonts w:ascii="Times New Roman" w:hAnsi="Times New Roman"/>
        </w:rPr>
        <w:t>the rights to resources that provide the legal preconditions for dispossession.</w:t>
      </w:r>
      <w:r w:rsidRPr="00A4038A">
        <w:rPr>
          <w:rFonts w:ascii="Times New Roman" w:hAnsi="Times New Roman"/>
        </w:rPr>
        <w:t>Not to mention the vulnerability of</w:t>
      </w:r>
      <w:r w:rsidR="00F6791A">
        <w:rPr>
          <w:rFonts w:ascii="Times New Roman" w:hAnsi="Times New Roman"/>
        </w:rPr>
        <w:t xml:space="preserve"> the land rights </w:t>
      </w:r>
      <w:r w:rsidR="00AB61C8">
        <w:rPr>
          <w:rFonts w:ascii="Times New Roman" w:hAnsi="Times New Roman"/>
        </w:rPr>
        <w:t>of</w:t>
      </w:r>
      <w:r w:rsidR="00F6791A">
        <w:rPr>
          <w:rFonts w:ascii="Times New Roman" w:hAnsi="Times New Roman"/>
        </w:rPr>
        <w:t xml:space="preserve"> local peoples within</w:t>
      </w:r>
      <w:r w:rsidR="004A2EBD">
        <w:rPr>
          <w:rFonts w:ascii="Times New Roman" w:hAnsi="Times New Roman"/>
        </w:rPr>
        <w:t xml:space="preserve">more than </w:t>
      </w:r>
      <w:r w:rsidRPr="00A4038A">
        <w:rPr>
          <w:rFonts w:ascii="Times New Roman" w:hAnsi="Times New Roman"/>
        </w:rPr>
        <w:t xml:space="preserve">33,000 villagesafter the government </w:t>
      </w:r>
      <w:r w:rsidR="00652AED" w:rsidRPr="00A4038A">
        <w:rPr>
          <w:rFonts w:ascii="Times New Roman" w:hAnsi="Times New Roman"/>
        </w:rPr>
        <w:t xml:space="preserve">identified </w:t>
      </w:r>
      <w:r w:rsidRPr="00A4038A">
        <w:rPr>
          <w:rFonts w:ascii="Times New Roman" w:hAnsi="Times New Roman"/>
        </w:rPr>
        <w:t>70 % of Indonesia’s land as “forests”, mostly without clearly designated and mutually agreed boundaries</w:t>
      </w:r>
      <w:r w:rsidR="00652AED" w:rsidRPr="00A4038A">
        <w:rPr>
          <w:rFonts w:ascii="Times New Roman" w:hAnsi="Times New Roman"/>
        </w:rPr>
        <w:t>(</w:t>
      </w:r>
      <w:r w:rsidR="00627402" w:rsidRPr="00E23AC4">
        <w:rPr>
          <w:rFonts w:ascii="Times New Roman" w:eastAsia="Times New Roman" w:hAnsi="Times New Roman"/>
        </w:rPr>
        <w:t>DepartemenKehutanandanBadanPusatStatistik, 2007</w:t>
      </w:r>
      <w:r w:rsidR="00627402">
        <w:rPr>
          <w:rFonts w:ascii="Times New Roman" w:eastAsia="Times New Roman" w:hAnsi="Times New Roman"/>
        </w:rPr>
        <w:t>, 2009)</w:t>
      </w:r>
      <w:r w:rsidRPr="00A4038A">
        <w:rPr>
          <w:rFonts w:ascii="Times New Roman" w:hAnsi="Times New Roman"/>
        </w:rPr>
        <w:t xml:space="preserve">. </w:t>
      </w:r>
      <w:r w:rsidR="00627402">
        <w:rPr>
          <w:rFonts w:ascii="Times New Roman" w:hAnsi="Times New Roman"/>
        </w:rPr>
        <w:t>T</w:t>
      </w:r>
      <w:r w:rsidR="00DF3EF9">
        <w:rPr>
          <w:rFonts w:ascii="Times New Roman" w:hAnsi="Times New Roman"/>
        </w:rPr>
        <w:t>he Forestry Law</w:t>
      </w:r>
      <w:r w:rsidRPr="00A4038A">
        <w:rPr>
          <w:rFonts w:ascii="Times New Roman" w:hAnsi="Times New Roman"/>
        </w:rPr>
        <w:t xml:space="preserve"> declared no one is </w:t>
      </w:r>
      <w:r w:rsidR="00627402">
        <w:rPr>
          <w:rFonts w:ascii="Times New Roman" w:hAnsi="Times New Roman"/>
        </w:rPr>
        <w:t xml:space="preserve">legally </w:t>
      </w:r>
      <w:r w:rsidRPr="00A4038A">
        <w:rPr>
          <w:rFonts w:ascii="Times New Roman" w:hAnsi="Times New Roman"/>
        </w:rPr>
        <w:t xml:space="preserve">allowed to occupy the designated </w:t>
      </w:r>
      <w:r w:rsidR="00627402">
        <w:rPr>
          <w:rFonts w:ascii="Times New Roman" w:hAnsi="Times New Roman"/>
        </w:rPr>
        <w:t xml:space="preserve">forest zones </w:t>
      </w:r>
      <w:r w:rsidRPr="00A4038A">
        <w:rPr>
          <w:rFonts w:ascii="Times New Roman" w:hAnsi="Times New Roman"/>
        </w:rPr>
        <w:t xml:space="preserve">without official permission from the state, </w:t>
      </w:r>
      <w:r w:rsidR="00627402">
        <w:rPr>
          <w:rFonts w:ascii="Times New Roman" w:hAnsi="Times New Roman"/>
        </w:rPr>
        <w:t>including</w:t>
      </w:r>
      <w:r w:rsidR="004C0F62" w:rsidRPr="00A4038A">
        <w:rPr>
          <w:rFonts w:ascii="Times New Roman" w:hAnsi="Times New Roman"/>
        </w:rPr>
        <w:t xml:space="preserve">the customary groups </w:t>
      </w:r>
      <w:r w:rsidRPr="00A4038A">
        <w:rPr>
          <w:rFonts w:ascii="Times New Roman" w:hAnsi="Times New Roman"/>
        </w:rPr>
        <w:t>who had a</w:t>
      </w:r>
      <w:r w:rsidR="004C0F62" w:rsidRPr="00A4038A">
        <w:rPr>
          <w:rFonts w:ascii="Times New Roman" w:hAnsi="Times New Roman"/>
        </w:rPr>
        <w:t>ncestral relation with the land</w:t>
      </w:r>
      <w:r w:rsidRPr="00A4038A">
        <w:rPr>
          <w:rFonts w:ascii="Times New Roman" w:hAnsi="Times New Roman"/>
        </w:rPr>
        <w:t xml:space="preserve">. </w:t>
      </w:r>
    </w:p>
    <w:p w:rsidR="00F01F9F" w:rsidRPr="00A4038A" w:rsidRDefault="00105024" w:rsidP="00F01F9F">
      <w:pPr>
        <w:ind w:firstLine="720"/>
        <w:rPr>
          <w:rFonts w:ascii="Times New Roman" w:hAnsi="Times New Roman"/>
        </w:rPr>
      </w:pPr>
      <w:r w:rsidRPr="00A4038A">
        <w:rPr>
          <w:rFonts w:ascii="Times New Roman" w:hAnsi="Times New Roman"/>
        </w:rPr>
        <w:t xml:space="preserve">Under such legal framework, the modern nation state of Indonesia is indeed pursuing “internal colonialism” (Stavenhagen, </w:t>
      </w:r>
      <w:r w:rsidR="00505EBC" w:rsidRPr="00A4038A">
        <w:rPr>
          <w:rFonts w:ascii="Times New Roman" w:hAnsi="Times New Roman"/>
        </w:rPr>
        <w:t>1965</w:t>
      </w:r>
      <w:r w:rsidRPr="00A4038A">
        <w:rPr>
          <w:rFonts w:ascii="Times New Roman" w:hAnsi="Times New Roman"/>
        </w:rPr>
        <w:t>), in the name of catchin</w:t>
      </w:r>
      <w:r w:rsidR="00505EBC" w:rsidRPr="00A4038A">
        <w:rPr>
          <w:rFonts w:ascii="Times New Roman" w:hAnsi="Times New Roman"/>
        </w:rPr>
        <w:t>g up with the myth of modernizing capitalist conception of progress</w:t>
      </w:r>
      <w:r w:rsidRPr="00A4038A">
        <w:rPr>
          <w:rFonts w:ascii="Times New Roman" w:hAnsi="Times New Roman"/>
        </w:rPr>
        <w:t xml:space="preserve">. This is particularly the case after the exclusion </w:t>
      </w:r>
      <w:r w:rsidRPr="00A4038A">
        <w:rPr>
          <w:rFonts w:ascii="Times New Roman" w:hAnsi="Times New Roman"/>
          <w:lang w:val="en-CA"/>
        </w:rPr>
        <w:t xml:space="preserve">of </w:t>
      </w:r>
      <w:r w:rsidRPr="00A4038A">
        <w:rPr>
          <w:rFonts w:ascii="Times New Roman" w:hAnsi="Times New Roman"/>
        </w:rPr>
        <w:t>access to land and forest that now turned into</w:t>
      </w:r>
      <w:r w:rsidRPr="00A4038A">
        <w:rPr>
          <w:rFonts w:ascii="Times New Roman" w:hAnsi="Times New Roman"/>
          <w:lang w:val="en-CA"/>
        </w:rPr>
        <w:t xml:space="preserve"> a</w:t>
      </w:r>
      <w:r w:rsidRPr="00A4038A">
        <w:rPr>
          <w:rFonts w:ascii="Times New Roman" w:hAnsi="Times New Roman"/>
        </w:rPr>
        <w:t xml:space="preserve"> contested landscape for largely capitalistic development purposes, such as industrial plantation and mining. Therefore, the facts reiterate how the coloniality of power (Quijano 2000) is continuously in dialectical process with the accumulation by dispossession (Harvey, 2003) as well as their positionality as development displaced people (Rajagopal, 2003). This is not necessarily a brand new phenomenon however, as ‘[h]istory of capitalism begins with the transformation of land rights (Araghi and Karides 2012: 1). </w:t>
      </w:r>
    </w:p>
    <w:p w:rsidR="00F01F9F" w:rsidRPr="00A4038A" w:rsidRDefault="00105024" w:rsidP="00F01F9F">
      <w:pPr>
        <w:ind w:firstLine="720"/>
        <w:rPr>
          <w:rFonts w:ascii="Times New Roman" w:eastAsiaTheme="minorHAnsi" w:hAnsi="Times New Roman"/>
          <w:position w:val="16"/>
        </w:rPr>
      </w:pPr>
      <w:r w:rsidRPr="00A4038A">
        <w:rPr>
          <w:rFonts w:ascii="Times New Roman" w:hAnsi="Times New Roman"/>
          <w:shd w:val="clear" w:color="auto" w:fill="FFFFFF"/>
        </w:rPr>
        <w:t xml:space="preserve">The following brief overview of the </w:t>
      </w:r>
      <w:r w:rsidR="002C4F04" w:rsidRPr="00A4038A">
        <w:rPr>
          <w:rFonts w:ascii="Times New Roman" w:hAnsi="Times New Roman"/>
          <w:shd w:val="clear" w:color="auto" w:fill="FFFFFF"/>
        </w:rPr>
        <w:t>transformation</w:t>
      </w:r>
      <w:r w:rsidRPr="00A4038A">
        <w:rPr>
          <w:rFonts w:ascii="Times New Roman" w:hAnsi="Times New Roman"/>
        </w:rPr>
        <w:t xml:space="preserve"> of the customary land and territories</w:t>
      </w:r>
      <w:r w:rsidRPr="00A4038A">
        <w:rPr>
          <w:rFonts w:ascii="Times New Roman" w:hAnsi="Times New Roman"/>
          <w:shd w:val="clear" w:color="auto" w:fill="FFFFFF"/>
        </w:rPr>
        <w:t xml:space="preserve"> might attest to this argument. In 1602, the Dutch government established </w:t>
      </w:r>
      <w:r w:rsidRPr="00A4038A">
        <w:rPr>
          <w:rFonts w:ascii="Times New Roman" w:hAnsi="Times New Roman"/>
          <w:i/>
          <w:shd w:val="clear" w:color="auto" w:fill="FFFFFF"/>
        </w:rPr>
        <w:t>VereenigdeOostindischeCompagnie</w:t>
      </w:r>
      <w:r w:rsidRPr="00A4038A">
        <w:rPr>
          <w:rFonts w:ascii="Times New Roman" w:hAnsi="Times New Roman"/>
          <w:shd w:val="clear" w:color="auto" w:fill="FFFFFF"/>
        </w:rPr>
        <w:t xml:space="preserve"> (VOC/United East India Company) with full authority to establish trading relations with the feudal kingdoms in the archipelago. The feudal system of land control, particularly in Java, was first embraced and then manipulated by the Dutch colonial regime in an attempt to reinforce their mercantilist imperial power. In 1799, the VOC was declared bankrupt and to recover the losses as soon as possible, the Dutch colonial regime introduced the </w:t>
      </w:r>
      <w:r w:rsidRPr="00A4038A">
        <w:rPr>
          <w:rFonts w:ascii="Times New Roman" w:hAnsi="Times New Roman"/>
          <w:i/>
          <w:iCs/>
        </w:rPr>
        <w:t>Cultuurstelsel</w:t>
      </w:r>
      <w:r w:rsidRPr="00A4038A">
        <w:rPr>
          <w:rFonts w:ascii="Times New Roman" w:hAnsi="Times New Roman"/>
          <w:iCs/>
        </w:rPr>
        <w:t xml:space="preserve"> (Forced cultivation system) and new tax system since 1830. </w:t>
      </w:r>
      <w:r w:rsidRPr="00A4038A">
        <w:rPr>
          <w:rFonts w:ascii="Times New Roman" w:hAnsi="Times New Roman"/>
        </w:rPr>
        <w:t>I</w:t>
      </w:r>
      <w:r w:rsidRPr="00A4038A">
        <w:rPr>
          <w:rFonts w:ascii="Times New Roman" w:hAnsi="Times New Roman"/>
          <w:shd w:val="clear" w:color="auto" w:fill="FFFFFF"/>
        </w:rPr>
        <w:t xml:space="preserve">n responding to </w:t>
      </w:r>
      <w:r w:rsidRPr="00A4038A">
        <w:rPr>
          <w:rFonts w:ascii="Times New Roman" w:hAnsi="Times New Roman"/>
        </w:rPr>
        <w:t xml:space="preserve">the </w:t>
      </w:r>
      <w:r w:rsidRPr="00A4038A">
        <w:rPr>
          <w:rFonts w:ascii="Times New Roman" w:hAnsi="Times New Roman"/>
          <w:shd w:val="clear" w:color="auto" w:fill="FFFFFF"/>
        </w:rPr>
        <w:t>economic liberalism</w:t>
      </w:r>
      <w:r w:rsidRPr="00A4038A">
        <w:rPr>
          <w:rFonts w:ascii="Times New Roman" w:hAnsi="Times New Roman"/>
        </w:rPr>
        <w:t xml:space="preserve"> campaign in the Netherlands which demanded the</w:t>
      </w:r>
      <w:r w:rsidR="00DF3EF9">
        <w:rPr>
          <w:rFonts w:ascii="Times New Roman" w:hAnsi="Times New Roman"/>
        </w:rPr>
        <w:t xml:space="preserve"> Dutch government to pursue an ‘</w:t>
      </w:r>
      <w:r w:rsidRPr="00A4038A">
        <w:rPr>
          <w:rFonts w:ascii="Times New Roman" w:hAnsi="Times New Roman"/>
        </w:rPr>
        <w:t>open door politic</w:t>
      </w:r>
      <w:r w:rsidR="00DF3EF9">
        <w:rPr>
          <w:rFonts w:ascii="Times New Roman" w:hAnsi="Times New Roman"/>
        </w:rPr>
        <w:t>’</w:t>
      </w:r>
      <w:r w:rsidRPr="00A4038A">
        <w:rPr>
          <w:rFonts w:ascii="Times New Roman" w:hAnsi="Times New Roman"/>
        </w:rPr>
        <w:t xml:space="preserve"> aimed at providing </w:t>
      </w:r>
      <w:r w:rsidRPr="00A4038A">
        <w:rPr>
          <w:rFonts w:ascii="Times New Roman" w:hAnsi="Times New Roman"/>
          <w:shd w:val="clear" w:color="auto" w:fill="FFFFFF"/>
        </w:rPr>
        <w:t>more opportunities for private business entities</w:t>
      </w:r>
      <w:r w:rsidRPr="00A4038A">
        <w:rPr>
          <w:rFonts w:ascii="Times New Roman" w:hAnsi="Times New Roman"/>
        </w:rPr>
        <w:t xml:space="preserve">, </w:t>
      </w:r>
      <w:r w:rsidR="00F01F9F" w:rsidRPr="00A4038A">
        <w:rPr>
          <w:rFonts w:ascii="Times New Roman" w:hAnsi="Times New Roman"/>
          <w:shd w:val="clear" w:color="auto" w:fill="FFFFFF"/>
        </w:rPr>
        <w:t xml:space="preserve">in 1870 </w:t>
      </w:r>
      <w:r w:rsidRPr="00A4038A">
        <w:rPr>
          <w:rFonts w:ascii="Times New Roman" w:hAnsi="Times New Roman"/>
          <w:shd w:val="clear" w:color="auto" w:fill="FFFFFF"/>
        </w:rPr>
        <w:t xml:space="preserve">the colonial regime introduced </w:t>
      </w:r>
      <w:r w:rsidRPr="00A4038A">
        <w:rPr>
          <w:rFonts w:ascii="Times New Roman" w:hAnsi="Times New Roman"/>
          <w:i/>
          <w:shd w:val="clear" w:color="auto" w:fill="FFFFFF"/>
        </w:rPr>
        <w:t xml:space="preserve">Agrarische Wet </w:t>
      </w:r>
      <w:r w:rsidRPr="00A4038A">
        <w:rPr>
          <w:rFonts w:ascii="Times New Roman" w:hAnsi="Times New Roman"/>
          <w:shd w:val="clear" w:color="auto" w:fill="FFFFFF"/>
        </w:rPr>
        <w:t xml:space="preserve">(Agrarian Act), which </w:t>
      </w:r>
      <w:r w:rsidRPr="00A4038A">
        <w:rPr>
          <w:rFonts w:ascii="Times New Roman" w:hAnsi="Times New Roman"/>
          <w:shd w:val="clear" w:color="auto" w:fill="FFFFFF"/>
        </w:rPr>
        <w:lastRenderedPageBreak/>
        <w:t>included the principle of “</w:t>
      </w:r>
      <w:r w:rsidRPr="00A4038A">
        <w:rPr>
          <w:rFonts w:ascii="Times New Roman" w:hAnsi="Times New Roman"/>
          <w:i/>
          <w:iCs/>
          <w:shd w:val="clear" w:color="auto" w:fill="FFFFFF"/>
        </w:rPr>
        <w:t>DomeinVerklaring”</w:t>
      </w:r>
      <w:r w:rsidRPr="00A4038A">
        <w:rPr>
          <w:rFonts w:ascii="Times New Roman" w:hAnsi="Times New Roman"/>
          <w:shd w:val="clear" w:color="auto" w:fill="FFFFFF"/>
        </w:rPr>
        <w:t xml:space="preserve"> (Declaration of State Domain) where any “land not legally claimed” could be “</w:t>
      </w:r>
      <w:r w:rsidRPr="00A4038A">
        <w:rPr>
          <w:rFonts w:ascii="Times New Roman" w:hAnsi="Times New Roman"/>
          <w:i/>
          <w:iCs/>
          <w:shd w:val="clear" w:color="auto" w:fill="FFFFFF"/>
        </w:rPr>
        <w:t>Domeinvandenstaat”</w:t>
      </w:r>
      <w:r w:rsidRPr="00A4038A">
        <w:rPr>
          <w:rFonts w:ascii="Times New Roman" w:hAnsi="Times New Roman"/>
          <w:shd w:val="clear" w:color="auto" w:fill="FFFFFF"/>
        </w:rPr>
        <w:t xml:space="preserve"> (declared as state land). </w:t>
      </w:r>
      <w:r w:rsidR="00B76CEF" w:rsidRPr="00A4038A">
        <w:rPr>
          <w:rFonts w:ascii="Times New Roman" w:eastAsiaTheme="minorHAnsi" w:hAnsi="Times New Roman"/>
        </w:rPr>
        <w:t xml:space="preserve">Prior to </w:t>
      </w:r>
      <w:r w:rsidR="00F01F9F" w:rsidRPr="00A4038A">
        <w:rPr>
          <w:rFonts w:ascii="Times New Roman" w:eastAsiaTheme="minorHAnsi" w:hAnsi="Times New Roman"/>
        </w:rPr>
        <w:t xml:space="preserve">the enactment of the 1870 Agrarian Law, the colonial government released the forestry law of 1865 that </w:t>
      </w:r>
      <w:r w:rsidR="00406F78" w:rsidRPr="00A4038A">
        <w:rPr>
          <w:rFonts w:ascii="Times New Roman" w:eastAsiaTheme="minorHAnsi" w:hAnsi="Times New Roman"/>
        </w:rPr>
        <w:t xml:space="preserve">intensified </w:t>
      </w:r>
      <w:r w:rsidR="00F01F9F" w:rsidRPr="00A4038A">
        <w:rPr>
          <w:rFonts w:ascii="Times New Roman" w:eastAsiaTheme="minorHAnsi" w:hAnsi="Times New Roman"/>
        </w:rPr>
        <w:t xml:space="preserve">the exploitation of Java’s teak forest, which </w:t>
      </w:r>
      <w:r w:rsidR="00B76CEF" w:rsidRPr="00A4038A">
        <w:rPr>
          <w:rFonts w:ascii="Times New Roman" w:eastAsiaTheme="minorHAnsi" w:hAnsi="Times New Roman"/>
        </w:rPr>
        <w:t>were later replaced by various ordinances including a series of laws and r</w:t>
      </w:r>
      <w:r w:rsidR="00406F78" w:rsidRPr="00A4038A">
        <w:rPr>
          <w:rFonts w:ascii="Times New Roman" w:eastAsiaTheme="minorHAnsi" w:hAnsi="Times New Roman"/>
        </w:rPr>
        <w:t>egulations of 1927 and 1932 on f</w:t>
      </w:r>
      <w:r w:rsidR="00B76CEF" w:rsidRPr="00A4038A">
        <w:rPr>
          <w:rFonts w:ascii="Times New Roman" w:eastAsiaTheme="minorHAnsi" w:hAnsi="Times New Roman"/>
        </w:rPr>
        <w:t>orestry in Java and Madura, which</w:t>
      </w:r>
      <w:r w:rsidR="00406F78" w:rsidRPr="00A4038A">
        <w:rPr>
          <w:rFonts w:ascii="Times New Roman" w:eastAsiaTheme="minorHAnsi" w:hAnsi="Times New Roman"/>
        </w:rPr>
        <w:t xml:space="preserve"> granted </w:t>
      </w:r>
      <w:r w:rsidR="00B76CEF" w:rsidRPr="00A4038A">
        <w:rPr>
          <w:rFonts w:ascii="Times New Roman" w:eastAsiaTheme="minorHAnsi" w:hAnsi="Times New Roman"/>
        </w:rPr>
        <w:t>the stronger bases for defining the state forest zone (</w:t>
      </w:r>
      <w:r w:rsidR="00B76CEF" w:rsidRPr="00A4038A">
        <w:rPr>
          <w:rFonts w:ascii="Times" w:eastAsiaTheme="minorHAnsi" w:hAnsi="Times" w:cs="Times"/>
          <w:i/>
          <w:iCs/>
        </w:rPr>
        <w:t xml:space="preserve">kawasanhutannegara) </w:t>
      </w:r>
      <w:r w:rsidR="00B76CEF" w:rsidRPr="00A4038A">
        <w:rPr>
          <w:rFonts w:ascii="Times New Roman" w:eastAsiaTheme="minorHAnsi" w:hAnsi="Times New Roman"/>
        </w:rPr>
        <w:t>and delineating state forest lands by gazetting processes</w:t>
      </w:r>
      <w:r w:rsidR="00F01F9F" w:rsidRPr="00A4038A">
        <w:rPr>
          <w:rFonts w:ascii="Times New Roman" w:eastAsiaTheme="minorHAnsi" w:hAnsi="Times New Roman"/>
        </w:rPr>
        <w:t xml:space="preserve"> (Rachman 2011)</w:t>
      </w:r>
      <w:r w:rsidR="00B76CEF" w:rsidRPr="00A4038A">
        <w:rPr>
          <w:rFonts w:ascii="Times New Roman" w:eastAsiaTheme="minorHAnsi" w:hAnsi="Times New Roman"/>
        </w:rPr>
        <w:t>.</w:t>
      </w:r>
    </w:p>
    <w:p w:rsidR="00105024" w:rsidRPr="00A4038A" w:rsidRDefault="00F01F9F" w:rsidP="00F01F9F">
      <w:pPr>
        <w:ind w:firstLine="720"/>
        <w:rPr>
          <w:rFonts w:ascii="Times New Roman" w:eastAsiaTheme="minorHAnsi" w:hAnsi="Times New Roman"/>
        </w:rPr>
      </w:pPr>
      <w:r w:rsidRPr="00A4038A">
        <w:rPr>
          <w:rFonts w:ascii="Times New Roman" w:hAnsi="Times New Roman"/>
          <w:shd w:val="clear" w:color="auto" w:fill="FFFFFF"/>
        </w:rPr>
        <w:t xml:space="preserve">These colonial legal infrastructures were </w:t>
      </w:r>
      <w:r w:rsidR="00105024" w:rsidRPr="00A4038A">
        <w:rPr>
          <w:rFonts w:ascii="Times New Roman" w:hAnsi="Times New Roman"/>
        </w:rPr>
        <w:t xml:space="preserve">indeed a much more aggressive process of land transformation whereby the state claimed the rights to grant </w:t>
      </w:r>
      <w:r w:rsidR="00E631DC">
        <w:rPr>
          <w:rFonts w:ascii="Times New Roman" w:hAnsi="Times New Roman"/>
          <w:i/>
        </w:rPr>
        <w:t>erfpa</w:t>
      </w:r>
      <w:r w:rsidR="00105024" w:rsidRPr="00A4038A">
        <w:rPr>
          <w:rFonts w:ascii="Times New Roman" w:hAnsi="Times New Roman"/>
          <w:i/>
        </w:rPr>
        <w:t>ch</w:t>
      </w:r>
      <w:r w:rsidR="00E631DC">
        <w:rPr>
          <w:rFonts w:ascii="Times New Roman" w:hAnsi="Times New Roman"/>
          <w:i/>
        </w:rPr>
        <w:t>t</w:t>
      </w:r>
      <w:r w:rsidR="00105024" w:rsidRPr="00A4038A">
        <w:rPr>
          <w:rFonts w:ascii="Times New Roman" w:hAnsi="Times New Roman"/>
        </w:rPr>
        <w:t xml:space="preserve">or </w:t>
      </w:r>
      <w:r w:rsidR="00105024" w:rsidRPr="00A4038A">
        <w:rPr>
          <w:rFonts w:ascii="Times New Roman" w:hAnsi="Times New Roman"/>
          <w:shd w:val="clear" w:color="auto" w:fill="FFFFFF"/>
        </w:rPr>
        <w:t xml:space="preserve">concession licenses to foreign companies; </w:t>
      </w:r>
      <w:r w:rsidR="00105024" w:rsidRPr="00A4038A">
        <w:rPr>
          <w:rFonts w:ascii="Times New Roman" w:hAnsi="Times New Roman"/>
        </w:rPr>
        <w:t>a prerequisite for facilitating expansive capital accumulation</w:t>
      </w:r>
      <w:r w:rsidR="00105024" w:rsidRPr="00A4038A">
        <w:rPr>
          <w:rFonts w:ascii="Times New Roman" w:hAnsi="Times New Roman"/>
          <w:shd w:val="clear" w:color="auto" w:fill="FFFFFF"/>
        </w:rPr>
        <w:t>. The law symbolized a new era of the plundering of natural resources and labor, where global capital raced to the new frontiers in the Outer Islands of the archipelago, especially Sumatra, for large-scale plantation industry. In 1938, there were 2.400 private European and US plantation companies controlling 2,500,000 hectares of land</w:t>
      </w:r>
      <w:r w:rsidR="00105024" w:rsidRPr="00A4038A">
        <w:rPr>
          <w:rFonts w:ascii="Times New Roman" w:hAnsi="Times New Roman"/>
        </w:rPr>
        <w:t xml:space="preserve"> producing tobacco, rubber and palm oil (Muttaqien, Ahmad and Wagiman 2012: ix). </w:t>
      </w:r>
    </w:p>
    <w:p w:rsidR="00105024" w:rsidRPr="00A4038A" w:rsidRDefault="00105024" w:rsidP="00105024">
      <w:pPr>
        <w:pStyle w:val="NormalWeb"/>
        <w:spacing w:before="0" w:beforeAutospacing="0" w:after="0" w:afterAutospacing="0"/>
        <w:ind w:firstLine="851"/>
        <w:rPr>
          <w:rFonts w:ascii="Times New Roman" w:hAnsi="Times New Roman"/>
          <w:sz w:val="24"/>
          <w:szCs w:val="24"/>
        </w:rPr>
      </w:pPr>
      <w:r w:rsidRPr="00A4038A">
        <w:rPr>
          <w:rFonts w:ascii="Times New Roman" w:hAnsi="Times New Roman"/>
          <w:sz w:val="24"/>
          <w:szCs w:val="24"/>
        </w:rPr>
        <w:t xml:space="preserve">Large-scale natural resource concessions for the extraction of raw materials was perpetuated as key strategy of the extractive regime in Indonesia, pursued through the politics of territorialization by the state in order to control the population and their activities by creating geographical divisions which prevented access for certain groups while permitting or banning activities along such divisions of territory. There were essentially three stages of territorialization: (1) claiming all lands belonged to the state; (2) stipulating land boundaries determining as state-owned lands; and (3) creating programs whereby the forest was distributed in accordance with its’ scientific functions, which in turn lead to the stipulation of the political forest, i.e. designation of boundaries between agricultural and forest land and state claiming over all forest land (Peluso and Vandergeest 2001). The politics of territorialization also led to the creation of an economic enclave system with large export-oriented plantation estates as the centers of colonial </w:t>
      </w:r>
      <w:r w:rsidR="00B76CEF" w:rsidRPr="00A4038A">
        <w:rPr>
          <w:rFonts w:ascii="Times New Roman" w:hAnsi="Times New Roman"/>
          <w:sz w:val="24"/>
          <w:szCs w:val="24"/>
        </w:rPr>
        <w:t xml:space="preserve">and post-colonial </w:t>
      </w:r>
      <w:r w:rsidRPr="00A4038A">
        <w:rPr>
          <w:rFonts w:ascii="Times New Roman" w:hAnsi="Times New Roman"/>
          <w:sz w:val="24"/>
          <w:szCs w:val="24"/>
        </w:rPr>
        <w:t>exploitation.</w:t>
      </w:r>
    </w:p>
    <w:p w:rsidR="00105024" w:rsidRPr="00A4038A" w:rsidRDefault="00105024" w:rsidP="00C6671D">
      <w:pPr>
        <w:pStyle w:val="NormalWeb"/>
        <w:spacing w:before="0" w:beforeAutospacing="0" w:after="0" w:afterAutospacing="0"/>
        <w:ind w:firstLine="720"/>
        <w:rPr>
          <w:rFonts w:ascii="Times New Roman" w:hAnsi="Times New Roman"/>
          <w:sz w:val="24"/>
          <w:szCs w:val="24"/>
        </w:rPr>
      </w:pPr>
      <w:r w:rsidRPr="00A4038A">
        <w:rPr>
          <w:rFonts w:ascii="Times New Roman" w:hAnsi="Times New Roman"/>
          <w:sz w:val="24"/>
          <w:szCs w:val="24"/>
        </w:rPr>
        <w:t xml:space="preserve">To facilitate this massive land appropriation, the Suharto regime adopted the colonial concept of </w:t>
      </w:r>
      <w:r w:rsidRPr="00A4038A">
        <w:rPr>
          <w:rFonts w:ascii="Times New Roman" w:hAnsi="Times New Roman"/>
          <w:i/>
          <w:sz w:val="24"/>
          <w:szCs w:val="24"/>
        </w:rPr>
        <w:t>political forest</w:t>
      </w:r>
      <w:r w:rsidRPr="00A4038A">
        <w:rPr>
          <w:rFonts w:ascii="Times New Roman" w:hAnsi="Times New Roman"/>
          <w:sz w:val="24"/>
          <w:szCs w:val="24"/>
        </w:rPr>
        <w:t xml:space="preserve"> and combined it with the </w:t>
      </w:r>
      <w:r w:rsidRPr="00A4038A">
        <w:rPr>
          <w:rFonts w:ascii="Times New Roman" w:hAnsi="Times New Roman"/>
          <w:i/>
          <w:sz w:val="24"/>
          <w:szCs w:val="24"/>
        </w:rPr>
        <w:t>industrial forest</w:t>
      </w:r>
      <w:r w:rsidRPr="00A4038A">
        <w:rPr>
          <w:rFonts w:ascii="Times New Roman" w:hAnsi="Times New Roman"/>
          <w:sz w:val="24"/>
          <w:szCs w:val="24"/>
        </w:rPr>
        <w:t xml:space="preserve"> (Peluso 1992) as the main means for gaining control over land and forest resources. In order to accelerate natural resource extraction, the government approved the Basic Forestry Law of 1967 and the revised Forestry Law No. 41/ 1999, which endorsed the emergence of forest capitalism aimed at sustaining lucrative glob</w:t>
      </w:r>
      <w:r w:rsidR="00406F78" w:rsidRPr="00A4038A">
        <w:rPr>
          <w:rFonts w:ascii="Times New Roman" w:hAnsi="Times New Roman"/>
          <w:sz w:val="24"/>
          <w:szCs w:val="24"/>
        </w:rPr>
        <w:t>al production and consumption</w:t>
      </w:r>
      <w:r w:rsidRPr="00A4038A">
        <w:rPr>
          <w:rFonts w:ascii="Times New Roman" w:hAnsi="Times New Roman"/>
          <w:sz w:val="24"/>
          <w:szCs w:val="24"/>
        </w:rPr>
        <w:t xml:space="preserve"> to accumulate wealth from exploitation of primary forest for timber in Sumatera, Kalimantan, Sulawesi, and Papua islands. </w:t>
      </w:r>
      <w:r w:rsidR="00623507" w:rsidRPr="00A4038A">
        <w:rPr>
          <w:rFonts w:ascii="Times New Roman" w:hAnsi="Times New Roman"/>
          <w:sz w:val="24"/>
          <w:szCs w:val="24"/>
        </w:rPr>
        <w:t xml:space="preserve">Withthemassive </w:t>
      </w:r>
      <w:r w:rsidR="00406F78" w:rsidRPr="00A4038A">
        <w:rPr>
          <w:rFonts w:ascii="Times New Roman" w:hAnsi="Times New Roman"/>
          <w:sz w:val="24"/>
          <w:szCs w:val="24"/>
        </w:rPr>
        <w:t xml:space="preserve">capital </w:t>
      </w:r>
      <w:r w:rsidR="00623507" w:rsidRPr="00A4038A">
        <w:rPr>
          <w:rFonts w:ascii="Times New Roman" w:hAnsi="Times New Roman"/>
          <w:sz w:val="24"/>
          <w:szCs w:val="24"/>
        </w:rPr>
        <w:t xml:space="preserve">expansion to the rural frontiers, the resistance of the affected social groups is also escalating, particularly after the fall of Suharto. Down to Earth (2002) reported a study during the period of 1998–2001 documented over 800 arrests, over 400 cases of torture, and 12 deaths in connection </w:t>
      </w:r>
      <w:r w:rsidR="009A1831" w:rsidRPr="00A4038A">
        <w:rPr>
          <w:rFonts w:ascii="Times New Roman" w:hAnsi="Times New Roman"/>
          <w:sz w:val="24"/>
          <w:szCs w:val="24"/>
        </w:rPr>
        <w:t xml:space="preserve">to </w:t>
      </w:r>
      <w:r w:rsidR="00623507" w:rsidRPr="00A4038A">
        <w:rPr>
          <w:rFonts w:ascii="Times New Roman" w:hAnsi="Times New Roman"/>
          <w:sz w:val="24"/>
          <w:szCs w:val="24"/>
        </w:rPr>
        <w:t>land conflicts with plantation</w:t>
      </w:r>
      <w:r w:rsidR="00B0730A" w:rsidRPr="00A4038A">
        <w:rPr>
          <w:rFonts w:ascii="Times New Roman" w:hAnsi="Times New Roman"/>
          <w:sz w:val="24"/>
          <w:szCs w:val="24"/>
        </w:rPr>
        <w:t xml:space="preserve"> sector </w:t>
      </w:r>
      <w:r w:rsidR="00505EBC" w:rsidRPr="00A4038A">
        <w:rPr>
          <w:rFonts w:ascii="Times New Roman" w:hAnsi="Times New Roman"/>
          <w:sz w:val="24"/>
          <w:szCs w:val="24"/>
        </w:rPr>
        <w:t>alone</w:t>
      </w:r>
      <w:r w:rsidR="00623507" w:rsidRPr="00A4038A">
        <w:rPr>
          <w:rFonts w:ascii="Times New Roman" w:hAnsi="Times New Roman"/>
          <w:sz w:val="24"/>
          <w:szCs w:val="24"/>
        </w:rPr>
        <w:t>.</w:t>
      </w:r>
    </w:p>
    <w:p w:rsidR="00105024" w:rsidRPr="00A4038A" w:rsidRDefault="00105024" w:rsidP="001050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szCs w:val="20"/>
          <w:lang w:val="en-CA"/>
        </w:rPr>
      </w:pPr>
    </w:p>
    <w:p w:rsidR="007F1130" w:rsidRPr="00A4038A" w:rsidRDefault="007F1130" w:rsidP="00C402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hAnsi="Times New Roman"/>
          <w:b/>
        </w:rPr>
      </w:pPr>
      <w:r w:rsidRPr="00A4038A">
        <w:rPr>
          <w:rFonts w:ascii="Times New Roman" w:hAnsi="Times New Roman"/>
          <w:b/>
        </w:rPr>
        <w:t>Contemporary indigeneity politics in Indonesia</w:t>
      </w:r>
    </w:p>
    <w:p w:rsidR="007F1130" w:rsidRPr="00A4038A" w:rsidRDefault="007F1130" w:rsidP="007F11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A965F5" w:rsidRPr="00D344A6" w:rsidRDefault="007F1130" w:rsidP="00A965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7030A0"/>
        </w:rPr>
      </w:pPr>
      <w:r w:rsidRPr="00A4038A">
        <w:rPr>
          <w:rFonts w:ascii="Times New Roman" w:hAnsi="Times New Roman"/>
        </w:rPr>
        <w:t>Despite the grim portrait of the ongoing accumulation by dispossession, it would be a serious flaw to neglect the pe</w:t>
      </w:r>
      <w:r w:rsidR="00F27B7A">
        <w:rPr>
          <w:rFonts w:ascii="Times New Roman" w:hAnsi="Times New Roman"/>
        </w:rPr>
        <w:t>rseverance of the subaltern in ‘</w:t>
      </w:r>
      <w:r w:rsidRPr="00A4038A">
        <w:rPr>
          <w:rFonts w:ascii="Times New Roman" w:hAnsi="Times New Roman"/>
        </w:rPr>
        <w:t>offer[ing] a local and indigenous (and therefore culturally-legitimate) way of questioning the violence of the postcolonial developmental state</w:t>
      </w:r>
      <w:r w:rsidR="00F27B7A">
        <w:rPr>
          <w:rFonts w:ascii="Times New Roman" w:hAnsi="Times New Roman"/>
        </w:rPr>
        <w:t>’</w:t>
      </w:r>
      <w:r w:rsidRPr="00A4038A">
        <w:rPr>
          <w:rFonts w:ascii="Times New Roman" w:hAnsi="Times New Roman"/>
        </w:rPr>
        <w:t xml:space="preserve"> (Rajagopal 2003: 254). The indigenous movement in Indonesia, which is </w:t>
      </w:r>
      <w:r w:rsidRPr="00A4038A">
        <w:rPr>
          <w:rFonts w:ascii="Times New Roman" w:hAnsi="Times New Roman"/>
        </w:rPr>
        <w:lastRenderedPageBreak/>
        <w:t xml:space="preserve">primarily germinated from the local resistance against the accumulation by dispossession (Harvey 2003) from their customary lands and territories, substantiates this line of thought. The long precarious </w:t>
      </w:r>
      <w:r w:rsidR="00F27B7A">
        <w:rPr>
          <w:rFonts w:ascii="Times New Roman" w:hAnsi="Times New Roman"/>
        </w:rPr>
        <w:t>‘</w:t>
      </w:r>
      <w:r w:rsidRPr="00A4038A">
        <w:rPr>
          <w:rFonts w:ascii="Times New Roman" w:hAnsi="Times New Roman"/>
        </w:rPr>
        <w:t>trisula</w:t>
      </w:r>
      <w:r w:rsidR="007D2118" w:rsidRPr="00A4038A">
        <w:rPr>
          <w:rFonts w:ascii="Times New Roman" w:hAnsi="Times New Roman"/>
        </w:rPr>
        <w:t>of dispossession</w:t>
      </w:r>
      <w:r w:rsidR="00F27B7A">
        <w:rPr>
          <w:rFonts w:ascii="Times New Roman" w:hAnsi="Times New Roman"/>
        </w:rPr>
        <w:t>’</w:t>
      </w:r>
      <w:r w:rsidRPr="00A4038A">
        <w:rPr>
          <w:rFonts w:ascii="Times New Roman" w:hAnsi="Times New Roman"/>
        </w:rPr>
        <w:t xml:space="preserve">(Topatimasang, </w:t>
      </w:r>
      <w:r w:rsidR="007D2118" w:rsidRPr="00A4038A">
        <w:rPr>
          <w:rFonts w:ascii="Times New Roman" w:hAnsi="Times New Roman"/>
        </w:rPr>
        <w:t>2004</w:t>
      </w:r>
      <w:r w:rsidRPr="00A4038A">
        <w:rPr>
          <w:rFonts w:ascii="Times New Roman" w:hAnsi="Times New Roman"/>
        </w:rPr>
        <w:t xml:space="preserve">), i.e. massive capital intervention, centralization of power, and imposition of values, for more the three decades under Suharto authoritarian centralistic power provided shared aspirations among the separate customary groups in their struggle for recognition over their territorial sovereignty in different parts of archipelago. </w:t>
      </w:r>
      <w:r w:rsidR="00F67839">
        <w:rPr>
          <w:rFonts w:ascii="Times New Roman" w:hAnsi="Times New Roman"/>
        </w:rPr>
        <w:t xml:space="preserve">This is particularly the case with customary groups in the Outer Islands, </w:t>
      </w:r>
      <w:r w:rsidR="0081535D">
        <w:rPr>
          <w:rFonts w:ascii="Times New Roman" w:hAnsi="Times New Roman"/>
        </w:rPr>
        <w:t xml:space="preserve">especially </w:t>
      </w:r>
      <w:r w:rsidR="00F67839" w:rsidRPr="0081535D">
        <w:rPr>
          <w:rFonts w:ascii="Times New Roman" w:hAnsi="Times New Roman"/>
        </w:rPr>
        <w:t xml:space="preserve">in Sumatra, Sulawesi, Kalimantan and Papua, where approximately two-thirds to three-quarters of the land </w:t>
      </w:r>
      <w:r w:rsidR="00C171B1" w:rsidRPr="0081535D">
        <w:rPr>
          <w:rFonts w:ascii="Times New Roman" w:hAnsi="Times New Roman"/>
        </w:rPr>
        <w:t>in the rural frontiers of these region</w:t>
      </w:r>
      <w:r w:rsidR="0081535D">
        <w:rPr>
          <w:rFonts w:ascii="Times New Roman" w:hAnsi="Times New Roman"/>
        </w:rPr>
        <w:t>s</w:t>
      </w:r>
      <w:r w:rsidR="00C171B1" w:rsidRPr="0081535D">
        <w:rPr>
          <w:rFonts w:ascii="Times New Roman" w:hAnsi="Times New Roman"/>
        </w:rPr>
        <w:t xml:space="preserve"> are </w:t>
      </w:r>
      <w:r w:rsidR="00F67839" w:rsidRPr="0081535D">
        <w:rPr>
          <w:rFonts w:ascii="Times New Roman" w:hAnsi="Times New Roman"/>
        </w:rPr>
        <w:t>under the jurisdiction of the Forestry Department</w:t>
      </w:r>
      <w:r w:rsidR="00D344A6">
        <w:rPr>
          <w:rFonts w:ascii="Times New Roman" w:hAnsi="Times New Roman"/>
        </w:rPr>
        <w:t>.</w:t>
      </w:r>
      <w:r w:rsidR="0081535D" w:rsidRPr="00D344A6">
        <w:rPr>
          <w:rFonts w:ascii="Times New Roman" w:hAnsi="Times New Roman"/>
        </w:rPr>
        <w:t xml:space="preserve">The </w:t>
      </w:r>
      <w:r w:rsidR="00C03AB4">
        <w:rPr>
          <w:rFonts w:ascii="Times New Roman" w:hAnsi="Times New Roman"/>
        </w:rPr>
        <w:t xml:space="preserve">expropriation of </w:t>
      </w:r>
      <w:r w:rsidR="0081535D" w:rsidRPr="00D344A6">
        <w:rPr>
          <w:rFonts w:ascii="Times New Roman" w:hAnsi="Times New Roman"/>
        </w:rPr>
        <w:t>customary communities</w:t>
      </w:r>
      <w:r w:rsidR="00C03AB4">
        <w:rPr>
          <w:rFonts w:ascii="Times New Roman" w:hAnsi="Times New Roman"/>
        </w:rPr>
        <w:t xml:space="preserve"> from their </w:t>
      </w:r>
      <w:r w:rsidR="0081535D" w:rsidRPr="00D344A6">
        <w:rPr>
          <w:rFonts w:ascii="Times New Roman" w:hAnsi="Times New Roman"/>
        </w:rPr>
        <w:t>lands and territor</w:t>
      </w:r>
      <w:r w:rsidR="00C03AB4">
        <w:rPr>
          <w:rFonts w:ascii="Times New Roman" w:hAnsi="Times New Roman"/>
        </w:rPr>
        <w:t>ies</w:t>
      </w:r>
      <w:r w:rsidR="0081535D" w:rsidRPr="00D344A6">
        <w:rPr>
          <w:rFonts w:ascii="Times New Roman" w:hAnsi="Times New Roman"/>
        </w:rPr>
        <w:t xml:space="preserve"> positioned the</w:t>
      </w:r>
      <w:r w:rsidR="00FD096A" w:rsidRPr="00D344A6">
        <w:rPr>
          <w:rFonts w:ascii="Times New Roman" w:hAnsi="Times New Roman"/>
        </w:rPr>
        <w:t>m</w:t>
      </w:r>
      <w:r w:rsidR="008108D9" w:rsidRPr="00D344A6">
        <w:rPr>
          <w:rFonts w:ascii="Times New Roman" w:hAnsi="Times New Roman"/>
        </w:rPr>
        <w:t xml:space="preserve">in </w:t>
      </w:r>
      <w:r w:rsidR="00FD096A" w:rsidRPr="00D344A6">
        <w:rPr>
          <w:rFonts w:ascii="Times New Roman" w:hAnsi="Times New Roman"/>
        </w:rPr>
        <w:t>constant disputes with</w:t>
      </w:r>
      <w:r w:rsidR="005B41C7">
        <w:rPr>
          <w:rFonts w:ascii="Times New Roman" w:hAnsi="Times New Roman"/>
        </w:rPr>
        <w:t>ex</w:t>
      </w:r>
      <w:r w:rsidR="00A734A4">
        <w:rPr>
          <w:rFonts w:ascii="Times New Roman" w:hAnsi="Times New Roman"/>
        </w:rPr>
        <w:t xml:space="preserve">tractive industries and </w:t>
      </w:r>
      <w:r w:rsidR="008108D9" w:rsidRPr="00D344A6">
        <w:rPr>
          <w:rFonts w:ascii="Times New Roman" w:hAnsi="Times New Roman"/>
        </w:rPr>
        <w:t xml:space="preserve">large-scale development projects related to </w:t>
      </w:r>
      <w:r w:rsidR="00A734A4">
        <w:rPr>
          <w:rFonts w:ascii="Times New Roman" w:hAnsi="Times New Roman"/>
        </w:rPr>
        <w:t xml:space="preserve">mining, </w:t>
      </w:r>
      <w:r w:rsidR="008108D9" w:rsidRPr="00D344A6">
        <w:rPr>
          <w:rFonts w:ascii="Times New Roman" w:hAnsi="Times New Roman"/>
        </w:rPr>
        <w:t xml:space="preserve">forestry, plantations, transmigration, dams </w:t>
      </w:r>
      <w:r w:rsidR="00A734A4">
        <w:rPr>
          <w:rFonts w:ascii="Times New Roman" w:hAnsi="Times New Roman"/>
        </w:rPr>
        <w:t xml:space="preserve">and </w:t>
      </w:r>
      <w:r w:rsidR="008108D9" w:rsidRPr="00D344A6">
        <w:rPr>
          <w:rFonts w:ascii="Times New Roman" w:hAnsi="Times New Roman"/>
        </w:rPr>
        <w:t>tourism</w:t>
      </w:r>
      <w:r w:rsidR="00FD096A" w:rsidRPr="00D344A6">
        <w:rPr>
          <w:rFonts w:ascii="Times New Roman" w:hAnsi="Times New Roman"/>
        </w:rPr>
        <w:t xml:space="preserve">, as well as the fortress </w:t>
      </w:r>
      <w:r w:rsidR="008108D9" w:rsidRPr="00D344A6">
        <w:rPr>
          <w:rFonts w:ascii="Times New Roman" w:hAnsi="Times New Roman"/>
        </w:rPr>
        <w:t>conservation.</w:t>
      </w:r>
    </w:p>
    <w:p w:rsidR="0042239B" w:rsidRDefault="00621961" w:rsidP="0042239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rPr>
      </w:pPr>
      <w:r>
        <w:rPr>
          <w:rFonts w:ascii="Times New Roman" w:hAnsi="Times New Roman"/>
        </w:rPr>
        <w:t xml:space="preserve">In facing </w:t>
      </w:r>
      <w:r w:rsidR="00C4100C">
        <w:rPr>
          <w:rFonts w:ascii="Times New Roman" w:hAnsi="Times New Roman"/>
        </w:rPr>
        <w:t xml:space="preserve">the </w:t>
      </w:r>
      <w:r w:rsidR="00306745">
        <w:rPr>
          <w:rFonts w:ascii="Times New Roman" w:hAnsi="Times New Roman"/>
        </w:rPr>
        <w:t xml:space="preserve">long </w:t>
      </w:r>
      <w:r w:rsidR="00C4100C">
        <w:rPr>
          <w:rFonts w:ascii="Times New Roman" w:hAnsi="Times New Roman"/>
        </w:rPr>
        <w:t>repressions of the militaristic corporatized state apparatus</w:t>
      </w:r>
      <w:r w:rsidR="006329B3">
        <w:rPr>
          <w:rFonts w:ascii="Times New Roman" w:hAnsi="Times New Roman"/>
        </w:rPr>
        <w:t xml:space="preserve"> under Suharto regime</w:t>
      </w:r>
      <w:r w:rsidR="00C4100C">
        <w:rPr>
          <w:rFonts w:ascii="Times New Roman" w:hAnsi="Times New Roman"/>
        </w:rPr>
        <w:t>, the customary groups, who mostly rely on forest resources and swidden agriculture, continue</w:t>
      </w:r>
      <w:r w:rsidR="006329B3">
        <w:rPr>
          <w:rFonts w:ascii="Times New Roman" w:hAnsi="Times New Roman"/>
        </w:rPr>
        <w:t>d</w:t>
      </w:r>
      <w:r w:rsidR="00C4100C">
        <w:rPr>
          <w:rFonts w:ascii="Times New Roman" w:hAnsi="Times New Roman"/>
        </w:rPr>
        <w:t xml:space="preserve"> to challenge the </w:t>
      </w:r>
      <w:r w:rsidR="00C4100C" w:rsidRPr="00A4038A">
        <w:rPr>
          <w:rFonts w:ascii="Times New Roman" w:hAnsi="Times New Roman"/>
        </w:rPr>
        <w:t xml:space="preserve">natural resource extraction companies and local authorities </w:t>
      </w:r>
      <w:r w:rsidR="00C4100C">
        <w:rPr>
          <w:rFonts w:ascii="Times New Roman" w:hAnsi="Times New Roman"/>
        </w:rPr>
        <w:t xml:space="preserve">usurping </w:t>
      </w:r>
      <w:r w:rsidR="00C4100C" w:rsidRPr="00A4038A">
        <w:rPr>
          <w:rFonts w:ascii="Times New Roman" w:hAnsi="Times New Roman"/>
        </w:rPr>
        <w:t>their lands</w:t>
      </w:r>
      <w:r w:rsidR="00C4100C">
        <w:rPr>
          <w:rFonts w:ascii="Times New Roman" w:hAnsi="Times New Roman"/>
        </w:rPr>
        <w:t xml:space="preserve">. In West Kalimantan, </w:t>
      </w:r>
      <w:r w:rsidR="006329B3">
        <w:rPr>
          <w:rFonts w:ascii="Times New Roman" w:hAnsi="Times New Roman"/>
        </w:rPr>
        <w:t xml:space="preserve">the </w:t>
      </w:r>
      <w:r w:rsidR="00A965F5" w:rsidRPr="00A4038A">
        <w:rPr>
          <w:rFonts w:ascii="Times New Roman" w:hAnsi="Times New Roman"/>
        </w:rPr>
        <w:t>DayakSimpang</w:t>
      </w:r>
      <w:r w:rsidR="006329B3">
        <w:rPr>
          <w:rFonts w:ascii="Times New Roman" w:hAnsi="Times New Roman"/>
        </w:rPr>
        <w:t xml:space="preserve">people </w:t>
      </w:r>
      <w:r w:rsidR="00A965F5" w:rsidRPr="00A4038A">
        <w:rPr>
          <w:rFonts w:ascii="Times New Roman" w:hAnsi="Times New Roman"/>
        </w:rPr>
        <w:t>have resistedpalm oil development and logging concessions on their customary lands.In East Kalimantan, DayakBentian foughtagainst logging companies clearing their forests and thereby ruining theirrattan gardens.</w:t>
      </w:r>
      <w:r w:rsidR="00FD096A">
        <w:rPr>
          <w:rFonts w:ascii="Times New Roman" w:hAnsi="Times New Roman"/>
        </w:rPr>
        <w:t xml:space="preserve"> In Central Sulawesi, </w:t>
      </w:r>
      <w:r w:rsidR="00C4100C">
        <w:rPr>
          <w:rFonts w:ascii="Times New Roman" w:hAnsi="Times New Roman"/>
        </w:rPr>
        <w:t xml:space="preserve">the </w:t>
      </w:r>
      <w:r w:rsidR="008E195F">
        <w:rPr>
          <w:rFonts w:ascii="Times New Roman" w:hAnsi="Times New Roman"/>
        </w:rPr>
        <w:t>rising</w:t>
      </w:r>
      <w:r w:rsidR="00C4100C" w:rsidRPr="00F27B7A">
        <w:rPr>
          <w:rFonts w:ascii="Times New Roman" w:hAnsi="Times New Roman"/>
        </w:rPr>
        <w:t>protests</w:t>
      </w:r>
      <w:r w:rsidR="00C4100C">
        <w:rPr>
          <w:rFonts w:ascii="Times New Roman" w:hAnsi="Times New Roman"/>
        </w:rPr>
        <w:t xml:space="preserve"> against the government plan to </w:t>
      </w:r>
      <w:r w:rsidR="006329B3">
        <w:rPr>
          <w:rFonts w:ascii="Times New Roman" w:hAnsi="Times New Roman"/>
        </w:rPr>
        <w:t xml:space="preserve">build </w:t>
      </w:r>
      <w:r w:rsidR="00C4100C" w:rsidRPr="00A4038A">
        <w:rPr>
          <w:rFonts w:ascii="Times New Roman" w:hAnsi="Times New Roman"/>
          <w:lang w:val="en-CA"/>
        </w:rPr>
        <w:t>a hydro-electric power station</w:t>
      </w:r>
      <w:r w:rsidR="006329B3">
        <w:rPr>
          <w:rFonts w:ascii="Times New Roman" w:hAnsi="Times New Roman"/>
          <w:lang w:val="en-CA"/>
        </w:rPr>
        <w:t xml:space="preserve"> in </w:t>
      </w:r>
      <w:r w:rsidR="006329B3" w:rsidRPr="00A4038A">
        <w:rPr>
          <w:rFonts w:ascii="Times New Roman" w:hAnsi="Times New Roman"/>
        </w:rPr>
        <w:t>the LoreLindu National Park</w:t>
      </w:r>
      <w:r w:rsidR="006329B3">
        <w:rPr>
          <w:rFonts w:ascii="Times New Roman" w:hAnsi="Times New Roman"/>
        </w:rPr>
        <w:t xml:space="preserve">led to the abandonment of the project. In the same region, the Katu people managed to reclaim their customary territory which had been allocated as part of the </w:t>
      </w:r>
      <w:r w:rsidR="006329B3" w:rsidRPr="00A4038A">
        <w:rPr>
          <w:rFonts w:ascii="Times New Roman" w:hAnsi="Times New Roman"/>
        </w:rPr>
        <w:t>LoreLindu National Park</w:t>
      </w:r>
      <w:r w:rsidR="006329B3" w:rsidRPr="00A4038A">
        <w:rPr>
          <w:rFonts w:ascii="Times New Roman" w:hAnsi="Times New Roman"/>
          <w:lang w:val="en-CA"/>
        </w:rPr>
        <w:t>based on their arguments of indigenous rights</w:t>
      </w:r>
      <w:r w:rsidR="006329B3">
        <w:rPr>
          <w:rFonts w:ascii="Times New Roman" w:hAnsi="Times New Roman"/>
          <w:lang w:val="en-CA"/>
        </w:rPr>
        <w:t xml:space="preserve">. </w:t>
      </w:r>
    </w:p>
    <w:p w:rsidR="00306745" w:rsidRDefault="008E195F" w:rsidP="003067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rPr>
      </w:pPr>
      <w:r>
        <w:rPr>
          <w:rFonts w:ascii="Times New Roman" w:hAnsi="Times New Roman"/>
        </w:rPr>
        <w:t xml:space="preserve">In many of these local resistances, women played important roles in mobilizing series of direct actions at the grassroots level. In late 1980’s, a group of women </w:t>
      </w:r>
      <w:r w:rsidR="003475AD">
        <w:rPr>
          <w:rFonts w:ascii="Times New Roman" w:hAnsi="Times New Roman"/>
        </w:rPr>
        <w:t xml:space="preserve">led by NaiSinta from Sugapa Village, North Sumatra, </w:t>
      </w:r>
      <w:r>
        <w:rPr>
          <w:rFonts w:ascii="Times New Roman" w:hAnsi="Times New Roman"/>
        </w:rPr>
        <w:t>opposed PT IntiIndorayonUtama</w:t>
      </w:r>
      <w:r w:rsidRPr="00A4038A">
        <w:rPr>
          <w:rFonts w:ascii="Times New Roman" w:hAnsi="Times New Roman"/>
        </w:rPr>
        <w:t>(</w:t>
      </w:r>
      <w:r>
        <w:rPr>
          <w:rFonts w:ascii="Times New Roman" w:hAnsi="Times New Roman"/>
        </w:rPr>
        <w:t xml:space="preserve">now PT </w:t>
      </w:r>
      <w:r w:rsidRPr="00A4038A">
        <w:rPr>
          <w:rFonts w:ascii="Times New Roman" w:hAnsi="Times New Roman"/>
        </w:rPr>
        <w:t>Toba Pulp Lestari)</w:t>
      </w:r>
      <w:r w:rsidR="003475AD">
        <w:rPr>
          <w:rFonts w:ascii="Times New Roman" w:hAnsi="Times New Roman"/>
        </w:rPr>
        <w:t xml:space="preserve">, a pulp and paper company who was granted the permit to convert </w:t>
      </w:r>
      <w:r w:rsidR="003475AD" w:rsidRPr="00A4038A">
        <w:rPr>
          <w:rFonts w:ascii="Times New Roman" w:hAnsi="Times New Roman"/>
        </w:rPr>
        <w:t>a local forest into a timber plantation</w:t>
      </w:r>
      <w:r w:rsidR="003475AD">
        <w:rPr>
          <w:rFonts w:ascii="Times New Roman" w:hAnsi="Times New Roman"/>
        </w:rPr>
        <w:t xml:space="preserve">.In East Nusa Tenggara province, AletaBaun from Netpala Village led the </w:t>
      </w:r>
      <w:r w:rsidR="00946FE1">
        <w:rPr>
          <w:rFonts w:ascii="Times New Roman" w:hAnsi="Times New Roman"/>
        </w:rPr>
        <w:t xml:space="preserve">local </w:t>
      </w:r>
      <w:r w:rsidR="003475AD">
        <w:rPr>
          <w:rFonts w:ascii="Times New Roman" w:hAnsi="Times New Roman"/>
        </w:rPr>
        <w:t xml:space="preserve">resistance </w:t>
      </w:r>
      <w:r w:rsidR="00946FE1">
        <w:rPr>
          <w:rFonts w:ascii="Times New Roman" w:hAnsi="Times New Roman"/>
        </w:rPr>
        <w:t xml:space="preserve">against a </w:t>
      </w:r>
      <w:r w:rsidR="00946FE1" w:rsidRPr="002C1D71">
        <w:rPr>
          <w:rFonts w:ascii="Times New Roman" w:hAnsi="Times New Roman"/>
        </w:rPr>
        <w:t>mining company</w:t>
      </w:r>
      <w:r w:rsidR="00946FE1">
        <w:rPr>
          <w:rFonts w:ascii="Times New Roman" w:hAnsi="Times New Roman"/>
        </w:rPr>
        <w:t xml:space="preserve">since 1996. In Papua, Mama Yosepha led the struggle of the Amungme people against the state supported dispossession and oppression by the Freeport multinational mining company. In addition, </w:t>
      </w:r>
      <w:r w:rsidR="006577BB">
        <w:rPr>
          <w:rFonts w:ascii="Times New Roman" w:hAnsi="Times New Roman"/>
        </w:rPr>
        <w:t xml:space="preserve">around the same time in late 1990’s, the local </w:t>
      </w:r>
      <w:r w:rsidR="00A965F5" w:rsidRPr="00A4038A">
        <w:rPr>
          <w:rFonts w:ascii="Times New Roman" w:hAnsi="Times New Roman"/>
        </w:rPr>
        <w:t>indigenous people</w:t>
      </w:r>
      <w:r w:rsidR="00946FE1">
        <w:rPr>
          <w:rFonts w:ascii="Times New Roman" w:hAnsi="Times New Roman"/>
        </w:rPr>
        <w:t xml:space="preserve">s’ organizations and indigenous </w:t>
      </w:r>
      <w:r w:rsidR="00A965F5" w:rsidRPr="00A4038A">
        <w:rPr>
          <w:rFonts w:ascii="Times New Roman" w:hAnsi="Times New Roman"/>
        </w:rPr>
        <w:t>advocacy NGOs blossomed</w:t>
      </w:r>
      <w:r w:rsidR="006577BB">
        <w:rPr>
          <w:rFonts w:ascii="Times New Roman" w:hAnsi="Times New Roman"/>
        </w:rPr>
        <w:t xml:space="preserve">,such as </w:t>
      </w:r>
      <w:r w:rsidR="00946FE1">
        <w:rPr>
          <w:rFonts w:ascii="Times New Roman" w:hAnsi="Times New Roman"/>
        </w:rPr>
        <w:t>Yayasan Citra Mandiri</w:t>
      </w:r>
      <w:r w:rsidR="006577BB">
        <w:rPr>
          <w:rFonts w:ascii="Times New Roman" w:hAnsi="Times New Roman"/>
        </w:rPr>
        <w:t xml:space="preserve"> by young Mentawaians in </w:t>
      </w:r>
      <w:r w:rsidR="006577BB" w:rsidRPr="00A4038A">
        <w:rPr>
          <w:rFonts w:ascii="Times New Roman" w:hAnsi="Times New Roman"/>
        </w:rPr>
        <w:t>West Sumatra</w:t>
      </w:r>
      <w:r w:rsidR="006577BB">
        <w:rPr>
          <w:rFonts w:ascii="Times New Roman" w:hAnsi="Times New Roman"/>
        </w:rPr>
        <w:t xml:space="preserve">, </w:t>
      </w:r>
      <w:r w:rsidR="006577BB" w:rsidRPr="00A4038A">
        <w:rPr>
          <w:rFonts w:ascii="Times New Roman" w:hAnsi="Times New Roman"/>
        </w:rPr>
        <w:t>LembagaBelaBanuaTali</w:t>
      </w:r>
      <w:r w:rsidR="006577BB">
        <w:rPr>
          <w:rFonts w:ascii="Times New Roman" w:hAnsi="Times New Roman"/>
        </w:rPr>
        <w:t>no by</w:t>
      </w:r>
      <w:r w:rsidR="006577BB" w:rsidRPr="00A4038A">
        <w:rPr>
          <w:rFonts w:ascii="Times New Roman" w:hAnsi="Times New Roman"/>
        </w:rPr>
        <w:t xml:space="preserve"> young </w:t>
      </w:r>
      <w:r w:rsidR="006577BB">
        <w:rPr>
          <w:rFonts w:ascii="Times New Roman" w:hAnsi="Times New Roman"/>
        </w:rPr>
        <w:t xml:space="preserve">Dayak in </w:t>
      </w:r>
      <w:r w:rsidR="00946FE1">
        <w:rPr>
          <w:rFonts w:ascii="Times New Roman" w:hAnsi="Times New Roman"/>
        </w:rPr>
        <w:t xml:space="preserve">West </w:t>
      </w:r>
      <w:r w:rsidR="00A965F5" w:rsidRPr="00A4038A">
        <w:rPr>
          <w:rFonts w:ascii="Times New Roman" w:hAnsi="Times New Roman"/>
        </w:rPr>
        <w:t xml:space="preserve">Kalimantan </w:t>
      </w:r>
      <w:r w:rsidR="006577BB">
        <w:rPr>
          <w:rFonts w:ascii="Times New Roman" w:hAnsi="Times New Roman"/>
        </w:rPr>
        <w:t xml:space="preserve">and </w:t>
      </w:r>
      <w:r w:rsidR="006577BB" w:rsidRPr="00A4038A">
        <w:rPr>
          <w:rFonts w:ascii="Times New Roman" w:hAnsi="Times New Roman"/>
        </w:rPr>
        <w:t>LembagaBinaBenuaPutiJaj</w:t>
      </w:r>
      <w:r w:rsidR="006577BB">
        <w:rPr>
          <w:rFonts w:ascii="Times New Roman" w:hAnsi="Times New Roman"/>
        </w:rPr>
        <w:t xml:space="preserve">i in </w:t>
      </w:r>
      <w:r w:rsidR="00946FE1">
        <w:rPr>
          <w:rFonts w:ascii="Times New Roman" w:hAnsi="Times New Roman"/>
        </w:rPr>
        <w:t>East Kalimantan</w:t>
      </w:r>
      <w:r w:rsidR="006577BB">
        <w:rPr>
          <w:rFonts w:ascii="Times New Roman" w:hAnsi="Times New Roman"/>
        </w:rPr>
        <w:t xml:space="preserve">, </w:t>
      </w:r>
      <w:r w:rsidR="00946FE1">
        <w:rPr>
          <w:rFonts w:ascii="Times New Roman" w:hAnsi="Times New Roman"/>
        </w:rPr>
        <w:t xml:space="preserve">Baileo Maluku in Central </w:t>
      </w:r>
      <w:r w:rsidR="006577BB">
        <w:rPr>
          <w:rFonts w:ascii="Times New Roman" w:hAnsi="Times New Roman"/>
        </w:rPr>
        <w:t xml:space="preserve">and Southeast Moluccas,and </w:t>
      </w:r>
      <w:r w:rsidR="00A965F5" w:rsidRPr="00A4038A">
        <w:rPr>
          <w:rFonts w:ascii="Times New Roman" w:hAnsi="Times New Roman"/>
        </w:rPr>
        <w:t>LPPMA (LembagaPengkajiandanPemberdayaanMasyarakatAdat)</w:t>
      </w:r>
      <w:r w:rsidR="006577BB">
        <w:rPr>
          <w:rFonts w:ascii="Times New Roman" w:hAnsi="Times New Roman"/>
        </w:rPr>
        <w:t xml:space="preserve"> in </w:t>
      </w:r>
      <w:r w:rsidR="006577BB" w:rsidRPr="00A4038A">
        <w:rPr>
          <w:rFonts w:ascii="Times New Roman" w:hAnsi="Times New Roman"/>
        </w:rPr>
        <w:t xml:space="preserve">West </w:t>
      </w:r>
      <w:r w:rsidR="006577BB">
        <w:rPr>
          <w:rFonts w:ascii="Times New Roman" w:hAnsi="Times New Roman"/>
        </w:rPr>
        <w:t>Papua</w:t>
      </w:r>
      <w:r w:rsidR="00A965F5" w:rsidRPr="00A4038A">
        <w:rPr>
          <w:rFonts w:ascii="Times New Roman" w:hAnsi="Times New Roman"/>
        </w:rPr>
        <w:t xml:space="preserve">. </w:t>
      </w:r>
      <w:r w:rsidR="00306745">
        <w:rPr>
          <w:rFonts w:ascii="Times New Roman" w:hAnsi="Times New Roman"/>
        </w:rPr>
        <w:t>Moreover, t</w:t>
      </w:r>
      <w:r w:rsidR="00A965F5" w:rsidRPr="00A4038A">
        <w:rPr>
          <w:rFonts w:ascii="Times New Roman" w:hAnsi="Times New Roman"/>
        </w:rPr>
        <w:t xml:space="preserve">wo regional indigenous peoples’ organizations </w:t>
      </w:r>
      <w:r w:rsidR="0042239B">
        <w:rPr>
          <w:rFonts w:ascii="Times New Roman" w:hAnsi="Times New Roman"/>
        </w:rPr>
        <w:t xml:space="preserve">were founded during this period, </w:t>
      </w:r>
      <w:r w:rsidR="00E21728">
        <w:rPr>
          <w:rFonts w:ascii="Times New Roman" w:hAnsi="Times New Roman"/>
        </w:rPr>
        <w:t xml:space="preserve">in </w:t>
      </w:r>
      <w:r w:rsidR="00A965F5" w:rsidRPr="00A4038A">
        <w:rPr>
          <w:rFonts w:ascii="Times New Roman" w:hAnsi="Times New Roman"/>
        </w:rPr>
        <w:t>West Kalimantan andEast Nusa Tenggara (</w:t>
      </w:r>
      <w:r w:rsidR="00A965F5" w:rsidRPr="00F27B7A">
        <w:rPr>
          <w:rFonts w:ascii="Times New Roman" w:hAnsi="Times New Roman"/>
        </w:rPr>
        <w:t>Moniaga</w:t>
      </w:r>
      <w:r w:rsidR="0026343F" w:rsidRPr="00F27B7A">
        <w:rPr>
          <w:rFonts w:ascii="Times New Roman" w:hAnsi="Times New Roman"/>
        </w:rPr>
        <w:t xml:space="preserve">, </w:t>
      </w:r>
      <w:r w:rsidR="00F27B7A" w:rsidRPr="00F27B7A">
        <w:rPr>
          <w:rFonts w:ascii="Times New Roman" w:hAnsi="Times New Roman"/>
        </w:rPr>
        <w:t>2007</w:t>
      </w:r>
      <w:r w:rsidR="00A965F5" w:rsidRPr="00A4038A">
        <w:rPr>
          <w:rFonts w:ascii="Times New Roman" w:hAnsi="Times New Roman"/>
        </w:rPr>
        <w:t>)</w:t>
      </w:r>
      <w:r w:rsidR="00EC3FDC">
        <w:rPr>
          <w:rFonts w:ascii="Times New Roman" w:hAnsi="Times New Roman"/>
        </w:rPr>
        <w:t xml:space="preserve">. </w:t>
      </w:r>
    </w:p>
    <w:p w:rsidR="00D40DA9" w:rsidRDefault="007F1130" w:rsidP="00287B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color w:val="C00000"/>
        </w:rPr>
      </w:pPr>
      <w:r w:rsidRPr="00A4038A">
        <w:rPr>
          <w:rFonts w:ascii="Times New Roman" w:hAnsi="Times New Roman"/>
        </w:rPr>
        <w:t xml:space="preserve">The </w:t>
      </w:r>
      <w:r w:rsidR="00266F56" w:rsidRPr="00A4038A">
        <w:rPr>
          <w:rFonts w:ascii="Times New Roman" w:hAnsi="Times New Roman"/>
        </w:rPr>
        <w:t>magnification</w:t>
      </w:r>
      <w:r w:rsidRPr="00A4038A">
        <w:rPr>
          <w:rFonts w:ascii="Times New Roman" w:hAnsi="Times New Roman"/>
        </w:rPr>
        <w:t xml:space="preserve"> of localized direct actions and protests against the precarity of state endorsed dispossession and the opening up of political opportunities after the fall of Suharto provided a strong basis for a nationally coordinated social movement through the declaration of Indigenous Peoples Alliance of the Archipelago (AMAN). </w:t>
      </w:r>
      <w:r w:rsidR="007216F1">
        <w:rPr>
          <w:rFonts w:ascii="Times New Roman" w:hAnsi="Times New Roman"/>
        </w:rPr>
        <w:t xml:space="preserve">The establishment of AMAN is expected to address three key issues that </w:t>
      </w:r>
      <w:r w:rsidR="007216F1" w:rsidRPr="007216F1">
        <w:rPr>
          <w:rFonts w:ascii="Times New Roman" w:hAnsi="Times New Roman"/>
        </w:rPr>
        <w:t>the localized struggles of masyarakatadat</w:t>
      </w:r>
      <w:r w:rsidR="007216F1">
        <w:rPr>
          <w:rFonts w:ascii="Times New Roman" w:hAnsi="Times New Roman"/>
        </w:rPr>
        <w:t xml:space="preserve">have been facing, </w:t>
      </w:r>
      <w:r w:rsidR="007216F1" w:rsidRPr="007216F1">
        <w:rPr>
          <w:rFonts w:ascii="Times New Roman" w:hAnsi="Times New Roman"/>
        </w:rPr>
        <w:t>i.e. “a lack of guarantees for indigenous peoples’ land rights; pro</w:t>
      </w:r>
      <w:r w:rsidR="00E631DC">
        <w:rPr>
          <w:rFonts w:ascii="Times New Roman" w:hAnsi="Times New Roman"/>
        </w:rPr>
        <w:t>-</w:t>
      </w:r>
      <w:r w:rsidR="007216F1" w:rsidRPr="007216F1">
        <w:rPr>
          <w:rFonts w:ascii="Times New Roman" w:hAnsi="Times New Roman"/>
        </w:rPr>
        <w:t>capital policies of resource management; and involvement of the military in resource conflicts” (</w:t>
      </w:r>
      <w:r w:rsidR="007216F1">
        <w:rPr>
          <w:rFonts w:ascii="Times New Roman" w:hAnsi="Times New Roman"/>
        </w:rPr>
        <w:t>Sangaji,</w:t>
      </w:r>
      <w:r w:rsidR="00F27B7A">
        <w:rPr>
          <w:rFonts w:ascii="Times New Roman" w:hAnsi="Times New Roman"/>
        </w:rPr>
        <w:t xml:space="preserve"> 2007</w:t>
      </w:r>
      <w:r w:rsidR="007216F1" w:rsidRPr="007216F1">
        <w:rPr>
          <w:rFonts w:ascii="Times New Roman" w:hAnsi="Times New Roman"/>
        </w:rPr>
        <w:t xml:space="preserve">). </w:t>
      </w:r>
      <w:r w:rsidR="007216F1" w:rsidRPr="007216F1">
        <w:rPr>
          <w:rFonts w:ascii="Times New Roman" w:hAnsi="Times New Roman"/>
        </w:rPr>
        <w:lastRenderedPageBreak/>
        <w:t>Such a situation called for a wide</w:t>
      </w:r>
      <w:r w:rsidR="007216F1">
        <w:rPr>
          <w:rFonts w:ascii="Times New Roman" w:hAnsi="Times New Roman"/>
        </w:rPr>
        <w:t>r</w:t>
      </w:r>
      <w:r w:rsidR="007216F1" w:rsidRPr="007216F1">
        <w:rPr>
          <w:rFonts w:ascii="Times New Roman" w:hAnsi="Times New Roman"/>
        </w:rPr>
        <w:t>-ranging movement that goes beyond local boundaries driven by permanent organizational forms with institutionalized and democratic leadership</w:t>
      </w:r>
      <w:r w:rsidR="007216F1">
        <w:rPr>
          <w:rFonts w:ascii="Times New Roman" w:hAnsi="Times New Roman"/>
        </w:rPr>
        <w:t xml:space="preserve">. </w:t>
      </w:r>
      <w:r w:rsidR="00F73312" w:rsidRPr="00F73312">
        <w:rPr>
          <w:rFonts w:ascii="Times New Roman" w:hAnsi="Times New Roman"/>
        </w:rPr>
        <w:t>Initiated by AMA Kalbar, JKPP and JAPHAMA</w:t>
      </w:r>
      <w:r w:rsidR="00F73312">
        <w:rPr>
          <w:rFonts w:ascii="Times New Roman" w:hAnsi="Times New Roman"/>
        </w:rPr>
        <w:t>,t</w:t>
      </w:r>
      <w:r w:rsidRPr="00A4038A">
        <w:rPr>
          <w:rFonts w:ascii="Times New Roman" w:hAnsi="Times New Roman"/>
        </w:rPr>
        <w:t>his congress was organized by the local and regional coalitions of customary groups, with the support of the environmental, huma</w:t>
      </w:r>
      <w:r w:rsidR="006577BB">
        <w:rPr>
          <w:rFonts w:ascii="Times New Roman" w:hAnsi="Times New Roman"/>
        </w:rPr>
        <w:t>n rights and agrarian activists</w:t>
      </w:r>
      <w:r w:rsidR="00F73312">
        <w:rPr>
          <w:rFonts w:ascii="Times New Roman" w:hAnsi="Times New Roman"/>
          <w:color w:val="7030A0"/>
          <w:lang w:val="en-CA"/>
        </w:rPr>
        <w:t>.</w:t>
      </w:r>
      <w:r w:rsidR="00A469F0" w:rsidRPr="00A469F0">
        <w:rPr>
          <w:rFonts w:ascii="Times New Roman" w:hAnsi="Times New Roman"/>
        </w:rPr>
        <w:t>After the first AMAN congress in Jakarta, the regional groups was thrived even further, for instance the establishment AliansiMasyarakatAdat Sulawesi Tengah (Alliance of Adat Communities of Central Sulawesi, AMASUTA) on 16–20 May 2000, which then facilitated the formation of local masyarakatadat alliances at sub-provincial level, including the AliansiMasyarakatAdatTogian (AMAT) in the Togian islands and the DewanAdatMasyarakatDondo (DondoAdat Communi</w:t>
      </w:r>
      <w:r w:rsidR="007664EB">
        <w:rPr>
          <w:rFonts w:ascii="Times New Roman" w:hAnsi="Times New Roman"/>
        </w:rPr>
        <w:t>ty Council, DAMD) in Toli-Toli.</w:t>
      </w:r>
    </w:p>
    <w:p w:rsidR="007F1130" w:rsidRPr="00A4038A" w:rsidRDefault="007F1130" w:rsidP="007F11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rPr>
      </w:pPr>
      <w:r w:rsidRPr="00A4038A">
        <w:rPr>
          <w:rFonts w:ascii="Times New Roman" w:hAnsi="Times New Roman"/>
        </w:rPr>
        <w:t>The first author observed AMAN since its early foundation in the First Congress of Indigenous Peoples of the Archipelago (KMAN) in mid-March 1999 in Jakarta. As the executive committee of Agrarian Reform Consortium, one of the organizations supporting the congress, the first author facilitated a session where AMAN’s motto was clearly articulated: "If the state does not recognize us, we do not recognize the state"</w:t>
      </w:r>
      <w:r w:rsidR="00610A99" w:rsidRPr="00A4038A">
        <w:rPr>
          <w:rFonts w:ascii="Times New Roman" w:hAnsi="Times New Roman"/>
        </w:rPr>
        <w:t xml:space="preserve"> (Rachman, </w:t>
      </w:r>
      <w:r w:rsidR="002C4F04" w:rsidRPr="00A4038A">
        <w:rPr>
          <w:rFonts w:ascii="Times New Roman" w:hAnsi="Times New Roman"/>
        </w:rPr>
        <w:t>2014</w:t>
      </w:r>
      <w:r w:rsidR="00610A99" w:rsidRPr="00A4038A">
        <w:rPr>
          <w:rFonts w:ascii="Times New Roman" w:hAnsi="Times New Roman"/>
        </w:rPr>
        <w:t>)</w:t>
      </w:r>
      <w:r w:rsidRPr="00A4038A">
        <w:rPr>
          <w:rFonts w:ascii="Times New Roman" w:hAnsi="Times New Roman"/>
        </w:rPr>
        <w:t xml:space="preserve">.  </w:t>
      </w:r>
      <w:r w:rsidRPr="00A4038A">
        <w:rPr>
          <w:rFonts w:ascii="Times New Roman" w:hAnsi="Times New Roman"/>
          <w:lang w:val="en-CA"/>
        </w:rPr>
        <w:t xml:space="preserve">The motto concisely and precisely represents the problematic and contingent relation of indigenous people to the state, and formulates that the prime cause of their suffering experience, i.e. ‘the denial of the existence of customary communities as part of the citizens of the Republic of Indonesia’, as elaborated further </w:t>
      </w:r>
      <w:r w:rsidRPr="00A4038A">
        <w:rPr>
          <w:rFonts w:ascii="Times New Roman" w:hAnsi="Times New Roman"/>
        </w:rPr>
        <w:t>in AMAN’s statement of fundamental views as follows:</w:t>
      </w:r>
      <w:r w:rsidRPr="00A4038A">
        <w:rPr>
          <w:rFonts w:ascii="Times New Roman" w:hAnsi="Times New Roman"/>
        </w:rPr>
        <w:br/>
      </w:r>
    </w:p>
    <w:p w:rsidR="007F1130" w:rsidRPr="00A4038A" w:rsidRDefault="007F1130" w:rsidP="007F11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rPr>
      </w:pPr>
      <w:r w:rsidRPr="00A4038A">
        <w:rPr>
          <w:rFonts w:ascii="Times New Roman" w:hAnsi="Times New Roman"/>
        </w:rPr>
        <w:t xml:space="preserve">‘In the political affairs, the customary institutions regulating the Indigenous Peoples were devastated by the imposition of local and rural government agencies applied uniformly to the whole region by the Regional Government Law No. 5/1974 and Village Government Law No. 5/1979. The forced concept of </w:t>
      </w:r>
      <w:r w:rsidRPr="00A4038A">
        <w:rPr>
          <w:rFonts w:ascii="Times New Roman" w:hAnsi="Times New Roman"/>
          <w:i/>
        </w:rPr>
        <w:t>'desa</w:t>
      </w:r>
      <w:r w:rsidRPr="00A4038A">
        <w:rPr>
          <w:rFonts w:ascii="Times New Roman" w:hAnsi="Times New Roman"/>
        </w:rPr>
        <w:t xml:space="preserve"> (village)’ has caused great conflict in the communities that already ha</w:t>
      </w:r>
      <w:r w:rsidR="00F27B7A">
        <w:rPr>
          <w:rFonts w:ascii="Times New Roman" w:hAnsi="Times New Roman"/>
        </w:rPr>
        <w:t>ve</w:t>
      </w:r>
      <w:r w:rsidRPr="00A4038A">
        <w:rPr>
          <w:rFonts w:ascii="Times New Roman" w:hAnsi="Times New Roman"/>
        </w:rPr>
        <w:t xml:space="preserve"> its own autonomous system of traditional governance. The customary territories were split and merged into new units, which politically demonstrated the lack of recognition of customary institutional autonomy in managing the internal and external affairs. </w:t>
      </w:r>
      <w:r w:rsidRPr="00A4038A">
        <w:rPr>
          <w:rFonts w:ascii="Times New Roman" w:hAnsi="Times New Roman"/>
        </w:rPr>
        <w:br/>
        <w:t>(...)</w:t>
      </w:r>
    </w:p>
    <w:p w:rsidR="007F1130" w:rsidRPr="00A4038A" w:rsidRDefault="007F1130" w:rsidP="007F11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rPr>
      </w:pPr>
      <w:r w:rsidRPr="00A4038A">
        <w:rPr>
          <w:rFonts w:ascii="Times New Roman" w:hAnsi="Times New Roman"/>
        </w:rPr>
        <w:t xml:space="preserve">In the legal affairs, the concept of state control over land, water and natural resources has become a powerful tool to eliminate the sovereignty of Indigenous Peoples. There are various laws, such as Law No. 5/1960, Law No. 5/1967, Law No. 11/1967, basing itself on the concept of the State Right to Control which is a form of power of the State to take over the sovereignty of indigenous peoples over land and natural resources. The holders of this Right to Control, in this case is the central government, in practice, are issuing decisions that open up opportunities for the occurrence of serious human rights violations. Under the militaristic New Order regime, Indigenous Peoples have suffered direct violence, intimidation and torture, even to eliminate the lives of Indigenous Peoples especially when Indigenous </w:t>
      </w:r>
      <w:r w:rsidR="00F27B7A">
        <w:rPr>
          <w:rFonts w:ascii="Times New Roman" w:hAnsi="Times New Roman"/>
        </w:rPr>
        <w:t xml:space="preserve">people </w:t>
      </w:r>
      <w:r w:rsidRPr="00A4038A">
        <w:rPr>
          <w:rFonts w:ascii="Times New Roman" w:hAnsi="Times New Roman"/>
        </w:rPr>
        <w:t xml:space="preserve">struggle for sovereignty and against </w:t>
      </w:r>
      <w:r w:rsidR="00F27B7A">
        <w:rPr>
          <w:rFonts w:ascii="Times New Roman" w:hAnsi="Times New Roman"/>
        </w:rPr>
        <w:t xml:space="preserve">state and private </w:t>
      </w:r>
      <w:r w:rsidRPr="00A4038A">
        <w:rPr>
          <w:rFonts w:ascii="Times New Roman" w:hAnsi="Times New Roman"/>
        </w:rPr>
        <w:t>projects.</w:t>
      </w:r>
      <w:r w:rsidRPr="00A4038A">
        <w:rPr>
          <w:rFonts w:ascii="Times New Roman" w:hAnsi="Times New Roman"/>
        </w:rPr>
        <w:br/>
        <w:t>(...)</w:t>
      </w:r>
    </w:p>
    <w:p w:rsidR="007F1130" w:rsidRPr="00A4038A" w:rsidRDefault="007F1130" w:rsidP="007F11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rPr>
      </w:pPr>
      <w:r w:rsidRPr="00A4038A">
        <w:rPr>
          <w:rFonts w:ascii="Times New Roman" w:hAnsi="Times New Roman"/>
        </w:rPr>
        <w:t xml:space="preserve">In the economic affairs, the rich land and natural resources of Indigenous Peoples has been the object of government and investors to run gigantic projects. Without any consultation, the government gave the rights for corporations and other management bodies who are foreign to Indigenous Peoples. Various laws, such as Law No. 5/1960, Law No. 5/1967, Law No. 11/1967, have made it easier for private entities to take the </w:t>
      </w:r>
      <w:r w:rsidRPr="00A4038A">
        <w:rPr>
          <w:rFonts w:ascii="Times New Roman" w:hAnsi="Times New Roman"/>
        </w:rPr>
        <w:lastRenderedPageBreak/>
        <w:t>land and exploit the natural resources belonging to indigenous peoples. On the other hand, the sovereignty and the rights of indigenous peoples to land and natural resources were taken over by the state and private sectors. Hostile concepts such as ‘state land’ or ‘state forest’ have become a powerful tool to abolish Indigenous sovereignty over land and natural resources.</w:t>
      </w:r>
      <w:r w:rsidRPr="00A4038A">
        <w:rPr>
          <w:rFonts w:ascii="Times New Roman" w:hAnsi="Times New Roman"/>
        </w:rPr>
        <w:br/>
        <w:t>(...)</w:t>
      </w:r>
    </w:p>
    <w:p w:rsidR="007F1130" w:rsidRPr="00A4038A" w:rsidRDefault="007F1130" w:rsidP="007F11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rPr>
      </w:pPr>
      <w:r w:rsidRPr="00A4038A">
        <w:rPr>
          <w:rFonts w:ascii="Times New Roman" w:hAnsi="Times New Roman"/>
        </w:rPr>
        <w:t>In the socio-cultural affairs, a variety of indigenous knowledge belonging to Indigenous Peoples have been harassed, removed and stolen. The understanding and control of Indigenous Peoples to natural resources has been destroyed by policies imposing uniform socio-cultural life. Indigenous knowledge in the management of Indigenous Peoples lives were disregarded as by the so called modern sociocultural.</w:t>
      </w:r>
      <w:r w:rsidRPr="00A4038A">
        <w:rPr>
          <w:rFonts w:ascii="Times New Roman" w:hAnsi="Times New Roman"/>
        </w:rPr>
        <w:br/>
        <w:t>(...)</w:t>
      </w:r>
    </w:p>
    <w:p w:rsidR="007F1130" w:rsidRPr="00A4038A" w:rsidRDefault="007F1130" w:rsidP="007F11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rPr>
      </w:pPr>
      <w:r w:rsidRPr="00A4038A">
        <w:rPr>
          <w:rFonts w:ascii="Times New Roman" w:hAnsi="Times New Roman"/>
        </w:rPr>
        <w:t xml:space="preserve">Indigenous women are among those who suffered the most from political, economic and socio-cultural repressions above. Indigenous women suffer from the increased workloads due to loss of land and natural resources, as well as direct violence in the form of harassment and rape.’ (Fundamental Views of </w:t>
      </w:r>
      <w:r w:rsidR="00803CBD" w:rsidRPr="00A4038A">
        <w:rPr>
          <w:rFonts w:ascii="Times New Roman" w:hAnsi="Times New Roman"/>
        </w:rPr>
        <w:t xml:space="preserve">First AMAN </w:t>
      </w:r>
      <w:r w:rsidRPr="00A4038A">
        <w:rPr>
          <w:rFonts w:ascii="Times New Roman" w:hAnsi="Times New Roman"/>
        </w:rPr>
        <w:t>Congress 1999)</w:t>
      </w:r>
    </w:p>
    <w:p w:rsidR="007F1130" w:rsidRPr="00A4038A" w:rsidRDefault="007F1130" w:rsidP="007F113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D82E89" w:rsidRPr="00A4038A" w:rsidRDefault="007F1130" w:rsidP="00D82E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4038A">
        <w:rPr>
          <w:rFonts w:ascii="Times New Roman" w:hAnsi="Times New Roman"/>
        </w:rPr>
        <w:t xml:space="preserve">The establishment of AMAN generated a </w:t>
      </w:r>
      <w:r w:rsidRPr="00A4038A">
        <w:rPr>
          <w:rFonts w:ascii="Times New Roman" w:hAnsi="Times New Roman"/>
          <w:lang w:val="en-CA"/>
        </w:rPr>
        <w:t>unified collective action frame</w:t>
      </w:r>
      <w:r w:rsidRPr="00A4038A">
        <w:rPr>
          <w:rFonts w:ascii="Times New Roman" w:hAnsi="Times New Roman"/>
        </w:rPr>
        <w:t xml:space="preserve"> to strengthen the visibility of the customary group suffered from the </w:t>
      </w:r>
      <w:r w:rsidR="00F27B7A">
        <w:rPr>
          <w:rFonts w:ascii="Times New Roman" w:hAnsi="Times New Roman"/>
        </w:rPr>
        <w:t xml:space="preserve">appropriation </w:t>
      </w:r>
      <w:r w:rsidRPr="00A4038A">
        <w:rPr>
          <w:rFonts w:ascii="Times New Roman" w:hAnsi="Times New Roman"/>
        </w:rPr>
        <w:t xml:space="preserve">of all or part of their customary forests due to the licenses and concessions for the extraction of timber production and natural resources as well the conservation and ecosystem restoration issued by Ministry of Forestry. Thus </w:t>
      </w:r>
      <w:r w:rsidRPr="00A4038A">
        <w:rPr>
          <w:rFonts w:ascii="Times New Roman" w:hAnsi="Times New Roman"/>
          <w:lang w:val="en-CA"/>
        </w:rPr>
        <w:t xml:space="preserve">for customary communities, AMAN does not only serve as a good ally to articulate their position and concerns, but also provides a frame, a stage, resources, network, and political leverage by which customary communities could strategically use the rubric of </w:t>
      </w:r>
      <w:r w:rsidRPr="00A4038A">
        <w:rPr>
          <w:rFonts w:ascii="Times New Roman" w:hAnsi="Times New Roman"/>
          <w:i/>
          <w:lang w:val="en-CA"/>
        </w:rPr>
        <w:t>masyarakatadat</w:t>
      </w:r>
      <w:r w:rsidRPr="00A4038A">
        <w:rPr>
          <w:rFonts w:ascii="Times New Roman" w:hAnsi="Times New Roman"/>
          <w:lang w:val="en-CA"/>
        </w:rPr>
        <w:t xml:space="preserve"> in their everyday struggle over land, resources and territory. </w:t>
      </w:r>
      <w:r w:rsidRPr="00A4038A">
        <w:rPr>
          <w:rFonts w:ascii="Times New Roman" w:hAnsi="Times New Roman"/>
        </w:rPr>
        <w:t>AMAN has positioned itself as a driving force for the common struggle of indigenous peoples to enforce the customary rights, existence and sovereignty to regulate itself in fair and sustainable manners to govern their territories.</w:t>
      </w:r>
    </w:p>
    <w:p w:rsidR="007664EB" w:rsidRDefault="007F1130" w:rsidP="00A469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rPr>
      </w:pPr>
      <w:r w:rsidRPr="00A4038A">
        <w:rPr>
          <w:rFonts w:ascii="Times New Roman" w:hAnsi="Times New Roman"/>
        </w:rPr>
        <w:t xml:space="preserve"> Through high-profile strategies, AMAN leaders have managed to make use of the changing political spaces within which they work, and succeeded to develop effective networks within indigenous peoples</w:t>
      </w:r>
      <w:r w:rsidR="00A432FD">
        <w:rPr>
          <w:rFonts w:ascii="Times New Roman" w:hAnsi="Times New Roman"/>
        </w:rPr>
        <w:t>’</w:t>
      </w:r>
      <w:r w:rsidRPr="00A4038A">
        <w:rPr>
          <w:rFonts w:ascii="Times New Roman" w:hAnsi="Times New Roman"/>
        </w:rPr>
        <w:t xml:space="preserve"> organizations at regional and international levels. When the political atmosphere in Indonesia moved to introduce more democratic decentralization governance, AMAN leaders developed workable mechanisms to seize local political opportunities, which include advocating for local regulations to recognize and protect customary communities’ territories and bringing customary leaders to become local parliament members. </w:t>
      </w:r>
    </w:p>
    <w:p w:rsidR="00105024" w:rsidRPr="00A4038A" w:rsidRDefault="00105024"/>
    <w:p w:rsidR="004078C6" w:rsidRPr="00A4038A" w:rsidRDefault="004078C6" w:rsidP="00C402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hAnsi="Times New Roman"/>
          <w:b/>
        </w:rPr>
      </w:pPr>
      <w:r w:rsidRPr="00A4038A">
        <w:rPr>
          <w:rFonts w:ascii="Times New Roman" w:hAnsi="Times New Roman"/>
          <w:b/>
        </w:rPr>
        <w:t>Counter-hegemonic indigenous legal maneuvering</w:t>
      </w:r>
    </w:p>
    <w:p w:rsidR="004078C6" w:rsidRPr="00A4038A" w:rsidRDefault="004078C6" w:rsidP="00407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rPr>
      </w:pPr>
    </w:p>
    <w:p w:rsidR="004078C6" w:rsidRPr="00A4038A" w:rsidRDefault="004078C6" w:rsidP="004078C6">
      <w:pPr>
        <w:rPr>
          <w:rFonts w:ascii="Times New Roman" w:hAnsi="Times New Roman"/>
          <w:bCs/>
          <w:lang w:val="en-CA"/>
        </w:rPr>
      </w:pPr>
      <w:r w:rsidRPr="00A4038A">
        <w:rPr>
          <w:rFonts w:ascii="Times New Roman" w:hAnsi="Times New Roman"/>
          <w:lang w:val="en-CA"/>
        </w:rPr>
        <w:t xml:space="preserve">This section will discuss the </w:t>
      </w:r>
      <w:r w:rsidR="00921672" w:rsidRPr="00A4038A">
        <w:rPr>
          <w:rFonts w:ascii="Times New Roman" w:hAnsi="Times New Roman"/>
          <w:lang w:val="en-CA"/>
        </w:rPr>
        <w:t>two creative</w:t>
      </w:r>
      <w:r w:rsidRPr="00A4038A">
        <w:rPr>
          <w:rFonts w:ascii="Times New Roman" w:hAnsi="Times New Roman"/>
          <w:lang w:val="en-CA"/>
        </w:rPr>
        <w:t xml:space="preserve"> modes of policy advocacy to counter land dispossession spearheaded by AMAN: (a) to submit judicial review against few articles in the Law number 41/1999 on Forestry; (b) to arrange the National Inquiry on Indigenous Peoples’ Rights held by the Indonesian National Human Rights Commission (</w:t>
      </w:r>
      <w:r w:rsidRPr="00A4038A">
        <w:rPr>
          <w:rFonts w:ascii="Times New Roman" w:hAnsi="Times New Roman"/>
          <w:i/>
          <w:lang w:val="en-CA"/>
        </w:rPr>
        <w:t>Komnas HAM</w:t>
      </w:r>
      <w:r w:rsidRPr="00A4038A">
        <w:rPr>
          <w:rFonts w:ascii="Times New Roman" w:hAnsi="Times New Roman"/>
          <w:lang w:val="en-CA"/>
        </w:rPr>
        <w:t xml:space="preserve">). </w:t>
      </w:r>
      <w:r w:rsidR="002C7039">
        <w:rPr>
          <w:rFonts w:ascii="Times New Roman" w:hAnsi="Times New Roman"/>
          <w:lang w:val="en-CA"/>
        </w:rPr>
        <w:t>E</w:t>
      </w:r>
      <w:r w:rsidRPr="00A4038A">
        <w:rPr>
          <w:rFonts w:ascii="Times New Roman" w:hAnsi="Times New Roman"/>
          <w:bCs/>
          <w:lang w:val="en-CA"/>
        </w:rPr>
        <w:t xml:space="preserve">ach mode becomes an effective reference for social movement activism to articulate indigenous peoples’ land claim, and to produce effective policy changes. The first </w:t>
      </w:r>
      <w:r w:rsidR="002C7039">
        <w:rPr>
          <w:rFonts w:ascii="Times New Roman" w:hAnsi="Times New Roman"/>
          <w:bCs/>
          <w:lang w:val="en-CA"/>
        </w:rPr>
        <w:t xml:space="preserve">one is </w:t>
      </w:r>
      <w:r w:rsidRPr="00A4038A">
        <w:rPr>
          <w:rFonts w:ascii="Times New Roman" w:hAnsi="Times New Roman"/>
          <w:bCs/>
          <w:lang w:val="en-CA"/>
        </w:rPr>
        <w:t xml:space="preserve">about legal formulas, and the </w:t>
      </w:r>
      <w:r w:rsidR="002C7039">
        <w:rPr>
          <w:rFonts w:ascii="Times New Roman" w:hAnsi="Times New Roman"/>
          <w:bCs/>
          <w:lang w:val="en-CA"/>
        </w:rPr>
        <w:t xml:space="preserve">second one is </w:t>
      </w:r>
      <w:r w:rsidRPr="00A4038A">
        <w:rPr>
          <w:rFonts w:ascii="Times New Roman" w:hAnsi="Times New Roman"/>
          <w:bCs/>
          <w:lang w:val="en-CA"/>
        </w:rPr>
        <w:t xml:space="preserve">more complex because of the arrangement involve ethnographic inquiries on 40 (forty) land grabbing cases, and seven public hearings in different places within which </w:t>
      </w:r>
      <w:r w:rsidRPr="00A4038A">
        <w:rPr>
          <w:rFonts w:ascii="Times New Roman" w:hAnsi="Times New Roman"/>
          <w:bCs/>
          <w:lang w:val="en-CA"/>
        </w:rPr>
        <w:lastRenderedPageBreak/>
        <w:t xml:space="preserve">testimonies of the victims of land grabbing present their story, and the relevant parties are also invited to present their views. </w:t>
      </w:r>
    </w:p>
    <w:p w:rsidR="00666FC2" w:rsidRPr="00A4038A" w:rsidRDefault="00666FC2" w:rsidP="00666F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4078C6" w:rsidRPr="00A4038A" w:rsidRDefault="004078C6" w:rsidP="00C402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hAnsi="Times New Roman"/>
          <w:b/>
          <w:i/>
          <w:lang w:val="en-CA"/>
        </w:rPr>
      </w:pPr>
      <w:r w:rsidRPr="00A4038A">
        <w:rPr>
          <w:rFonts w:ascii="Times New Roman" w:hAnsi="Times New Roman"/>
          <w:b/>
          <w:i/>
          <w:lang w:val="en-CA"/>
        </w:rPr>
        <w:t>Judicial review against Law number 41/1999 on Forestry</w:t>
      </w:r>
    </w:p>
    <w:p w:rsidR="004B726A" w:rsidRPr="0030422B" w:rsidRDefault="004078C6" w:rsidP="004B72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4038A">
        <w:rPr>
          <w:rFonts w:ascii="Times New Roman" w:hAnsi="Times New Roman"/>
          <w:lang w:val="en-CA"/>
        </w:rPr>
        <w:t xml:space="preserve">For indigenous people in the forested regions of Indonesia, the Forestry Law is deemed as the most immediately threatening laws, as it terra-nullifies their agroforestry holdings or reserved areas as ‘empty’ and ‘abandoned’ land, and </w:t>
      </w:r>
      <w:r w:rsidR="00F27B7A" w:rsidRPr="00A4038A">
        <w:rPr>
          <w:rFonts w:ascii="Times New Roman" w:hAnsi="Times New Roman"/>
          <w:lang w:val="en-CA"/>
        </w:rPr>
        <w:t>outlawed</w:t>
      </w:r>
      <w:r w:rsidRPr="00A4038A">
        <w:rPr>
          <w:rFonts w:ascii="Times New Roman" w:hAnsi="Times New Roman"/>
          <w:lang w:val="en-CA"/>
        </w:rPr>
        <w:t xml:space="preserve"> their swidden cul</w:t>
      </w:r>
      <w:r w:rsidR="00624DD4" w:rsidRPr="00A4038A">
        <w:rPr>
          <w:rFonts w:ascii="Times New Roman" w:hAnsi="Times New Roman"/>
          <w:lang w:val="en-CA"/>
        </w:rPr>
        <w:t>tivation system (Ruwiastuti</w:t>
      </w:r>
      <w:r w:rsidRPr="00A4038A">
        <w:rPr>
          <w:rFonts w:ascii="Times New Roman" w:hAnsi="Times New Roman"/>
          <w:lang w:val="en-CA"/>
        </w:rPr>
        <w:t xml:space="preserve">2000). </w:t>
      </w:r>
      <w:r w:rsidR="0030422B">
        <w:rPr>
          <w:rFonts w:ascii="Times New Roman" w:hAnsi="Times New Roman"/>
        </w:rPr>
        <w:t xml:space="preserve">AMAN is fully cognizant on how this </w:t>
      </w:r>
      <w:r w:rsidR="002635A7" w:rsidRPr="00A4038A">
        <w:rPr>
          <w:rFonts w:ascii="Times New Roman" w:hAnsi="Times New Roman"/>
        </w:rPr>
        <w:t xml:space="preserve">living legacy of colonial law </w:t>
      </w:r>
      <w:r w:rsidR="0030422B">
        <w:rPr>
          <w:rFonts w:ascii="Times New Roman" w:hAnsi="Times New Roman"/>
        </w:rPr>
        <w:t>has be</w:t>
      </w:r>
      <w:r w:rsidR="002C1D71">
        <w:rPr>
          <w:rFonts w:ascii="Times New Roman" w:hAnsi="Times New Roman"/>
        </w:rPr>
        <w:t xml:space="preserve">en a tool for accelerating the </w:t>
      </w:r>
      <w:r w:rsidR="0030422B">
        <w:rPr>
          <w:rFonts w:ascii="Times New Roman" w:hAnsi="Times New Roman"/>
        </w:rPr>
        <w:t>legal t</w:t>
      </w:r>
      <w:r w:rsidR="002C1D71">
        <w:rPr>
          <w:rFonts w:ascii="Times New Roman" w:hAnsi="Times New Roman"/>
        </w:rPr>
        <w:t>heft</w:t>
      </w:r>
      <w:r w:rsidR="0030422B">
        <w:rPr>
          <w:rFonts w:ascii="Times New Roman" w:hAnsi="Times New Roman"/>
        </w:rPr>
        <w:t xml:space="preserve"> of people’s lands. Thus in r</w:t>
      </w:r>
      <w:r w:rsidRPr="00A4038A">
        <w:rPr>
          <w:rFonts w:ascii="Times New Roman" w:hAnsi="Times New Roman"/>
        </w:rPr>
        <w:t xml:space="preserve">esponding to customary communities’ position in their localized struggles </w:t>
      </w:r>
      <w:r w:rsidRPr="00A4038A">
        <w:rPr>
          <w:rFonts w:ascii="Times New Roman" w:hAnsi="Times New Roman"/>
          <w:lang w:val="en-CA"/>
        </w:rPr>
        <w:t xml:space="preserve">AMAN together </w:t>
      </w:r>
      <w:r w:rsidRPr="00A4038A">
        <w:rPr>
          <w:rFonts w:ascii="Times New Roman" w:hAnsi="Times New Roman"/>
        </w:rPr>
        <w:t>with two of its community members</w:t>
      </w:r>
      <w:r w:rsidR="0030422B">
        <w:rPr>
          <w:rFonts w:ascii="Times New Roman" w:hAnsi="Times New Roman"/>
        </w:rPr>
        <w:t xml:space="preserve">, </w:t>
      </w:r>
      <w:r w:rsidR="0030422B" w:rsidRPr="002635A7">
        <w:rPr>
          <w:rFonts w:ascii="Times New Roman" w:hAnsi="Times New Roman"/>
        </w:rPr>
        <w:t>KasepuhanCisitu from Banten and KenegerianKuntu from Riau,</w:t>
      </w:r>
      <w:r w:rsidRPr="002635A7">
        <w:rPr>
          <w:rFonts w:ascii="Times New Roman" w:hAnsi="Times New Roman"/>
        </w:rPr>
        <w:t xml:space="preserve"> submit</w:t>
      </w:r>
      <w:r w:rsidR="000A2A76">
        <w:rPr>
          <w:rFonts w:ascii="Times New Roman" w:hAnsi="Times New Roman"/>
        </w:rPr>
        <w:t>ted</w:t>
      </w:r>
      <w:r w:rsidRPr="002635A7">
        <w:rPr>
          <w:rFonts w:ascii="Times New Roman" w:hAnsi="Times New Roman"/>
        </w:rPr>
        <w:t xml:space="preserve"> a judicial review to c</w:t>
      </w:r>
      <w:r w:rsidRPr="00A4038A">
        <w:rPr>
          <w:rFonts w:ascii="Times New Roman" w:hAnsi="Times New Roman"/>
        </w:rPr>
        <w:t xml:space="preserve">hallenge the constitutionality of article 1.6 and several other articles of the Forestry Law no. 41/1999 to Constitutional Court in March 2012. </w:t>
      </w:r>
    </w:p>
    <w:p w:rsidR="004078C6" w:rsidRPr="00A4038A" w:rsidRDefault="004078C6" w:rsidP="00407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rPr>
      </w:pPr>
      <w:r w:rsidRPr="00A4038A">
        <w:rPr>
          <w:rFonts w:ascii="Times New Roman" w:hAnsi="Times New Roman"/>
        </w:rPr>
        <w:t xml:space="preserve">In his expert testimony before the constitutional court, the first author elaborated the two main mechanisms in pursuing the legal machination by which </w:t>
      </w:r>
      <w:r w:rsidRPr="00A4038A">
        <w:rPr>
          <w:rFonts w:ascii="Times New Roman" w:hAnsi="Times New Roman"/>
          <w:i/>
          <w:iCs/>
        </w:rPr>
        <w:t>masyarakatadat</w:t>
      </w:r>
      <w:r w:rsidRPr="00A4038A">
        <w:rPr>
          <w:rFonts w:ascii="Times New Roman" w:hAnsi="Times New Roman"/>
        </w:rPr>
        <w:t>are dispossessed. Firstly, people’s land are categorized as State Land (</w:t>
      </w:r>
      <w:r w:rsidRPr="00A4038A">
        <w:rPr>
          <w:rFonts w:ascii="Times New Roman" w:hAnsi="Times New Roman"/>
          <w:i/>
          <w:iCs/>
        </w:rPr>
        <w:t>Tanah Negara</w:t>
      </w:r>
      <w:r w:rsidRPr="00A4038A">
        <w:rPr>
          <w:rFonts w:ascii="Times New Roman" w:hAnsi="Times New Roman"/>
        </w:rPr>
        <w:t>) or State Forest Zone (</w:t>
      </w:r>
      <w:r w:rsidRPr="00A4038A">
        <w:rPr>
          <w:rFonts w:ascii="Times New Roman" w:hAnsi="Times New Roman"/>
          <w:i/>
          <w:iCs/>
        </w:rPr>
        <w:t>KawasanHutan Negara</w:t>
      </w:r>
      <w:r w:rsidRPr="00A4038A">
        <w:rPr>
          <w:rFonts w:ascii="Times New Roman" w:hAnsi="Times New Roman"/>
        </w:rPr>
        <w:t>), this categorization is indeed a case of ‘state-izing’ customary communities’ lands and territory (</w:t>
      </w:r>
      <w:r w:rsidRPr="00A4038A">
        <w:rPr>
          <w:rFonts w:ascii="Times New Roman" w:hAnsi="Times New Roman"/>
          <w:i/>
          <w:iCs/>
        </w:rPr>
        <w:t>negara-isasitanah-tanahdanwilayahadat</w:t>
      </w:r>
      <w:r w:rsidRPr="00A4038A">
        <w:rPr>
          <w:rFonts w:ascii="Times New Roman" w:hAnsi="Times New Roman"/>
        </w:rPr>
        <w:t>). Secondly, through this categorization the ministers, governors, or district heads deploy their legal authority to allocate the land for business entities through license (</w:t>
      </w:r>
      <w:r w:rsidRPr="00A4038A">
        <w:rPr>
          <w:rFonts w:ascii="Times New Roman" w:hAnsi="Times New Roman"/>
          <w:i/>
        </w:rPr>
        <w:t>ijin</w:t>
      </w:r>
      <w:r w:rsidRPr="00A4038A">
        <w:rPr>
          <w:rFonts w:ascii="Times New Roman" w:hAnsi="Times New Roman"/>
        </w:rPr>
        <w:t>). When the license holder decides to work on the ground, to transform their licenses become concession, they exclude forcefully people’s actual access to the land by the help of bureaucracy and police, or sometime military, through the exercise of state “monopoly of violence and definitions of legality” (Harvey 2003: 145). Then, in its turn they start to change the land use to produce global commodity through a capitalistic mode of production, and deploy the State penal power to criminalize the existing peoples’ access to their land, resource and territories in the area, which are already under the legal control of corporate entities. These tactics are often used to deny local people’s land claims or to transfer control over land, natural resources and territories into the hands of these giant corporations for their projects/concessions. They also exclude local people from, or limit their access to, land, natural resources and territories (Rachman 2012).</w:t>
      </w:r>
    </w:p>
    <w:p w:rsidR="00AE778E" w:rsidRPr="00A4038A" w:rsidRDefault="004078C6" w:rsidP="00407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rPr>
      </w:pPr>
      <w:r w:rsidRPr="00A4038A">
        <w:rPr>
          <w:rFonts w:ascii="Times New Roman" w:hAnsi="Times New Roman"/>
        </w:rPr>
        <w:t>The Constitutional Court decision, MK 35/PUU-X/2012, which partially accepted the judicial review of Forestry Law No. 41 of 1999</w:t>
      </w:r>
      <w:r w:rsidR="00601875" w:rsidRPr="00A4038A">
        <w:rPr>
          <w:rFonts w:ascii="Times New Roman" w:hAnsi="Times New Roman"/>
        </w:rPr>
        <w:t>,</w:t>
      </w:r>
      <w:r w:rsidRPr="00A4038A">
        <w:rPr>
          <w:rFonts w:ascii="Times New Roman" w:hAnsi="Times New Roman"/>
        </w:rPr>
        <w:t xml:space="preserve"> is an important landmark in the struggle of indigenous people for the recognition of their rights, as it corrects the colonial living legacies of </w:t>
      </w:r>
      <w:r w:rsidRPr="00A4038A">
        <w:rPr>
          <w:rFonts w:ascii="Times New Roman" w:hAnsi="Times New Roman"/>
          <w:i/>
        </w:rPr>
        <w:t>domeinverklaring</w:t>
      </w:r>
      <w:r w:rsidRPr="00A4038A">
        <w:rPr>
          <w:rFonts w:ascii="Times New Roman" w:hAnsi="Times New Roman"/>
        </w:rPr>
        <w:t xml:space="preserve"> by explicitly declaring that the indigenous forest is not state forest. The court decision is an embodiment of the aspiration of the founding father</w:t>
      </w:r>
      <w:r w:rsidR="00362369">
        <w:rPr>
          <w:rFonts w:ascii="Times New Roman" w:hAnsi="Times New Roman"/>
        </w:rPr>
        <w:t>s</w:t>
      </w:r>
      <w:r w:rsidRPr="00A4038A">
        <w:rPr>
          <w:rFonts w:ascii="Times New Roman" w:hAnsi="Times New Roman"/>
        </w:rPr>
        <w:t xml:space="preserve"> to maintain </w:t>
      </w:r>
    </w:p>
    <w:p w:rsidR="006C3313" w:rsidRDefault="006C3313" w:rsidP="00AE7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rPr>
      </w:pPr>
    </w:p>
    <w:p w:rsidR="00AE778E" w:rsidRPr="00A4038A" w:rsidRDefault="00601875" w:rsidP="00AE7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20"/>
        <w:rPr>
          <w:rFonts w:ascii="Times New Roman" w:hAnsi="Times New Roman"/>
        </w:rPr>
      </w:pPr>
      <w:r w:rsidRPr="00A4038A">
        <w:rPr>
          <w:rFonts w:ascii="Times New Roman" w:hAnsi="Times New Roman"/>
        </w:rPr>
        <w:t>‘</w:t>
      </w:r>
      <w:r w:rsidR="004078C6" w:rsidRPr="00A4038A">
        <w:rPr>
          <w:rFonts w:ascii="Times New Roman" w:hAnsi="Times New Roman"/>
        </w:rPr>
        <w:t>... the ability and skill of the Indonesian nation in maintaining the traditional land rights systems, as demonstrated by the legal arrangement in 21,000 villages in Java, 700 Nagari in Minangkabau, the composition of the Negeri Sembilan in Malaya, as well as in Borneo, in the land of Bugis, in Ambon, in Minahasa, and so forth</w:t>
      </w:r>
      <w:r w:rsidR="00AE778E" w:rsidRPr="00A4038A">
        <w:rPr>
          <w:rFonts w:ascii="Times New Roman" w:hAnsi="Times New Roman"/>
        </w:rPr>
        <w:t xml:space="preserve">. The </w:t>
      </w:r>
      <w:r w:rsidR="004C39B3" w:rsidRPr="00A4038A">
        <w:rPr>
          <w:rFonts w:ascii="Times New Roman" w:hAnsi="Times New Roman"/>
        </w:rPr>
        <w:t>fundamental compositions of these structures are</w:t>
      </w:r>
      <w:r w:rsidR="00AE778E" w:rsidRPr="00A4038A">
        <w:rPr>
          <w:rFonts w:ascii="Times New Roman" w:hAnsi="Times New Roman"/>
        </w:rPr>
        <w:t xml:space="preserve"> so powerful that it </w:t>
      </w:r>
      <w:r w:rsidR="004C39B3" w:rsidRPr="00A4038A">
        <w:rPr>
          <w:rFonts w:ascii="Times New Roman" w:hAnsi="Times New Roman"/>
        </w:rPr>
        <w:t>cannot</w:t>
      </w:r>
      <w:r w:rsidR="00AE778E" w:rsidRPr="00A4038A">
        <w:rPr>
          <w:rFonts w:ascii="Times New Roman" w:hAnsi="Times New Roman"/>
        </w:rPr>
        <w:t xml:space="preserve"> be torn down by influence</w:t>
      </w:r>
      <w:r w:rsidR="004C39B3" w:rsidRPr="00A4038A">
        <w:rPr>
          <w:rFonts w:ascii="Times New Roman" w:hAnsi="Times New Roman"/>
        </w:rPr>
        <w:t xml:space="preserve"> of Hindu</w:t>
      </w:r>
      <w:r w:rsidR="00AE778E" w:rsidRPr="00A4038A">
        <w:rPr>
          <w:rFonts w:ascii="Times New Roman" w:hAnsi="Times New Roman"/>
        </w:rPr>
        <w:t xml:space="preserve">, the influence of feudalism, and </w:t>
      </w:r>
      <w:r w:rsidR="004C39B3" w:rsidRPr="00A4038A">
        <w:rPr>
          <w:rFonts w:ascii="Times New Roman" w:hAnsi="Times New Roman"/>
        </w:rPr>
        <w:t>influence of the Europeans</w:t>
      </w:r>
      <w:r w:rsidRPr="00A4038A">
        <w:rPr>
          <w:rFonts w:ascii="Times New Roman" w:hAnsi="Times New Roman"/>
        </w:rPr>
        <w:t>’</w:t>
      </w:r>
      <w:r w:rsidR="00FF3D49" w:rsidRPr="00A4038A">
        <w:rPr>
          <w:rFonts w:ascii="Times New Roman" w:hAnsi="Times New Roman"/>
        </w:rPr>
        <w:t xml:space="preserve"> (</w:t>
      </w:r>
      <w:r w:rsidR="00FF3D49" w:rsidRPr="00E21728">
        <w:rPr>
          <w:rFonts w:ascii="Times New Roman" w:hAnsi="Times New Roman"/>
        </w:rPr>
        <w:t xml:space="preserve">Yamin in Bahar, Kusuma, </w:t>
      </w:r>
      <w:r w:rsidR="00AE778E" w:rsidRPr="00E21728">
        <w:rPr>
          <w:rFonts w:ascii="Times New Roman" w:hAnsi="Times New Roman"/>
        </w:rPr>
        <w:t xml:space="preserve">and </w:t>
      </w:r>
      <w:r w:rsidR="00FF3D49" w:rsidRPr="00E21728">
        <w:rPr>
          <w:rFonts w:ascii="Times New Roman" w:hAnsi="Times New Roman"/>
        </w:rPr>
        <w:t>Hudawati 1995</w:t>
      </w:r>
      <w:r w:rsidR="00FF3D49" w:rsidRPr="00A4038A">
        <w:rPr>
          <w:rFonts w:ascii="Times New Roman" w:hAnsi="Times New Roman"/>
        </w:rPr>
        <w:t>)</w:t>
      </w:r>
      <w:r w:rsidR="004078C6" w:rsidRPr="00A4038A">
        <w:rPr>
          <w:rFonts w:ascii="Times New Roman" w:hAnsi="Times New Roman"/>
        </w:rPr>
        <w:t xml:space="preserve">. </w:t>
      </w:r>
    </w:p>
    <w:p w:rsidR="00AE778E" w:rsidRPr="00A4038A" w:rsidRDefault="00AE778E" w:rsidP="00AE7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4078C6" w:rsidRPr="00A4038A" w:rsidRDefault="004078C6" w:rsidP="00AE77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4038A">
        <w:rPr>
          <w:rFonts w:ascii="Times New Roman" w:hAnsi="Times New Roman"/>
        </w:rPr>
        <w:t xml:space="preserve">Thus the Constitutional Court has declared a "correction" for </w:t>
      </w:r>
      <w:r w:rsidR="000A2A76">
        <w:rPr>
          <w:rFonts w:ascii="Times New Roman" w:hAnsi="Times New Roman"/>
        </w:rPr>
        <w:t xml:space="preserve">the </w:t>
      </w:r>
      <w:r w:rsidRPr="00A4038A">
        <w:rPr>
          <w:rFonts w:ascii="Times New Roman" w:hAnsi="Times New Roman"/>
        </w:rPr>
        <w:t>status ofindigenous people</w:t>
      </w:r>
      <w:r w:rsidR="00BB3008" w:rsidRPr="00A4038A">
        <w:rPr>
          <w:rFonts w:ascii="Times New Roman" w:hAnsi="Times New Roman"/>
        </w:rPr>
        <w:t>s</w:t>
      </w:r>
      <w:r w:rsidRPr="00A4038A">
        <w:rPr>
          <w:rFonts w:ascii="Times New Roman" w:hAnsi="Times New Roman"/>
        </w:rPr>
        <w:t xml:space="preserve"> as "</w:t>
      </w:r>
      <w:r w:rsidR="00BB3008" w:rsidRPr="00A4038A">
        <w:rPr>
          <w:rFonts w:ascii="Times New Roman" w:hAnsi="Times New Roman"/>
        </w:rPr>
        <w:t>right bearing subject</w:t>
      </w:r>
      <w:r w:rsidRPr="00A4038A">
        <w:rPr>
          <w:rFonts w:ascii="Times New Roman" w:hAnsi="Times New Roman"/>
        </w:rPr>
        <w:t xml:space="preserve">", the owners of customary territory. Constitutional Court ruling opens the </w:t>
      </w:r>
      <w:r w:rsidRPr="00A4038A">
        <w:rPr>
          <w:rFonts w:ascii="Times New Roman" w:hAnsi="Times New Roman"/>
        </w:rPr>
        <w:lastRenderedPageBreak/>
        <w:t xml:space="preserve">possibility to change the route </w:t>
      </w:r>
      <w:r w:rsidR="00601875" w:rsidRPr="00A4038A">
        <w:rPr>
          <w:rFonts w:ascii="Times New Roman" w:hAnsi="Times New Roman"/>
        </w:rPr>
        <w:t xml:space="preserve">of </w:t>
      </w:r>
      <w:r w:rsidR="00B26DA8">
        <w:rPr>
          <w:rFonts w:ascii="Times New Roman" w:hAnsi="Times New Roman"/>
        </w:rPr>
        <w:t xml:space="preserve">the </w:t>
      </w:r>
      <w:r w:rsidR="00B26DA8" w:rsidRPr="00A4038A">
        <w:rPr>
          <w:rFonts w:ascii="Times New Roman" w:hAnsi="Times New Roman"/>
        </w:rPr>
        <w:t>chronic</w:t>
      </w:r>
      <w:r w:rsidR="00B26DA8">
        <w:rPr>
          <w:rFonts w:ascii="Times New Roman" w:hAnsi="Times New Roman"/>
        </w:rPr>
        <w:t>,</w:t>
      </w:r>
      <w:r w:rsidR="00B26DA8" w:rsidRPr="00A4038A">
        <w:rPr>
          <w:rFonts w:ascii="Times New Roman" w:hAnsi="Times New Roman"/>
        </w:rPr>
        <w:t xml:space="preserve"> structural and widespread </w:t>
      </w:r>
      <w:r w:rsidRPr="00A4038A">
        <w:rPr>
          <w:rFonts w:ascii="Times New Roman" w:hAnsi="Times New Roman"/>
        </w:rPr>
        <w:t>agrarian conflicts throughout Indonesian archipelago, and more than that opens the door for a variety of efforts to uncover discrimination against indigenous peoples. After the Constitutional Court's decision on case No. 35 / PUU-X / 2012, the biggest challenge now is to make potent way</w:t>
      </w:r>
      <w:r w:rsidR="00B26DA8">
        <w:rPr>
          <w:rFonts w:ascii="Times New Roman" w:hAnsi="Times New Roman"/>
        </w:rPr>
        <w:t>s</w:t>
      </w:r>
      <w:r w:rsidRPr="00A4038A">
        <w:rPr>
          <w:rFonts w:ascii="Times New Roman" w:hAnsi="Times New Roman"/>
        </w:rPr>
        <w:t xml:space="preserve"> that </w:t>
      </w:r>
      <w:r w:rsidR="002635A7">
        <w:rPr>
          <w:rFonts w:ascii="Times New Roman" w:hAnsi="Times New Roman"/>
        </w:rPr>
        <w:t xml:space="preserve">the </w:t>
      </w:r>
      <w:r w:rsidR="002635A7" w:rsidRPr="00A4038A">
        <w:rPr>
          <w:rFonts w:ascii="Times New Roman" w:hAnsi="Times New Roman"/>
        </w:rPr>
        <w:t>erratum manifests</w:t>
      </w:r>
      <w:r w:rsidRPr="00A4038A">
        <w:rPr>
          <w:rFonts w:ascii="Times New Roman" w:hAnsi="Times New Roman"/>
        </w:rPr>
        <w:t xml:space="preserve"> in government institutional practice</w:t>
      </w:r>
      <w:r w:rsidR="002635A7">
        <w:rPr>
          <w:rFonts w:ascii="Times New Roman" w:hAnsi="Times New Roman"/>
        </w:rPr>
        <w:t>s</w:t>
      </w:r>
      <w:r w:rsidRPr="00A4038A">
        <w:rPr>
          <w:rFonts w:ascii="Times New Roman" w:hAnsi="Times New Roman"/>
        </w:rPr>
        <w:t>.</w:t>
      </w:r>
    </w:p>
    <w:p w:rsidR="004C50F1" w:rsidRDefault="004C50F1" w:rsidP="000E1A7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4078C6" w:rsidRPr="00A4038A" w:rsidRDefault="004078C6" w:rsidP="00C40203">
      <w:pPr>
        <w:outlineLvl w:val="0"/>
        <w:rPr>
          <w:rFonts w:ascii="Times New Roman" w:hAnsi="Times New Roman"/>
          <w:b/>
          <w:i/>
          <w:lang w:val="en-CA"/>
        </w:rPr>
      </w:pPr>
      <w:r w:rsidRPr="00A4038A">
        <w:rPr>
          <w:rFonts w:ascii="Times New Roman" w:hAnsi="Times New Roman"/>
          <w:b/>
          <w:i/>
          <w:lang w:val="en-CA"/>
        </w:rPr>
        <w:t>National inquiry on indigenous peoples’ rights</w:t>
      </w:r>
    </w:p>
    <w:p w:rsidR="004078C6" w:rsidRPr="00A4038A" w:rsidRDefault="004078C6" w:rsidP="00407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4038A">
        <w:rPr>
          <w:rFonts w:ascii="Times New Roman" w:hAnsi="Times New Roman"/>
        </w:rPr>
        <w:t xml:space="preserve">Following the Ruling of the Constitutional Court No. 35/PUU-X/2012, various efforts made by </w:t>
      </w:r>
      <w:r w:rsidR="002635A7">
        <w:rPr>
          <w:rFonts w:ascii="Times New Roman" w:hAnsi="Times New Roman"/>
        </w:rPr>
        <w:t xml:space="preserve">AMAN constituents </w:t>
      </w:r>
      <w:r w:rsidRPr="00A4038A">
        <w:rPr>
          <w:rFonts w:ascii="Times New Roman" w:hAnsi="Times New Roman"/>
        </w:rPr>
        <w:t xml:space="preserve">to ensure the immediate implementation of constitutional correction of state policy on the territorial rights of indigenous people in forest. The Human Rights Commission National Inquiry on indigenous people’s territory in forest areas is one part of the efforts to strengthen the argument and policy initiatives for accelerating the implementation of the mandate of the Constitutional Court </w:t>
      </w:r>
      <w:r w:rsidR="000A2A76">
        <w:rPr>
          <w:rFonts w:ascii="Times New Roman" w:hAnsi="Times New Roman"/>
        </w:rPr>
        <w:t>R</w:t>
      </w:r>
      <w:r w:rsidRPr="00A4038A">
        <w:rPr>
          <w:rFonts w:ascii="Times New Roman" w:hAnsi="Times New Roman"/>
        </w:rPr>
        <w:t xml:space="preserve">uling and structural resolution of agrarian conflict. The prime cause is a lack of legal certainty and full recognition of the indigenous people rights and territory in the forest area by the state, which generates structural agrarian conflicts in forest areas and requires fundamental change of the political paradigm </w:t>
      </w:r>
      <w:r w:rsidR="000A2A76">
        <w:rPr>
          <w:rFonts w:ascii="Times New Roman" w:hAnsi="Times New Roman"/>
        </w:rPr>
        <w:t xml:space="preserve">on </w:t>
      </w:r>
      <w:r w:rsidRPr="00A4038A">
        <w:rPr>
          <w:rFonts w:ascii="Times New Roman" w:hAnsi="Times New Roman"/>
        </w:rPr>
        <w:t xml:space="preserve">natural resources management, </w:t>
      </w:r>
      <w:r w:rsidR="000A2A76">
        <w:rPr>
          <w:rFonts w:ascii="Times New Roman" w:hAnsi="Times New Roman"/>
        </w:rPr>
        <w:t xml:space="preserve">as well as </w:t>
      </w:r>
      <w:r w:rsidRPr="00A4038A">
        <w:rPr>
          <w:rFonts w:ascii="Times New Roman" w:hAnsi="Times New Roman"/>
        </w:rPr>
        <w:t xml:space="preserve">national policies reform related to the management of natural </w:t>
      </w:r>
      <w:r w:rsidR="000A2A76" w:rsidRPr="00A4038A">
        <w:rPr>
          <w:rFonts w:ascii="Times New Roman" w:hAnsi="Times New Roman"/>
        </w:rPr>
        <w:t xml:space="preserve">and agrarian </w:t>
      </w:r>
      <w:r w:rsidRPr="00A4038A">
        <w:rPr>
          <w:rFonts w:ascii="Times New Roman" w:hAnsi="Times New Roman"/>
        </w:rPr>
        <w:t>resources.</w:t>
      </w:r>
    </w:p>
    <w:p w:rsidR="004078C6" w:rsidRPr="00A4038A" w:rsidRDefault="004078C6" w:rsidP="00407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rPr>
      </w:pPr>
      <w:r w:rsidRPr="00A4038A">
        <w:rPr>
          <w:rFonts w:ascii="Times New Roman" w:hAnsi="Times New Roman"/>
        </w:rPr>
        <w:t xml:space="preserve">The National Inquiry is a breakthrough methodology for approaching the issue of human rights violations and formulating policy recommendations. The inquiry is very important because it becomes a way to approach and contribute to the settlement of complexity of the dispossession of indigenous people in Indonesia. It </w:t>
      </w:r>
      <w:r w:rsidRPr="00A4038A">
        <w:rPr>
          <w:rFonts w:ascii="Times New Roman" w:eastAsia="Times New Roman" w:hAnsi="Times New Roman"/>
        </w:rPr>
        <w:t xml:space="preserve">is an exclusive tool of the Human Rights Commission to examine systemic human rights violations in the midst of the Ministry of Forestry denial and reluctance to </w:t>
      </w:r>
      <w:r w:rsidR="000A2A76">
        <w:rPr>
          <w:rFonts w:ascii="Times New Roman" w:eastAsia="Times New Roman" w:hAnsi="Times New Roman"/>
        </w:rPr>
        <w:t xml:space="preserve">implement </w:t>
      </w:r>
      <w:r w:rsidRPr="00A4038A">
        <w:rPr>
          <w:rFonts w:ascii="Times New Roman" w:eastAsia="Times New Roman" w:hAnsi="Times New Roman"/>
        </w:rPr>
        <w:t xml:space="preserve">the Constitutional Court ruling. </w:t>
      </w:r>
      <w:r w:rsidR="000A2A76">
        <w:rPr>
          <w:rFonts w:ascii="Times New Roman" w:eastAsia="Times New Roman" w:hAnsi="Times New Roman"/>
        </w:rPr>
        <w:t xml:space="preserve">It was </w:t>
      </w:r>
      <w:r w:rsidRPr="00A4038A">
        <w:rPr>
          <w:rFonts w:ascii="Times New Roman" w:eastAsia="Times New Roman" w:hAnsi="Times New Roman"/>
        </w:rPr>
        <w:t>conducted as part of the activities to fulfill the mandate of the Commission in a transparent way and involv</w:t>
      </w:r>
      <w:r w:rsidR="000A2A76">
        <w:rPr>
          <w:rFonts w:ascii="Times New Roman" w:eastAsia="Times New Roman" w:hAnsi="Times New Roman"/>
        </w:rPr>
        <w:t xml:space="preserve">ing </w:t>
      </w:r>
      <w:r w:rsidRPr="00A4038A">
        <w:rPr>
          <w:rFonts w:ascii="Times New Roman" w:eastAsia="Times New Roman" w:hAnsi="Times New Roman"/>
        </w:rPr>
        <w:t>the public, and includes public evidence of witnesses and experts, and directed toward the investigation of a systemic pattern of human rights violations and the identification of recommendations for solving the violations.</w:t>
      </w:r>
      <w:r w:rsidRPr="00A4038A">
        <w:rPr>
          <w:rFonts w:ascii="Times New Roman" w:hAnsi="Times New Roman"/>
        </w:rPr>
        <w:t xml:space="preserve"> AMAN and the indigenous people movement constituents fully supported the National Inquiry, where AMAN was actively involved in this process, especially providing data, and together with other civil society organizations conducted extensive research.</w:t>
      </w:r>
    </w:p>
    <w:p w:rsidR="004078C6" w:rsidRPr="00A4038A" w:rsidRDefault="004078C6" w:rsidP="00407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rPr>
      </w:pPr>
      <w:r w:rsidRPr="00A4038A">
        <w:rPr>
          <w:rFonts w:ascii="Times New Roman" w:hAnsi="Times New Roman"/>
        </w:rPr>
        <w:t xml:space="preserve">The inquiry included data and information gathering, study and examination of cases, public hearings and dialogues with government and company officials. The inquiry involved public hearing held openly in seven regions (Sumatra, Java, Bali, Nusa Tenggara, Sulawesi, Kalimantan, Maluku and Papua) presenting more than 40 (forty) cases </w:t>
      </w:r>
      <w:r w:rsidR="000A2A76">
        <w:rPr>
          <w:rFonts w:ascii="Times New Roman" w:hAnsi="Times New Roman"/>
        </w:rPr>
        <w:t xml:space="preserve">related </w:t>
      </w:r>
      <w:r w:rsidRPr="00A4038A">
        <w:rPr>
          <w:rFonts w:ascii="Times New Roman" w:hAnsi="Times New Roman"/>
        </w:rPr>
        <w:t>to plantation companies, forestry companies, and conservation areas. The cases revealed the expulsions, restrictions on access, discrimination, violence due to the criminalization of indigenous territories.</w:t>
      </w:r>
    </w:p>
    <w:p w:rsidR="004078C6" w:rsidRPr="00A4038A" w:rsidRDefault="004078C6" w:rsidP="00407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4078C6" w:rsidRPr="00A4038A" w:rsidRDefault="004078C6" w:rsidP="00C40203">
      <w:pPr>
        <w:jc w:val="center"/>
        <w:outlineLvl w:val="0"/>
        <w:rPr>
          <w:rFonts w:ascii="Times New Roman" w:hAnsi="Times New Roman"/>
          <w:b/>
          <w:lang w:val="en-CA"/>
        </w:rPr>
      </w:pPr>
      <w:r w:rsidRPr="00A4038A">
        <w:rPr>
          <w:rFonts w:ascii="Times New Roman" w:hAnsi="Times New Roman"/>
          <w:b/>
          <w:lang w:val="en-CA"/>
        </w:rPr>
        <w:t>Selected cases of indigenous people dispossession presented in the national inquiry</w:t>
      </w:r>
    </w:p>
    <w:p w:rsidR="004078C6" w:rsidRPr="00A4038A" w:rsidRDefault="004078C6" w:rsidP="004078C6">
      <w:pPr>
        <w:jc w:val="center"/>
        <w:rPr>
          <w:rFonts w:ascii="Times New Roman" w:hAnsi="Times New Roman"/>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2449"/>
        <w:gridCol w:w="1592"/>
        <w:gridCol w:w="2498"/>
        <w:gridCol w:w="1767"/>
      </w:tblGrid>
      <w:tr w:rsidR="00A4038A" w:rsidRPr="00A4038A" w:rsidTr="008E195F">
        <w:tc>
          <w:tcPr>
            <w:tcW w:w="461"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No</w:t>
            </w: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Affected groups</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Location</w:t>
            </w:r>
          </w:p>
        </w:tc>
        <w:tc>
          <w:tcPr>
            <w:tcW w:w="2498" w:type="dxa"/>
            <w:shd w:val="clear" w:color="auto" w:fill="auto"/>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Key actor of dispossession</w:t>
            </w:r>
          </w:p>
        </w:tc>
        <w:tc>
          <w:tcPr>
            <w:tcW w:w="1767" w:type="dxa"/>
          </w:tcPr>
          <w:p w:rsidR="004078C6" w:rsidRPr="00A4038A" w:rsidRDefault="004078C6" w:rsidP="008E195F">
            <w:pPr>
              <w:jc w:val="center"/>
              <w:rPr>
                <w:rFonts w:ascii="Times New Roman" w:hAnsi="Times New Roman"/>
                <w:b/>
                <w:sz w:val="20"/>
                <w:szCs w:val="20"/>
              </w:rPr>
            </w:pPr>
            <w:r w:rsidRPr="00A4038A">
              <w:rPr>
                <w:rFonts w:ascii="Times New Roman" w:hAnsi="Times New Roman"/>
                <w:sz w:val="20"/>
                <w:szCs w:val="20"/>
              </w:rPr>
              <w:t>Concession sector</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KaronsieDongi</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South Sulawesi</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 International Nickel Indonesia (INCO) Tbk</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Nickel mining</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Mattekkoi</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South Sulawes</w:t>
            </w:r>
          </w:p>
        </w:tc>
        <w:tc>
          <w:tcPr>
            <w:tcW w:w="2498" w:type="dxa"/>
            <w:shd w:val="clear" w:color="auto" w:fill="auto"/>
          </w:tcPr>
          <w:p w:rsidR="004078C6" w:rsidRPr="00A4038A" w:rsidRDefault="004078C6" w:rsidP="008E195F">
            <w:pPr>
              <w:jc w:val="both"/>
              <w:rPr>
                <w:rFonts w:ascii="Times New Roman" w:hAnsi="Times New Roman"/>
                <w:sz w:val="20"/>
                <w:szCs w:val="20"/>
              </w:rPr>
            </w:pPr>
            <w:r w:rsidRPr="00A4038A">
              <w:rPr>
                <w:rFonts w:ascii="Times New Roman" w:hAnsi="Times New Roman"/>
                <w:sz w:val="20"/>
                <w:szCs w:val="20"/>
              </w:rPr>
              <w:t>PT AdimitraPinusUtama</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Pine trees extraction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BarambangKatute</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South Sulawesi</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 Galena SumberUtama</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Gold mining</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Sedoa</w:t>
            </w:r>
          </w:p>
        </w:tc>
        <w:tc>
          <w:tcPr>
            <w:tcW w:w="1592"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rPr>
              <w:t>Central Sulawesi</w:t>
            </w:r>
          </w:p>
        </w:tc>
        <w:tc>
          <w:tcPr>
            <w:tcW w:w="2498" w:type="dxa"/>
            <w:shd w:val="clear" w:color="auto" w:fill="auto"/>
          </w:tcPr>
          <w:p w:rsidR="004078C6" w:rsidRPr="00A4038A" w:rsidRDefault="004078C6" w:rsidP="008E195F">
            <w:pPr>
              <w:rPr>
                <w:rFonts w:ascii="Times New Roman" w:hAnsi="Times New Roman"/>
                <w:sz w:val="20"/>
                <w:szCs w:val="20"/>
                <w:lang w:val="fr-FR"/>
              </w:rPr>
            </w:pPr>
            <w:r w:rsidRPr="00A4038A">
              <w:rPr>
                <w:rFonts w:ascii="Times New Roman" w:hAnsi="Times New Roman"/>
                <w:sz w:val="20"/>
                <w:szCs w:val="20"/>
                <w:lang w:val="fr-FR"/>
              </w:rPr>
              <w:t>Lore Lindu National Park</w:t>
            </w:r>
          </w:p>
        </w:tc>
        <w:tc>
          <w:tcPr>
            <w:tcW w:w="1767"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lang w:val="fr-FR"/>
              </w:rPr>
              <w:t>Conservation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Tau TaaWana</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Central Sulawesi</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 KurniaLuwukSejati;</w:t>
            </w:r>
          </w:p>
          <w:p w:rsidR="004078C6" w:rsidRPr="00A4038A" w:rsidRDefault="004078C6" w:rsidP="008E195F">
            <w:pPr>
              <w:rPr>
                <w:rFonts w:ascii="Times New Roman" w:hAnsi="Times New Roman"/>
                <w:sz w:val="20"/>
                <w:szCs w:val="20"/>
                <w:lang w:val="fr-FR"/>
              </w:rPr>
            </w:pP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Palm oil plantation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Pandumaan&amp;Sipituhuta</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North Sumatera</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 Toba Pulp Lestari, Tbk</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Pulp production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Margo Semende</w:t>
            </w:r>
          </w:p>
        </w:tc>
        <w:tc>
          <w:tcPr>
            <w:tcW w:w="1592"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rPr>
              <w:t>Bengkulu</w:t>
            </w:r>
          </w:p>
        </w:tc>
        <w:tc>
          <w:tcPr>
            <w:tcW w:w="2498" w:type="dxa"/>
            <w:shd w:val="clear" w:color="auto" w:fill="auto"/>
          </w:tcPr>
          <w:p w:rsidR="004078C6" w:rsidRPr="00A4038A" w:rsidRDefault="004078C6" w:rsidP="008E195F">
            <w:pPr>
              <w:rPr>
                <w:rFonts w:ascii="Times New Roman" w:hAnsi="Times New Roman"/>
                <w:sz w:val="20"/>
                <w:szCs w:val="20"/>
                <w:lang w:val="fr-FR"/>
              </w:rPr>
            </w:pPr>
            <w:r w:rsidRPr="00A4038A">
              <w:rPr>
                <w:rFonts w:ascii="Times New Roman" w:hAnsi="Times New Roman"/>
                <w:sz w:val="20"/>
                <w:szCs w:val="20"/>
                <w:lang w:val="fr-FR"/>
              </w:rPr>
              <w:t>Bukit Barisan Selatan National Park</w:t>
            </w:r>
          </w:p>
        </w:tc>
        <w:tc>
          <w:tcPr>
            <w:tcW w:w="1767"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lang w:val="fr-FR"/>
              </w:rPr>
              <w:t>Conservation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lang w:val="fr-FR"/>
              </w:rPr>
              <w:t>Margo Bathin Bahar</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lang w:val="fr-FR"/>
              </w:rPr>
              <w:t>Jambi</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 xml:space="preserve">PT Asiatic Persada; PT. </w:t>
            </w:r>
            <w:r w:rsidRPr="00A4038A">
              <w:rPr>
                <w:rFonts w:ascii="Times New Roman" w:hAnsi="Times New Roman"/>
                <w:sz w:val="20"/>
                <w:szCs w:val="20"/>
                <w:lang w:val="fr-FR"/>
              </w:rPr>
              <w:t>MajuPerkasaSawit (MPS);</w:t>
            </w:r>
            <w:r w:rsidRPr="00A4038A">
              <w:rPr>
                <w:rFonts w:ascii="Times New Roman" w:hAnsi="Times New Roman"/>
                <w:sz w:val="20"/>
                <w:szCs w:val="20"/>
              </w:rPr>
              <w:t xml:space="preserve"> PT. Jammer Tulen.</w:t>
            </w:r>
          </w:p>
        </w:tc>
        <w:tc>
          <w:tcPr>
            <w:tcW w:w="1767" w:type="dxa"/>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Palm oil plantation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lang w:val="fr-FR"/>
              </w:rPr>
            </w:pPr>
            <w:r w:rsidRPr="00A4038A">
              <w:rPr>
                <w:rFonts w:ascii="Times New Roman" w:hAnsi="Times New Roman"/>
                <w:sz w:val="20"/>
                <w:szCs w:val="20"/>
                <w:lang w:val="fr-FR"/>
              </w:rPr>
              <w:t>MukimLango</w:t>
            </w:r>
          </w:p>
        </w:tc>
        <w:tc>
          <w:tcPr>
            <w:tcW w:w="1592"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lang w:val="fr-FR"/>
              </w:rPr>
              <w:t>Aceh</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lang w:val="fr-FR"/>
              </w:rPr>
              <w:t xml:space="preserve">PT. Raja Garuda Mas </w:t>
            </w:r>
          </w:p>
        </w:tc>
        <w:tc>
          <w:tcPr>
            <w:tcW w:w="1767"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lang w:val="fr-FR"/>
              </w:rPr>
              <w:t>Logging</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lang w:val="fr-FR"/>
              </w:rPr>
              <w:t>TalangMamak</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lang w:val="fr-FR"/>
              </w:rPr>
              <w:t>Riau</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 xml:space="preserve">PT. Selantai Agro Lestari; </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Palm oil plantation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lang w:val="fr-FR"/>
              </w:rPr>
            </w:pPr>
            <w:r w:rsidRPr="00A4038A">
              <w:rPr>
                <w:rFonts w:ascii="Times New Roman" w:hAnsi="Times New Roman"/>
                <w:sz w:val="20"/>
                <w:szCs w:val="20"/>
              </w:rPr>
              <w:t>MargaBelimbing</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Lampung</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 AdhiniagaKreasinusa;</w:t>
            </w:r>
          </w:p>
        </w:tc>
        <w:tc>
          <w:tcPr>
            <w:tcW w:w="1767" w:type="dxa"/>
          </w:tcPr>
          <w:p w:rsidR="004078C6" w:rsidRPr="00A4038A" w:rsidRDefault="004078C6" w:rsidP="008E195F">
            <w:pPr>
              <w:rPr>
                <w:rFonts w:ascii="Times New Roman" w:hAnsi="Times New Roman"/>
                <w:sz w:val="20"/>
                <w:szCs w:val="20"/>
              </w:rPr>
            </w:pP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 xml:space="preserve">IbanSemunying Jaya </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West Kalimantan</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 Ledo Lestari</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Palm oil plantation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Batulasung (DayakMeratus)</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South Kalimantan</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 Kodeco Timber;</w:t>
            </w:r>
          </w:p>
        </w:tc>
        <w:tc>
          <w:tcPr>
            <w:tcW w:w="1767" w:type="dxa"/>
          </w:tcPr>
          <w:p w:rsidR="004078C6" w:rsidRPr="00A4038A" w:rsidRDefault="004078C6" w:rsidP="008E195F">
            <w:pPr>
              <w:rPr>
                <w:rFonts w:ascii="Times New Roman" w:hAnsi="Times New Roman"/>
                <w:sz w:val="20"/>
                <w:szCs w:val="20"/>
              </w:rPr>
            </w:pP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Nanga Siyai</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West Kalimantan</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Bukit Baka Bukit Raya National Park;</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Conservation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DayakBenuaq-KampungMuara Tae</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West Kalimantan</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 Borneo Surya Mining Jaya; PT. MunteWaniq Jaya Perkasa;</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Palm oil plantation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JanahJari (DayakMaanyan)</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Central Kalimantan</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 Sendabi Indah Lestari.</w:t>
            </w:r>
          </w:p>
        </w:tc>
        <w:tc>
          <w:tcPr>
            <w:tcW w:w="1767" w:type="dxa"/>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Rubber plantation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PunanDulau</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North Kalimantan</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 Intracawood Manufacturing;</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lang w:val="fr-FR"/>
              </w:rPr>
              <w:t>Logging</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Citorek</w:t>
            </w:r>
          </w:p>
        </w:tc>
        <w:tc>
          <w:tcPr>
            <w:tcW w:w="1592" w:type="dxa"/>
            <w:vMerge w:val="restart"/>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rPr>
              <w:t>Banten</w:t>
            </w:r>
          </w:p>
        </w:tc>
        <w:tc>
          <w:tcPr>
            <w:tcW w:w="2498" w:type="dxa"/>
            <w:vMerge w:val="restart"/>
            <w:shd w:val="clear" w:color="auto" w:fill="auto"/>
          </w:tcPr>
          <w:p w:rsidR="004078C6" w:rsidRPr="00A4038A" w:rsidRDefault="004078C6" w:rsidP="008E195F">
            <w:pPr>
              <w:rPr>
                <w:rFonts w:ascii="Times New Roman" w:hAnsi="Times New Roman"/>
                <w:sz w:val="20"/>
                <w:szCs w:val="20"/>
                <w:lang w:val="fr-FR"/>
              </w:rPr>
            </w:pPr>
            <w:r w:rsidRPr="00A4038A">
              <w:rPr>
                <w:rFonts w:ascii="Times New Roman" w:hAnsi="Times New Roman"/>
                <w:sz w:val="20"/>
                <w:szCs w:val="20"/>
                <w:lang w:val="fr-FR"/>
              </w:rPr>
              <w:t>GunungHalimun-Salak National Park</w:t>
            </w:r>
          </w:p>
        </w:tc>
        <w:tc>
          <w:tcPr>
            <w:tcW w:w="1767" w:type="dxa"/>
            <w:vMerge w:val="restart"/>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lang w:val="fr-FR"/>
              </w:rPr>
              <w:t>Conservation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lang w:val="fr-FR"/>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Karang</w:t>
            </w:r>
          </w:p>
        </w:tc>
        <w:tc>
          <w:tcPr>
            <w:tcW w:w="1592" w:type="dxa"/>
            <w:vMerge/>
          </w:tcPr>
          <w:p w:rsidR="004078C6" w:rsidRPr="00A4038A" w:rsidRDefault="004078C6" w:rsidP="008E195F">
            <w:pPr>
              <w:jc w:val="center"/>
              <w:rPr>
                <w:rFonts w:ascii="Times New Roman" w:hAnsi="Times New Roman"/>
                <w:sz w:val="20"/>
                <w:szCs w:val="20"/>
              </w:rPr>
            </w:pPr>
          </w:p>
        </w:tc>
        <w:tc>
          <w:tcPr>
            <w:tcW w:w="2498" w:type="dxa"/>
            <w:vMerge/>
            <w:shd w:val="clear" w:color="auto" w:fill="auto"/>
          </w:tcPr>
          <w:p w:rsidR="004078C6" w:rsidRPr="00A4038A" w:rsidRDefault="004078C6" w:rsidP="008E195F">
            <w:pPr>
              <w:numPr>
                <w:ilvl w:val="0"/>
                <w:numId w:val="2"/>
              </w:numPr>
              <w:rPr>
                <w:rFonts w:ascii="Times New Roman" w:hAnsi="Times New Roman"/>
                <w:sz w:val="20"/>
                <w:szCs w:val="20"/>
              </w:rPr>
            </w:pPr>
          </w:p>
        </w:tc>
        <w:tc>
          <w:tcPr>
            <w:tcW w:w="1767" w:type="dxa"/>
            <w:vMerge/>
          </w:tcPr>
          <w:p w:rsidR="004078C6" w:rsidRPr="00A4038A" w:rsidRDefault="004078C6" w:rsidP="008E195F">
            <w:pPr>
              <w:numPr>
                <w:ilvl w:val="0"/>
                <w:numId w:val="2"/>
              </w:numPr>
              <w:rPr>
                <w:rFonts w:ascii="Times New Roman" w:hAnsi="Times New Roman"/>
                <w:sz w:val="20"/>
                <w:szCs w:val="20"/>
              </w:rPr>
            </w:pP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Cibedug</w:t>
            </w:r>
          </w:p>
        </w:tc>
        <w:tc>
          <w:tcPr>
            <w:tcW w:w="1592" w:type="dxa"/>
            <w:vMerge/>
          </w:tcPr>
          <w:p w:rsidR="004078C6" w:rsidRPr="00A4038A" w:rsidRDefault="004078C6" w:rsidP="008E195F">
            <w:pPr>
              <w:jc w:val="center"/>
              <w:rPr>
                <w:rFonts w:ascii="Times New Roman" w:hAnsi="Times New Roman"/>
                <w:sz w:val="20"/>
                <w:szCs w:val="20"/>
              </w:rPr>
            </w:pPr>
          </w:p>
        </w:tc>
        <w:tc>
          <w:tcPr>
            <w:tcW w:w="2498" w:type="dxa"/>
            <w:vMerge/>
            <w:shd w:val="clear" w:color="auto" w:fill="auto"/>
          </w:tcPr>
          <w:p w:rsidR="004078C6" w:rsidRPr="00A4038A" w:rsidRDefault="004078C6" w:rsidP="008E195F">
            <w:pPr>
              <w:numPr>
                <w:ilvl w:val="0"/>
                <w:numId w:val="2"/>
              </w:numPr>
              <w:rPr>
                <w:rFonts w:ascii="Times New Roman" w:hAnsi="Times New Roman"/>
                <w:sz w:val="20"/>
                <w:szCs w:val="20"/>
              </w:rPr>
            </w:pPr>
          </w:p>
        </w:tc>
        <w:tc>
          <w:tcPr>
            <w:tcW w:w="1767" w:type="dxa"/>
            <w:vMerge/>
          </w:tcPr>
          <w:p w:rsidR="004078C6" w:rsidRPr="00A4038A" w:rsidRDefault="004078C6" w:rsidP="008E195F">
            <w:pPr>
              <w:numPr>
                <w:ilvl w:val="0"/>
                <w:numId w:val="2"/>
              </w:numPr>
              <w:rPr>
                <w:rFonts w:ascii="Times New Roman" w:hAnsi="Times New Roman"/>
                <w:sz w:val="20"/>
                <w:szCs w:val="20"/>
              </w:rPr>
            </w:pP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Cirompang</w:t>
            </w:r>
          </w:p>
        </w:tc>
        <w:tc>
          <w:tcPr>
            <w:tcW w:w="1592" w:type="dxa"/>
            <w:vMerge/>
          </w:tcPr>
          <w:p w:rsidR="004078C6" w:rsidRPr="00A4038A" w:rsidRDefault="004078C6" w:rsidP="008E195F">
            <w:pPr>
              <w:jc w:val="center"/>
              <w:rPr>
                <w:rFonts w:ascii="Times New Roman" w:hAnsi="Times New Roman"/>
                <w:sz w:val="20"/>
                <w:szCs w:val="20"/>
              </w:rPr>
            </w:pPr>
          </w:p>
        </w:tc>
        <w:tc>
          <w:tcPr>
            <w:tcW w:w="2498" w:type="dxa"/>
            <w:vMerge/>
            <w:shd w:val="clear" w:color="auto" w:fill="auto"/>
          </w:tcPr>
          <w:p w:rsidR="004078C6" w:rsidRPr="00A4038A" w:rsidRDefault="004078C6" w:rsidP="008E195F">
            <w:pPr>
              <w:numPr>
                <w:ilvl w:val="0"/>
                <w:numId w:val="2"/>
              </w:numPr>
              <w:rPr>
                <w:rFonts w:ascii="Times New Roman" w:hAnsi="Times New Roman"/>
                <w:sz w:val="20"/>
                <w:szCs w:val="20"/>
              </w:rPr>
            </w:pPr>
          </w:p>
        </w:tc>
        <w:tc>
          <w:tcPr>
            <w:tcW w:w="1767" w:type="dxa"/>
            <w:vMerge/>
          </w:tcPr>
          <w:p w:rsidR="004078C6" w:rsidRPr="00A4038A" w:rsidRDefault="004078C6" w:rsidP="008E195F">
            <w:pPr>
              <w:numPr>
                <w:ilvl w:val="0"/>
                <w:numId w:val="2"/>
              </w:numPr>
              <w:rPr>
                <w:rFonts w:ascii="Times New Roman" w:hAnsi="Times New Roman"/>
                <w:sz w:val="20"/>
                <w:szCs w:val="20"/>
              </w:rPr>
            </w:pP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Cisitu</w:t>
            </w:r>
          </w:p>
        </w:tc>
        <w:tc>
          <w:tcPr>
            <w:tcW w:w="1592" w:type="dxa"/>
            <w:vMerge/>
          </w:tcPr>
          <w:p w:rsidR="004078C6" w:rsidRPr="00A4038A" w:rsidRDefault="004078C6" w:rsidP="008E195F">
            <w:pPr>
              <w:jc w:val="center"/>
              <w:rPr>
                <w:rFonts w:ascii="Times New Roman" w:hAnsi="Times New Roman"/>
                <w:sz w:val="20"/>
                <w:szCs w:val="20"/>
              </w:rPr>
            </w:pPr>
          </w:p>
        </w:tc>
        <w:tc>
          <w:tcPr>
            <w:tcW w:w="2498" w:type="dxa"/>
            <w:vMerge/>
            <w:shd w:val="clear" w:color="auto" w:fill="auto"/>
          </w:tcPr>
          <w:p w:rsidR="004078C6" w:rsidRPr="00A4038A" w:rsidRDefault="004078C6" w:rsidP="008E195F">
            <w:pPr>
              <w:numPr>
                <w:ilvl w:val="0"/>
                <w:numId w:val="2"/>
              </w:numPr>
              <w:rPr>
                <w:rFonts w:ascii="Times New Roman" w:hAnsi="Times New Roman"/>
                <w:sz w:val="20"/>
                <w:szCs w:val="20"/>
              </w:rPr>
            </w:pPr>
          </w:p>
        </w:tc>
        <w:tc>
          <w:tcPr>
            <w:tcW w:w="1767" w:type="dxa"/>
            <w:vMerge/>
          </w:tcPr>
          <w:p w:rsidR="004078C6" w:rsidRPr="00A4038A" w:rsidRDefault="004078C6" w:rsidP="008E195F">
            <w:pPr>
              <w:numPr>
                <w:ilvl w:val="0"/>
                <w:numId w:val="2"/>
              </w:numPr>
              <w:rPr>
                <w:rFonts w:ascii="Times New Roman" w:hAnsi="Times New Roman"/>
                <w:sz w:val="20"/>
                <w:szCs w:val="20"/>
              </w:rPr>
            </w:pP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Ciptagelar</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West Java</w:t>
            </w:r>
          </w:p>
        </w:tc>
        <w:tc>
          <w:tcPr>
            <w:tcW w:w="2498" w:type="dxa"/>
            <w:vMerge/>
            <w:shd w:val="clear" w:color="auto" w:fill="auto"/>
          </w:tcPr>
          <w:p w:rsidR="004078C6" w:rsidRPr="00A4038A" w:rsidRDefault="004078C6" w:rsidP="008E195F">
            <w:pPr>
              <w:numPr>
                <w:ilvl w:val="0"/>
                <w:numId w:val="2"/>
              </w:numPr>
              <w:rPr>
                <w:rFonts w:ascii="Times New Roman" w:hAnsi="Times New Roman"/>
                <w:sz w:val="20"/>
                <w:szCs w:val="20"/>
              </w:rPr>
            </w:pPr>
          </w:p>
        </w:tc>
        <w:tc>
          <w:tcPr>
            <w:tcW w:w="1767" w:type="dxa"/>
            <w:vMerge/>
          </w:tcPr>
          <w:p w:rsidR="004078C6" w:rsidRPr="00A4038A" w:rsidRDefault="004078C6" w:rsidP="008E195F">
            <w:pPr>
              <w:numPr>
                <w:ilvl w:val="0"/>
                <w:numId w:val="2"/>
              </w:numPr>
              <w:rPr>
                <w:rFonts w:ascii="Times New Roman" w:hAnsi="Times New Roman"/>
                <w:sz w:val="20"/>
                <w:szCs w:val="20"/>
              </w:rPr>
            </w:pP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Aru</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Maluku</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 Menara Group.</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Sugar plantation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NegeriTananahu</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Maluku</w:t>
            </w:r>
          </w:p>
        </w:tc>
        <w:tc>
          <w:tcPr>
            <w:tcW w:w="2498" w:type="dxa"/>
            <w:shd w:val="clear" w:color="auto" w:fill="auto"/>
          </w:tcPr>
          <w:p w:rsidR="004078C6" w:rsidRPr="00A4038A" w:rsidRDefault="004078C6" w:rsidP="008E195F">
            <w:pPr>
              <w:rPr>
                <w:rFonts w:ascii="Times New Roman" w:hAnsi="Times New Roman"/>
                <w:sz w:val="20"/>
                <w:szCs w:val="20"/>
                <w:lang w:val="fr-FR"/>
              </w:rPr>
            </w:pPr>
            <w:r w:rsidRPr="00A4038A">
              <w:rPr>
                <w:rFonts w:ascii="Times New Roman" w:hAnsi="Times New Roman"/>
                <w:sz w:val="20"/>
                <w:szCs w:val="20"/>
              </w:rPr>
              <w:t>PTPN</w:t>
            </w:r>
            <w:r w:rsidRPr="00A4038A">
              <w:rPr>
                <w:rFonts w:ascii="Times New Roman" w:hAnsi="Times New Roman"/>
                <w:sz w:val="20"/>
                <w:szCs w:val="20"/>
                <w:lang w:val="fr-FR"/>
              </w:rPr>
              <w:t xml:space="preserve"> XIV</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Plantation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lang w:val="fr-FR"/>
              </w:rPr>
            </w:pPr>
            <w:r w:rsidRPr="00A4038A">
              <w:rPr>
                <w:rFonts w:ascii="Times New Roman" w:hAnsi="Times New Roman"/>
                <w:sz w:val="20"/>
                <w:szCs w:val="20"/>
                <w:lang w:val="fr-FR"/>
              </w:rPr>
              <w:t>PulauRomang</w:t>
            </w:r>
            <w:r w:rsidRPr="00A4038A">
              <w:rPr>
                <w:rFonts w:ascii="Times New Roman" w:hAnsi="Times New Roman"/>
                <w:sz w:val="20"/>
                <w:szCs w:val="20"/>
                <w:lang w:val="fr-FR"/>
              </w:rPr>
              <w:tab/>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lang w:val="fr-FR"/>
              </w:rPr>
              <w:t>Maluku</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 Gemala Borneo Utama.</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Gold mining</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Sawai</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North Maluku</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 Weda Bay Nickel.</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Nickel mining</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Pagu</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North Maluku</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 Nusa Halmahera Minerals</w:t>
            </w:r>
          </w:p>
        </w:tc>
        <w:tc>
          <w:tcPr>
            <w:tcW w:w="1767" w:type="dxa"/>
          </w:tcPr>
          <w:p w:rsidR="004078C6" w:rsidRPr="00A4038A" w:rsidRDefault="004078C6" w:rsidP="008E195F">
            <w:pPr>
              <w:rPr>
                <w:rFonts w:ascii="Times New Roman" w:hAnsi="Times New Roman"/>
                <w:sz w:val="20"/>
                <w:szCs w:val="20"/>
              </w:rPr>
            </w:pP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TobeloDalam</w:t>
            </w:r>
            <w:r w:rsidRPr="00A4038A">
              <w:rPr>
                <w:rFonts w:ascii="Times New Roman" w:hAnsi="Times New Roman"/>
                <w:sz w:val="20"/>
                <w:szCs w:val="20"/>
              </w:rPr>
              <w:tab/>
            </w:r>
          </w:p>
        </w:tc>
        <w:tc>
          <w:tcPr>
            <w:tcW w:w="1592"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rPr>
              <w:t>North Maluku</w:t>
            </w:r>
          </w:p>
        </w:tc>
        <w:tc>
          <w:tcPr>
            <w:tcW w:w="2498" w:type="dxa"/>
            <w:shd w:val="clear" w:color="auto" w:fill="auto"/>
          </w:tcPr>
          <w:p w:rsidR="004078C6" w:rsidRPr="00A4038A" w:rsidRDefault="004078C6" w:rsidP="008E195F">
            <w:pPr>
              <w:rPr>
                <w:rFonts w:ascii="Times New Roman" w:hAnsi="Times New Roman"/>
                <w:sz w:val="20"/>
                <w:szCs w:val="20"/>
                <w:lang w:val="fr-FR"/>
              </w:rPr>
            </w:pPr>
            <w:r w:rsidRPr="00A4038A">
              <w:rPr>
                <w:rFonts w:ascii="Times New Roman" w:hAnsi="Times New Roman"/>
                <w:sz w:val="20"/>
                <w:szCs w:val="20"/>
                <w:lang w:val="fr-FR"/>
              </w:rPr>
              <w:t>AketajaweLolobata National Park</w:t>
            </w:r>
          </w:p>
        </w:tc>
        <w:tc>
          <w:tcPr>
            <w:tcW w:w="1767" w:type="dxa"/>
          </w:tcPr>
          <w:p w:rsidR="004078C6" w:rsidRPr="00A4038A" w:rsidRDefault="004078C6" w:rsidP="008E195F">
            <w:pPr>
              <w:rPr>
                <w:rFonts w:ascii="Times New Roman" w:hAnsi="Times New Roman"/>
                <w:sz w:val="20"/>
                <w:szCs w:val="20"/>
                <w:lang w:val="fr-FR"/>
              </w:rPr>
            </w:pPr>
            <w:r w:rsidRPr="00A4038A">
              <w:rPr>
                <w:rFonts w:ascii="Times New Roman" w:hAnsi="Times New Roman"/>
                <w:sz w:val="20"/>
                <w:szCs w:val="20"/>
                <w:lang w:val="fr-FR"/>
              </w:rPr>
              <w:t>Conservation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Pekasa</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West Nusa Tenggara</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Minister of Forestry &amp; Environmental Affairs</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 xml:space="preserve">Conservation </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Talonang</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West Nusa Tenggara</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 Pulau Sumbawa Agra.</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Perkebunan Tanaman Sisal</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CekBocekSelesekReenSury</w:t>
            </w:r>
          </w:p>
        </w:tc>
        <w:tc>
          <w:tcPr>
            <w:tcW w:w="1592"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rPr>
              <w:t>West Nusa Tenggara</w:t>
            </w:r>
          </w:p>
        </w:tc>
        <w:tc>
          <w:tcPr>
            <w:tcW w:w="2498" w:type="dxa"/>
            <w:shd w:val="clear" w:color="auto" w:fill="auto"/>
          </w:tcPr>
          <w:p w:rsidR="004078C6" w:rsidRPr="00A4038A" w:rsidRDefault="004078C6" w:rsidP="008E195F">
            <w:pPr>
              <w:rPr>
                <w:rFonts w:ascii="Times New Roman" w:hAnsi="Times New Roman"/>
                <w:sz w:val="20"/>
                <w:szCs w:val="20"/>
                <w:lang w:val="fr-FR"/>
              </w:rPr>
            </w:pPr>
            <w:r w:rsidRPr="00A4038A">
              <w:rPr>
                <w:rFonts w:ascii="Times New Roman" w:hAnsi="Times New Roman"/>
                <w:sz w:val="20"/>
                <w:szCs w:val="20"/>
                <w:lang w:val="fr-FR"/>
              </w:rPr>
              <w:t>PT. NewmontNusaTenggara;</w:t>
            </w:r>
          </w:p>
        </w:tc>
        <w:tc>
          <w:tcPr>
            <w:tcW w:w="1767"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lang w:val="fr-FR"/>
              </w:rPr>
              <w:t>Mining</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Golo Lebo</w:t>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East Nusa Tenggara</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 ManggaraiManganise.</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Mangan mining</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lang w:val="fr-FR"/>
              </w:rPr>
            </w:pPr>
            <w:r w:rsidRPr="00A4038A">
              <w:rPr>
                <w:rFonts w:ascii="Times New Roman" w:hAnsi="Times New Roman"/>
                <w:sz w:val="20"/>
                <w:szCs w:val="20"/>
              </w:rPr>
              <w:t>Colol</w:t>
            </w:r>
            <w:r w:rsidRPr="00A4038A">
              <w:rPr>
                <w:rFonts w:ascii="Times New Roman" w:hAnsi="Times New Roman"/>
                <w:sz w:val="20"/>
                <w:szCs w:val="20"/>
              </w:rPr>
              <w:tab/>
            </w:r>
          </w:p>
        </w:tc>
        <w:tc>
          <w:tcPr>
            <w:tcW w:w="1592"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rPr>
              <w:t>East Nusa Tenggara</w:t>
            </w:r>
          </w:p>
        </w:tc>
        <w:tc>
          <w:tcPr>
            <w:tcW w:w="2498" w:type="dxa"/>
            <w:shd w:val="clear" w:color="auto" w:fill="auto"/>
          </w:tcPr>
          <w:p w:rsidR="004078C6" w:rsidRPr="00A4038A" w:rsidRDefault="004078C6" w:rsidP="008E195F">
            <w:pPr>
              <w:rPr>
                <w:rFonts w:ascii="Times New Roman" w:hAnsi="Times New Roman"/>
                <w:sz w:val="20"/>
                <w:szCs w:val="20"/>
                <w:lang w:val="fr-FR"/>
              </w:rPr>
            </w:pPr>
            <w:r w:rsidRPr="00A4038A">
              <w:rPr>
                <w:rFonts w:ascii="Times New Roman" w:hAnsi="Times New Roman"/>
                <w:sz w:val="20"/>
                <w:szCs w:val="20"/>
              </w:rPr>
              <w:t>Minister of Forestry &amp; Environmental Affairs</w:t>
            </w:r>
          </w:p>
        </w:tc>
        <w:tc>
          <w:tcPr>
            <w:tcW w:w="1767"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lang w:val="fr-FR"/>
              </w:rPr>
              <w:t xml:space="preserve">Conservation </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Tanah Sembahulun</w:t>
            </w:r>
          </w:p>
        </w:tc>
        <w:tc>
          <w:tcPr>
            <w:tcW w:w="1592"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rPr>
              <w:t>West Nusa Tenggara</w:t>
            </w:r>
          </w:p>
        </w:tc>
        <w:tc>
          <w:tcPr>
            <w:tcW w:w="2498" w:type="dxa"/>
            <w:shd w:val="clear" w:color="auto" w:fill="auto"/>
          </w:tcPr>
          <w:p w:rsidR="004078C6" w:rsidRPr="00A4038A" w:rsidRDefault="004078C6" w:rsidP="008E195F">
            <w:pPr>
              <w:rPr>
                <w:rFonts w:ascii="Times New Roman" w:hAnsi="Times New Roman"/>
                <w:sz w:val="20"/>
                <w:szCs w:val="20"/>
                <w:lang w:val="fr-FR"/>
              </w:rPr>
            </w:pPr>
            <w:r w:rsidRPr="00A4038A">
              <w:rPr>
                <w:rFonts w:ascii="Times New Roman" w:hAnsi="Times New Roman"/>
                <w:sz w:val="20"/>
                <w:szCs w:val="20"/>
                <w:lang w:val="fr-FR"/>
              </w:rPr>
              <w:t>Rinjani National Park</w:t>
            </w:r>
          </w:p>
        </w:tc>
        <w:tc>
          <w:tcPr>
            <w:tcW w:w="1767"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lang w:val="fr-FR"/>
              </w:rPr>
              <w:t>Conservation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Daiget (Arso)</w:t>
            </w:r>
            <w:r w:rsidRPr="00A4038A">
              <w:rPr>
                <w:rFonts w:ascii="Times New Roman" w:hAnsi="Times New Roman"/>
                <w:sz w:val="20"/>
                <w:szCs w:val="20"/>
              </w:rPr>
              <w:tab/>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Papua</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PTPN II</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Palm oil plantation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Wolani, Mee&amp;Moni</w:t>
            </w:r>
            <w:r w:rsidRPr="00A4038A">
              <w:rPr>
                <w:rFonts w:ascii="Times New Roman" w:hAnsi="Times New Roman"/>
                <w:sz w:val="20"/>
                <w:szCs w:val="20"/>
              </w:rPr>
              <w:tab/>
            </w:r>
          </w:p>
        </w:tc>
        <w:tc>
          <w:tcPr>
            <w:tcW w:w="1592"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Papua</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PT. MadinahQurrata’ain; CV. Komputer; PT. Martna Mining;</w:t>
            </w:r>
          </w:p>
        </w:tc>
        <w:tc>
          <w:tcPr>
            <w:tcW w:w="1767" w:type="dxa"/>
          </w:tcPr>
          <w:p w:rsidR="004078C6" w:rsidRPr="00A4038A" w:rsidRDefault="004078C6" w:rsidP="008E195F">
            <w:pPr>
              <w:jc w:val="center"/>
              <w:rPr>
                <w:rFonts w:ascii="Times New Roman" w:hAnsi="Times New Roman"/>
                <w:sz w:val="20"/>
                <w:szCs w:val="20"/>
              </w:rPr>
            </w:pPr>
            <w:r w:rsidRPr="00A4038A">
              <w:rPr>
                <w:rFonts w:ascii="Times New Roman" w:hAnsi="Times New Roman"/>
                <w:sz w:val="20"/>
                <w:szCs w:val="20"/>
              </w:rPr>
              <w:t>Gold mining</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lang w:val="fr-FR"/>
              </w:rPr>
            </w:pPr>
            <w:r w:rsidRPr="00A4038A">
              <w:rPr>
                <w:rFonts w:ascii="Times New Roman" w:hAnsi="Times New Roman"/>
                <w:sz w:val="20"/>
                <w:szCs w:val="20"/>
              </w:rPr>
              <w:t>Yerisiam</w:t>
            </w:r>
            <w:r w:rsidRPr="00A4038A">
              <w:rPr>
                <w:rFonts w:ascii="Times New Roman" w:hAnsi="Times New Roman"/>
                <w:sz w:val="20"/>
                <w:szCs w:val="20"/>
              </w:rPr>
              <w:tab/>
            </w:r>
            <w:r w:rsidRPr="00A4038A">
              <w:rPr>
                <w:rFonts w:ascii="Times New Roman" w:hAnsi="Times New Roman"/>
                <w:sz w:val="20"/>
                <w:szCs w:val="20"/>
              </w:rPr>
              <w:tab/>
            </w:r>
          </w:p>
          <w:p w:rsidR="004078C6" w:rsidRPr="00A4038A" w:rsidRDefault="004078C6" w:rsidP="008E195F">
            <w:pPr>
              <w:rPr>
                <w:rFonts w:ascii="Times New Roman" w:hAnsi="Times New Roman"/>
                <w:sz w:val="20"/>
                <w:szCs w:val="20"/>
                <w:lang w:val="fr-FR"/>
              </w:rPr>
            </w:pPr>
          </w:p>
        </w:tc>
        <w:tc>
          <w:tcPr>
            <w:tcW w:w="1592"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rPr>
              <w:t>Papua</w:t>
            </w:r>
          </w:p>
        </w:tc>
        <w:tc>
          <w:tcPr>
            <w:tcW w:w="2498" w:type="dxa"/>
            <w:shd w:val="clear" w:color="auto" w:fill="auto"/>
          </w:tcPr>
          <w:p w:rsidR="004078C6" w:rsidRPr="00A4038A" w:rsidRDefault="004078C6" w:rsidP="008E195F">
            <w:pPr>
              <w:rPr>
                <w:rFonts w:ascii="Times New Roman" w:hAnsi="Times New Roman"/>
                <w:sz w:val="20"/>
                <w:szCs w:val="20"/>
                <w:lang w:val="fr-FR"/>
              </w:rPr>
            </w:pPr>
            <w:r w:rsidRPr="00A4038A">
              <w:rPr>
                <w:rFonts w:ascii="Times New Roman" w:hAnsi="Times New Roman"/>
                <w:sz w:val="20"/>
                <w:szCs w:val="20"/>
                <w:lang w:val="fr-FR"/>
              </w:rPr>
              <w:t xml:space="preserve">PT. NabireBaru; PT. </w:t>
            </w:r>
            <w:r w:rsidRPr="00A4038A">
              <w:rPr>
                <w:rFonts w:ascii="Times New Roman" w:hAnsi="Times New Roman"/>
                <w:sz w:val="20"/>
                <w:szCs w:val="20"/>
              </w:rPr>
              <w:t>Sari WamaAdi Perkasa;</w:t>
            </w:r>
            <w:r w:rsidRPr="00A4038A">
              <w:rPr>
                <w:rFonts w:ascii="Times New Roman" w:hAnsi="Times New Roman"/>
                <w:sz w:val="20"/>
                <w:szCs w:val="20"/>
                <w:lang w:val="fr-FR"/>
              </w:rPr>
              <w:t xml:space="preserve"> PT. Sari </w:t>
            </w:r>
            <w:r w:rsidRPr="00A4038A">
              <w:rPr>
                <w:rFonts w:ascii="Times New Roman" w:hAnsi="Times New Roman"/>
                <w:sz w:val="20"/>
                <w:szCs w:val="20"/>
                <w:lang w:val="fr-FR"/>
              </w:rPr>
              <w:lastRenderedPageBreak/>
              <w:t>WamaUnggulMandiri.</w:t>
            </w:r>
          </w:p>
        </w:tc>
        <w:tc>
          <w:tcPr>
            <w:tcW w:w="1767"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rPr>
              <w:lastRenderedPageBreak/>
              <w:t xml:space="preserve">Palm oil plantation; </w:t>
            </w:r>
            <w:r w:rsidRPr="00A4038A">
              <w:rPr>
                <w:rFonts w:ascii="Times New Roman" w:hAnsi="Times New Roman"/>
                <w:sz w:val="20"/>
                <w:szCs w:val="20"/>
              </w:rPr>
              <w:lastRenderedPageBreak/>
              <w:t>Logging</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lang w:val="fr-FR"/>
              </w:rPr>
            </w:pPr>
            <w:r w:rsidRPr="00A4038A">
              <w:rPr>
                <w:rFonts w:ascii="Times New Roman" w:hAnsi="Times New Roman"/>
                <w:sz w:val="20"/>
                <w:szCs w:val="20"/>
              </w:rPr>
              <w:t>Malind</w:t>
            </w:r>
          </w:p>
        </w:tc>
        <w:tc>
          <w:tcPr>
            <w:tcW w:w="1592"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rPr>
              <w:t>Papua</w:t>
            </w:r>
          </w:p>
        </w:tc>
        <w:tc>
          <w:tcPr>
            <w:tcW w:w="2498" w:type="dxa"/>
            <w:shd w:val="clear" w:color="auto" w:fill="auto"/>
          </w:tcPr>
          <w:p w:rsidR="004078C6" w:rsidRPr="00A4038A" w:rsidRDefault="004078C6" w:rsidP="008E195F">
            <w:pPr>
              <w:rPr>
                <w:rFonts w:ascii="Times New Roman" w:hAnsi="Times New Roman"/>
                <w:sz w:val="20"/>
                <w:szCs w:val="20"/>
                <w:lang w:val="fr-FR"/>
              </w:rPr>
            </w:pPr>
            <w:r w:rsidRPr="00A4038A">
              <w:rPr>
                <w:rFonts w:ascii="Times New Roman" w:hAnsi="Times New Roman"/>
                <w:sz w:val="20"/>
                <w:szCs w:val="20"/>
                <w:lang w:val="fr-FR"/>
              </w:rPr>
              <w:t xml:space="preserve">PT. Selaras Inti Semesta; PT. </w:t>
            </w:r>
            <w:r w:rsidRPr="00A4038A">
              <w:rPr>
                <w:rFonts w:ascii="Times New Roman" w:hAnsi="Times New Roman"/>
                <w:sz w:val="20"/>
                <w:szCs w:val="20"/>
              </w:rPr>
              <w:t>DonginPrabhawa;</w:t>
            </w:r>
            <w:r w:rsidRPr="00A4038A">
              <w:rPr>
                <w:rFonts w:ascii="Times New Roman" w:hAnsi="Times New Roman"/>
                <w:sz w:val="20"/>
                <w:szCs w:val="20"/>
                <w:lang w:val="fr-FR"/>
              </w:rPr>
              <w:t xml:space="preserve"> PT. CendrawasihJayaMandiri.</w:t>
            </w:r>
          </w:p>
        </w:tc>
        <w:tc>
          <w:tcPr>
            <w:tcW w:w="1767" w:type="dxa"/>
          </w:tcPr>
          <w:p w:rsidR="004078C6" w:rsidRPr="00A4038A" w:rsidRDefault="004078C6" w:rsidP="00D617CC">
            <w:pPr>
              <w:jc w:val="center"/>
              <w:rPr>
                <w:rFonts w:ascii="Times New Roman" w:hAnsi="Times New Roman"/>
                <w:sz w:val="20"/>
                <w:szCs w:val="20"/>
                <w:lang w:val="fr-FR"/>
              </w:rPr>
            </w:pPr>
            <w:r w:rsidRPr="00A4038A">
              <w:rPr>
                <w:rFonts w:ascii="Times New Roman" w:hAnsi="Times New Roman"/>
                <w:sz w:val="20"/>
                <w:szCs w:val="20"/>
                <w:lang w:val="fr-FR"/>
              </w:rPr>
              <w:t xml:space="preserve">Logging; </w:t>
            </w:r>
            <w:r w:rsidRPr="00A4038A">
              <w:rPr>
                <w:rFonts w:ascii="Times New Roman" w:hAnsi="Times New Roman"/>
                <w:sz w:val="20"/>
                <w:szCs w:val="20"/>
              </w:rPr>
              <w:t>Palm oil plantation</w:t>
            </w:r>
          </w:p>
        </w:tc>
      </w:tr>
      <w:tr w:rsidR="00A4038A" w:rsidRPr="00A4038A" w:rsidTr="008E195F">
        <w:tc>
          <w:tcPr>
            <w:tcW w:w="461" w:type="dxa"/>
            <w:shd w:val="clear" w:color="auto" w:fill="auto"/>
          </w:tcPr>
          <w:p w:rsidR="004078C6" w:rsidRPr="00A4038A" w:rsidRDefault="004078C6" w:rsidP="008E195F">
            <w:pPr>
              <w:numPr>
                <w:ilvl w:val="0"/>
                <w:numId w:val="1"/>
              </w:numPr>
              <w:rPr>
                <w:rFonts w:ascii="Times New Roman" w:hAnsi="Times New Roman"/>
                <w:sz w:val="20"/>
                <w:szCs w:val="20"/>
              </w:rPr>
            </w:pPr>
          </w:p>
        </w:tc>
        <w:tc>
          <w:tcPr>
            <w:tcW w:w="2239"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rPr>
              <w:t>Wondama</w:t>
            </w:r>
          </w:p>
        </w:tc>
        <w:tc>
          <w:tcPr>
            <w:tcW w:w="1592"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rPr>
              <w:t>West Papua</w:t>
            </w:r>
          </w:p>
        </w:tc>
        <w:tc>
          <w:tcPr>
            <w:tcW w:w="2498" w:type="dxa"/>
            <w:shd w:val="clear" w:color="auto" w:fill="auto"/>
          </w:tcPr>
          <w:p w:rsidR="004078C6" w:rsidRPr="00A4038A" w:rsidRDefault="004078C6" w:rsidP="008E195F">
            <w:pPr>
              <w:rPr>
                <w:rFonts w:ascii="Times New Roman" w:hAnsi="Times New Roman"/>
                <w:sz w:val="20"/>
                <w:szCs w:val="20"/>
              </w:rPr>
            </w:pPr>
            <w:r w:rsidRPr="00A4038A">
              <w:rPr>
                <w:rFonts w:ascii="Times New Roman" w:hAnsi="Times New Roman"/>
                <w:sz w:val="20"/>
                <w:szCs w:val="20"/>
                <w:lang w:val="fr-FR"/>
              </w:rPr>
              <w:t>PT. Dharma MuktiPersada</w:t>
            </w:r>
          </w:p>
        </w:tc>
        <w:tc>
          <w:tcPr>
            <w:tcW w:w="1767" w:type="dxa"/>
          </w:tcPr>
          <w:p w:rsidR="004078C6" w:rsidRPr="00A4038A" w:rsidRDefault="004078C6" w:rsidP="008E195F">
            <w:pPr>
              <w:jc w:val="center"/>
              <w:rPr>
                <w:rFonts w:ascii="Times New Roman" w:hAnsi="Times New Roman"/>
                <w:sz w:val="20"/>
                <w:szCs w:val="20"/>
                <w:lang w:val="fr-FR"/>
              </w:rPr>
            </w:pPr>
            <w:r w:rsidRPr="00A4038A">
              <w:rPr>
                <w:rFonts w:ascii="Times New Roman" w:hAnsi="Times New Roman"/>
                <w:sz w:val="20"/>
                <w:szCs w:val="20"/>
                <w:lang w:val="fr-FR"/>
              </w:rPr>
              <w:t>Logging</w:t>
            </w:r>
          </w:p>
        </w:tc>
      </w:tr>
    </w:tbl>
    <w:p w:rsidR="004078C6" w:rsidRPr="00A4038A" w:rsidRDefault="004078C6" w:rsidP="004078C6">
      <w:pPr>
        <w:rPr>
          <w:rFonts w:ascii="Times New Roman" w:hAnsi="Times New Roman"/>
        </w:rPr>
      </w:pPr>
      <w:r w:rsidRPr="00A4038A">
        <w:rPr>
          <w:rFonts w:ascii="Times New Roman" w:hAnsi="Times New Roman"/>
          <w:sz w:val="20"/>
        </w:rPr>
        <w:t>Source:</w:t>
      </w:r>
      <w:r w:rsidR="00B76CEF" w:rsidRPr="00A4038A">
        <w:rPr>
          <w:rFonts w:ascii="Times New Roman" w:hAnsi="Times New Roman"/>
          <w:sz w:val="20"/>
        </w:rPr>
        <w:t>LaporanInkuiriNasional</w:t>
      </w:r>
    </w:p>
    <w:p w:rsidR="004078C6" w:rsidRPr="00A4038A" w:rsidRDefault="004078C6" w:rsidP="00407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4078C6" w:rsidRPr="00A4038A" w:rsidRDefault="004078C6" w:rsidP="00407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rPr>
      </w:pPr>
      <w:r w:rsidRPr="00A4038A">
        <w:rPr>
          <w:rFonts w:ascii="Times New Roman" w:hAnsi="Times New Roman"/>
        </w:rPr>
        <w:t xml:space="preserve">The findings from the series of regional public hearings showed individual and collective human rights violations against indigenous peoples, with indigenous women and children in the most vulnerable position. The problems were wide-ranging and often unresolved, including but not limited to: unclear and overlooked boundaries of indigenous peoples’ territories; overlapping licenses; manipulation of licenses by the government and companies; unresolved legal cases brought against defendants for various forms of violence against, </w:t>
      </w:r>
      <w:r w:rsidR="00E339F0" w:rsidRPr="00A4038A">
        <w:rPr>
          <w:rFonts w:ascii="Times New Roman" w:hAnsi="Times New Roman"/>
        </w:rPr>
        <w:t>criminalization</w:t>
      </w:r>
      <w:r w:rsidRPr="00A4038A">
        <w:rPr>
          <w:rFonts w:ascii="Times New Roman" w:hAnsi="Times New Roman"/>
        </w:rPr>
        <w:t xml:space="preserve"> and systematic crimes against indigenous peoples; the bias and consolidated use of military and private security guards by corporations; and a lack of just, thorough and multi-sectoral conflict resolution. The Commission’s conclusions also noted that all cases also contained significant internal conflicts fostered by companies and governments in order to take advantage of community divisions. </w:t>
      </w:r>
    </w:p>
    <w:p w:rsidR="000A2A76" w:rsidRDefault="000A2A76" w:rsidP="00407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4078C6" w:rsidRPr="00E339F0" w:rsidRDefault="000A2A76" w:rsidP="004078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rPr>
      </w:pPr>
      <w:r w:rsidRPr="00E339F0">
        <w:rPr>
          <w:rFonts w:ascii="Times New Roman" w:hAnsi="Times New Roman"/>
          <w:b/>
        </w:rPr>
        <w:t>Connecting counter-hegemonic indigenous legal maneuvering with the grassroots struggles</w:t>
      </w:r>
      <w:r w:rsidR="00E339F0">
        <w:rPr>
          <w:rFonts w:ascii="Times New Roman" w:hAnsi="Times New Roman"/>
          <w:b/>
        </w:rPr>
        <w:t xml:space="preserve">: </w:t>
      </w:r>
      <w:r w:rsidR="00E339F0" w:rsidRPr="00A4038A">
        <w:rPr>
          <w:rFonts w:ascii="Times New Roman" w:hAnsi="Times New Roman"/>
          <w:b/>
        </w:rPr>
        <w:t>mobilizing at multiple scales</w:t>
      </w:r>
    </w:p>
    <w:p w:rsidR="00E339F0" w:rsidRDefault="00E339F0" w:rsidP="00E339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rPr>
      </w:pPr>
    </w:p>
    <w:p w:rsidR="00926F2B" w:rsidRPr="00CA53CD" w:rsidRDefault="00E631DC" w:rsidP="00926F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olor w:val="FF0000"/>
        </w:rPr>
      </w:pPr>
      <w:r>
        <w:rPr>
          <w:rFonts w:ascii="Times New Roman" w:hAnsi="Times New Roman"/>
        </w:rPr>
        <w:tab/>
      </w:r>
      <w:r w:rsidR="00E339F0" w:rsidRPr="00E339F0">
        <w:rPr>
          <w:rFonts w:ascii="Times New Roman" w:hAnsi="Times New Roman"/>
        </w:rPr>
        <w:t>In addition to examples of AMAN</w:t>
      </w:r>
      <w:r w:rsidR="00E339F0">
        <w:rPr>
          <w:rFonts w:ascii="Times New Roman" w:hAnsi="Times New Roman"/>
        </w:rPr>
        <w:t xml:space="preserve">’s roles in the two examples of </w:t>
      </w:r>
      <w:r w:rsidR="00E339F0" w:rsidRPr="000A2A76">
        <w:rPr>
          <w:rFonts w:ascii="Times New Roman" w:hAnsi="Times New Roman"/>
        </w:rPr>
        <w:t>counter-hegemonic indigenous legal maneuvering</w:t>
      </w:r>
      <w:r w:rsidR="00E339F0">
        <w:rPr>
          <w:rFonts w:ascii="Times New Roman" w:hAnsi="Times New Roman"/>
        </w:rPr>
        <w:t xml:space="preserve"> presented above, </w:t>
      </w:r>
      <w:r w:rsidR="00E339F0" w:rsidRPr="00E339F0">
        <w:rPr>
          <w:rFonts w:ascii="Times New Roman" w:hAnsi="Times New Roman"/>
        </w:rPr>
        <w:t>the localized struggles of indigenous communities and indigenous organizations that are members of AMAN are increasingly involved in land reclaiming, either by reoccupation and other direct confrontation and negotiation actions with regard to contested land and natural resources with business entities production and conservation authorities. For many constituents of indigenous movements who are mostly residing in remote regions, AMAN helps them to ensure their struggles against expropriation of their lands and territory expand beyond the border of their villages to reach the district offices, even Jakarta. Through these agrarian conflicts, AMAN members develop their repertoires in indigenous mobilizations (strategy, organization and tactics) in confronting the concessionaires, local and central bureaucracies supporting those concessionaires, the security apparatus (official and unofficial ones) guarding the concessions, and the rent-seekers involved in this cycle</w:t>
      </w:r>
      <w:r w:rsidR="00E21728">
        <w:rPr>
          <w:rFonts w:ascii="Times New Roman" w:hAnsi="Times New Roman"/>
        </w:rPr>
        <w:t>s</w:t>
      </w:r>
      <w:r w:rsidR="00E339F0" w:rsidRPr="00E339F0">
        <w:rPr>
          <w:rFonts w:ascii="Times New Roman" w:hAnsi="Times New Roman"/>
        </w:rPr>
        <w:t xml:space="preserve"> o</w:t>
      </w:r>
      <w:r w:rsidR="00E339F0">
        <w:rPr>
          <w:rFonts w:ascii="Times New Roman" w:hAnsi="Times New Roman"/>
        </w:rPr>
        <w:t>f structural agrarian conflict.</w:t>
      </w:r>
      <w:r w:rsidR="00E339F0" w:rsidRPr="00E339F0">
        <w:rPr>
          <w:rFonts w:ascii="Times New Roman" w:hAnsi="Times New Roman"/>
        </w:rPr>
        <w:t xml:space="preserve">With more than 200 community members, 20 provincial regional branches, and 81 district offices spread throughout the Indonesian archipelago, AMAN is in good position to </w:t>
      </w:r>
      <w:r w:rsidR="00E21728">
        <w:rPr>
          <w:rFonts w:ascii="Times New Roman" w:hAnsi="Times New Roman"/>
        </w:rPr>
        <w:t>‘</w:t>
      </w:r>
      <w:r w:rsidR="00E339F0" w:rsidRPr="00E339F0">
        <w:rPr>
          <w:rFonts w:ascii="Times New Roman" w:hAnsi="Times New Roman"/>
        </w:rPr>
        <w:t>mobilize at multiple scales, targeting laws and institutions of state power at the same time as organizing the grassroots</w:t>
      </w:r>
      <w:r w:rsidR="00E21728">
        <w:rPr>
          <w:rFonts w:ascii="Times New Roman" w:hAnsi="Times New Roman"/>
        </w:rPr>
        <w:t>’</w:t>
      </w:r>
      <w:r w:rsidR="00E339F0" w:rsidRPr="00E339F0">
        <w:rPr>
          <w:rFonts w:ascii="Times New Roman" w:hAnsi="Times New Roman"/>
        </w:rPr>
        <w:t xml:space="preserve"> (Peluso, Afiff, Rachman 2008: 377). </w:t>
      </w:r>
      <w:r w:rsidR="00AC216E">
        <w:rPr>
          <w:rFonts w:ascii="Times New Roman" w:hAnsi="Times New Roman"/>
        </w:rPr>
        <w:t xml:space="preserve">The legal victory at national level inspired </w:t>
      </w:r>
      <w:r w:rsidR="00AC216E">
        <w:rPr>
          <w:rFonts w:ascii="Times New Roman" w:hAnsi="Times New Roman"/>
          <w:i/>
        </w:rPr>
        <w:t>masyarakatadat</w:t>
      </w:r>
      <w:r w:rsidR="00AC216E">
        <w:rPr>
          <w:rFonts w:ascii="Times New Roman" w:hAnsi="Times New Roman"/>
        </w:rPr>
        <w:t xml:space="preserve"> movement constituents to accelerate campaign for local regulation at the district level on recognition of indigenous peoples rights over their territories, such as in Bulukumba District, South Sulawesi and in Malinau District in East Kalimantan.</w:t>
      </w:r>
    </w:p>
    <w:p w:rsidR="00D22A06" w:rsidRDefault="00AC216E" w:rsidP="00D22A0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color w:val="FF0000"/>
        </w:rPr>
      </w:pPr>
      <w:r>
        <w:rPr>
          <w:rFonts w:ascii="Times New Roman" w:hAnsi="Times New Roman"/>
        </w:rPr>
        <w:t>At the grassroots level, i</w:t>
      </w:r>
      <w:r w:rsidR="00926F2B">
        <w:rPr>
          <w:rFonts w:ascii="Times New Roman" w:hAnsi="Times New Roman"/>
        </w:rPr>
        <w:t xml:space="preserve">n responding to </w:t>
      </w:r>
      <w:r w:rsidR="000A2A76" w:rsidRPr="00A4038A">
        <w:rPr>
          <w:rFonts w:ascii="Times New Roman" w:hAnsi="Times New Roman"/>
        </w:rPr>
        <w:t xml:space="preserve">Constitutional Court </w:t>
      </w:r>
      <w:r w:rsidR="00926F2B">
        <w:rPr>
          <w:rFonts w:ascii="Times New Roman" w:hAnsi="Times New Roman"/>
        </w:rPr>
        <w:t>Ruling</w:t>
      </w:r>
      <w:r>
        <w:rPr>
          <w:rFonts w:ascii="Times New Roman" w:hAnsi="Times New Roman"/>
        </w:rPr>
        <w:t xml:space="preserve"> on </w:t>
      </w:r>
      <w:r w:rsidRPr="00AC216E">
        <w:rPr>
          <w:rFonts w:ascii="Times New Roman" w:hAnsi="Times New Roman"/>
          <w:i/>
        </w:rPr>
        <w:t>hutanadat</w:t>
      </w:r>
      <w:r w:rsidR="00926F2B">
        <w:rPr>
          <w:rFonts w:ascii="Times New Roman" w:hAnsi="Times New Roman"/>
        </w:rPr>
        <w:t>,</w:t>
      </w:r>
      <w:r w:rsidR="000A2A76">
        <w:rPr>
          <w:rFonts w:ascii="Times New Roman" w:hAnsi="Times New Roman"/>
          <w:i/>
        </w:rPr>
        <w:t>m</w:t>
      </w:r>
      <w:r w:rsidR="000A2A76" w:rsidRPr="00A4038A">
        <w:rPr>
          <w:rFonts w:ascii="Times New Roman" w:hAnsi="Times New Roman"/>
          <w:i/>
        </w:rPr>
        <w:t>asyarakat</w:t>
      </w:r>
      <w:r w:rsidR="000A2A76">
        <w:rPr>
          <w:rFonts w:ascii="Times New Roman" w:hAnsi="Times New Roman"/>
          <w:i/>
        </w:rPr>
        <w:t>a</w:t>
      </w:r>
      <w:r w:rsidR="000A2A76" w:rsidRPr="00A4038A">
        <w:rPr>
          <w:rFonts w:ascii="Times New Roman" w:hAnsi="Times New Roman"/>
          <w:i/>
        </w:rPr>
        <w:t>dat</w:t>
      </w:r>
      <w:r w:rsidR="000A2A76" w:rsidRPr="00A4038A">
        <w:rPr>
          <w:rFonts w:ascii="Times New Roman" w:hAnsi="Times New Roman"/>
        </w:rPr>
        <w:t>across the Indonesian archipelago initiate</w:t>
      </w:r>
      <w:r w:rsidR="00926F2B">
        <w:rPr>
          <w:rFonts w:ascii="Times New Roman" w:hAnsi="Times New Roman"/>
        </w:rPr>
        <w:t>d</w:t>
      </w:r>
      <w:r w:rsidR="000A2A76" w:rsidRPr="00A4038A">
        <w:rPr>
          <w:rFonts w:ascii="Times New Roman" w:hAnsi="Times New Roman"/>
        </w:rPr>
        <w:t xml:space="preserve"> self-implementing actions through </w:t>
      </w:r>
      <w:r w:rsidR="000A2A76" w:rsidRPr="00A4038A">
        <w:rPr>
          <w:rFonts w:ascii="Times New Roman" w:hAnsi="Times New Roman"/>
          <w:i/>
          <w:iCs/>
        </w:rPr>
        <w:t xml:space="preserve">plangisasi, </w:t>
      </w:r>
      <w:r w:rsidR="00926F2B" w:rsidRPr="00926F2B">
        <w:rPr>
          <w:rFonts w:ascii="Times New Roman" w:hAnsi="Times New Roman"/>
          <w:iCs/>
        </w:rPr>
        <w:t>a</w:t>
      </w:r>
      <w:r w:rsidR="000A2A76" w:rsidRPr="00A4038A">
        <w:rPr>
          <w:rFonts w:ascii="Times New Roman" w:hAnsi="Times New Roman"/>
        </w:rPr>
        <w:t xml:space="preserve">colloquial term for placing a placard or banner up,in their respective indigenous territories, both in the production forest and conservation areas. For example, those installed by residents Padumaan and Sipituhuta in Humbahas Regency, North Sumatra: ‘Announcement: Traditional Forest </w:t>
      </w:r>
      <w:r w:rsidR="000A2A76">
        <w:rPr>
          <w:rFonts w:ascii="Times New Roman" w:hAnsi="Times New Roman"/>
        </w:rPr>
        <w:t xml:space="preserve">of </w:t>
      </w:r>
      <w:r w:rsidR="000A2A76" w:rsidRPr="00A4038A">
        <w:rPr>
          <w:rFonts w:ascii="Times New Roman" w:hAnsi="Times New Roman"/>
        </w:rPr>
        <w:t>Padumaan and Sipituhuta</w:t>
      </w:r>
      <w:r w:rsidR="001E31B3">
        <w:rPr>
          <w:rFonts w:ascii="Times New Roman" w:hAnsi="Times New Roman"/>
        </w:rPr>
        <w:t>is no longer u</w:t>
      </w:r>
      <w:r w:rsidR="000A2A76" w:rsidRPr="00A4038A">
        <w:rPr>
          <w:rFonts w:ascii="Times New Roman" w:hAnsi="Times New Roman"/>
        </w:rPr>
        <w:t xml:space="preserve">nder State </w:t>
      </w:r>
      <w:r w:rsidR="000A2A76" w:rsidRPr="00A4038A">
        <w:rPr>
          <w:rFonts w:ascii="Times New Roman" w:hAnsi="Times New Roman"/>
        </w:rPr>
        <w:lastRenderedPageBreak/>
        <w:t>Forest</w:t>
      </w:r>
      <w:r w:rsidR="00926F2B">
        <w:rPr>
          <w:rFonts w:ascii="Times New Roman" w:hAnsi="Times New Roman"/>
        </w:rPr>
        <w:t>!</w:t>
      </w:r>
      <w:r w:rsidR="000A2A76" w:rsidRPr="00A4038A">
        <w:rPr>
          <w:rFonts w:ascii="Times New Roman" w:hAnsi="Times New Roman"/>
        </w:rPr>
        <w:t>’</w:t>
      </w:r>
      <w:r w:rsidR="00926F2B">
        <w:rPr>
          <w:rFonts w:ascii="Times New Roman" w:hAnsi="Times New Roman"/>
        </w:rPr>
        <w:t xml:space="preserve">AMAN members also conducted participatory counter mapping in their respective customary territories which in many cases have been granted by the state as concession areas for extractive industries. The customary groups in Muara Tae, East Kalimantan, planted trees in palm oil plantation as the counter-conduct to reclaim their </w:t>
      </w:r>
      <w:r w:rsidR="00926F2B" w:rsidRPr="00926F2B">
        <w:rPr>
          <w:rFonts w:ascii="Times New Roman" w:hAnsi="Times New Roman"/>
          <w:i/>
        </w:rPr>
        <w:t>hutanadat</w:t>
      </w:r>
      <w:r>
        <w:rPr>
          <w:rFonts w:ascii="Times New Roman" w:hAnsi="Times New Roman"/>
        </w:rPr>
        <w:t xml:space="preserve"> which have been deteriorated by the plantation companies.</w:t>
      </w:r>
      <w:r w:rsidR="00926F2B">
        <w:rPr>
          <w:rFonts w:ascii="Times New Roman" w:hAnsi="Times New Roman"/>
        </w:rPr>
        <w:t xml:space="preserve"> In Pattallassang, Gowa district, South Sulawesi, the </w:t>
      </w:r>
      <w:r w:rsidR="00926F2B">
        <w:rPr>
          <w:rFonts w:ascii="Times New Roman" w:hAnsi="Times New Roman"/>
          <w:i/>
        </w:rPr>
        <w:t>masyarakatadat</w:t>
      </w:r>
      <w:r w:rsidR="00926F2B">
        <w:rPr>
          <w:rFonts w:ascii="Times New Roman" w:hAnsi="Times New Roman"/>
        </w:rPr>
        <w:t xml:space="preserve">in that village agreed </w:t>
      </w:r>
      <w:r>
        <w:rPr>
          <w:rFonts w:ascii="Times New Roman" w:hAnsi="Times New Roman"/>
        </w:rPr>
        <w:t xml:space="preserve">to require every newly-wed couple in that village to plant </w:t>
      </w:r>
      <w:r w:rsidR="0066122B">
        <w:rPr>
          <w:rFonts w:ascii="Times New Roman" w:hAnsi="Times New Roman"/>
        </w:rPr>
        <w:t xml:space="preserve">at least ten </w:t>
      </w:r>
      <w:r>
        <w:rPr>
          <w:rFonts w:ascii="Times New Roman" w:hAnsi="Times New Roman"/>
        </w:rPr>
        <w:t>trees</w:t>
      </w:r>
      <w:r w:rsidR="0066122B">
        <w:rPr>
          <w:rFonts w:ascii="Times New Roman" w:hAnsi="Times New Roman"/>
        </w:rPr>
        <w:t>, not only to preserve their customary forest and territory as critical component of their means of production, but more importantly as an attempt to promote the resurgence of customary values and institutions within their community.</w:t>
      </w:r>
    </w:p>
    <w:p w:rsidR="00A60E1E" w:rsidRPr="00A4038A" w:rsidRDefault="0066122B" w:rsidP="009D25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rPr>
      </w:pPr>
      <w:r>
        <w:rPr>
          <w:rFonts w:ascii="Times New Roman" w:hAnsi="Times New Roman"/>
        </w:rPr>
        <w:t xml:space="preserve">These examples demonstrate the struggles of the </w:t>
      </w:r>
      <w:r>
        <w:rPr>
          <w:rFonts w:ascii="Times New Roman" w:hAnsi="Times New Roman"/>
          <w:i/>
        </w:rPr>
        <w:t>masyarakatadat</w:t>
      </w:r>
      <w:r>
        <w:rPr>
          <w:rFonts w:ascii="Times New Roman" w:hAnsi="Times New Roman"/>
        </w:rPr>
        <w:t xml:space="preserve"> to transform the spirit of recognitions of their rights, restoration of their citizenship and state dete</w:t>
      </w:r>
      <w:r w:rsidR="00D22A06">
        <w:rPr>
          <w:rFonts w:ascii="Times New Roman" w:hAnsi="Times New Roman"/>
        </w:rPr>
        <w:t>r</w:t>
      </w:r>
      <w:r>
        <w:rPr>
          <w:rFonts w:ascii="Times New Roman" w:hAnsi="Times New Roman"/>
        </w:rPr>
        <w:t>ritorilization</w:t>
      </w:r>
      <w:r w:rsidR="00D22A06">
        <w:rPr>
          <w:rFonts w:ascii="Times New Roman" w:hAnsi="Times New Roman"/>
        </w:rPr>
        <w:t xml:space="preserve">, as reflected in the </w:t>
      </w:r>
      <w:r w:rsidR="00D22A06" w:rsidRPr="00A4038A">
        <w:rPr>
          <w:rFonts w:ascii="Times New Roman" w:hAnsi="Times New Roman"/>
        </w:rPr>
        <w:t xml:space="preserve">Constitutional Court </w:t>
      </w:r>
      <w:r w:rsidR="00D22A06">
        <w:rPr>
          <w:rFonts w:ascii="Times New Roman" w:hAnsi="Times New Roman"/>
        </w:rPr>
        <w:t xml:space="preserve">Ruling, into organized collective actions to reclaim their lands and territories. In light of the massive capital expansion to rural frontiers for production of global commodities, such initiatives can be interpreted as part of the attempts to cope with </w:t>
      </w:r>
      <w:r w:rsidR="00926F2B">
        <w:rPr>
          <w:rFonts w:ascii="Times New Roman" w:hAnsi="Times New Roman"/>
        </w:rPr>
        <w:t xml:space="preserve">the limits of recognition and distribution </w:t>
      </w:r>
      <w:r w:rsidR="00E21728">
        <w:rPr>
          <w:rFonts w:ascii="Times New Roman" w:hAnsi="Times New Roman"/>
        </w:rPr>
        <w:t xml:space="preserve">politics </w:t>
      </w:r>
      <w:r w:rsidR="0005698C" w:rsidRPr="0005698C">
        <w:rPr>
          <w:rFonts w:ascii="Times New Roman" w:hAnsi="Times New Roman"/>
        </w:rPr>
        <w:t>in the</w:t>
      </w:r>
      <w:r w:rsidR="00926F2B">
        <w:rPr>
          <w:rFonts w:ascii="Times New Roman" w:hAnsi="Times New Roman"/>
        </w:rPr>
        <w:t xml:space="preserve"> context of </w:t>
      </w:r>
      <w:r w:rsidR="00926F2B" w:rsidRPr="00926F2B">
        <w:rPr>
          <w:rFonts w:ascii="Times New Roman" w:hAnsi="Times New Roman"/>
          <w:i/>
        </w:rPr>
        <w:t>masyarakatadat</w:t>
      </w:r>
      <w:r w:rsidR="00926F2B">
        <w:rPr>
          <w:rFonts w:ascii="Times New Roman" w:hAnsi="Times New Roman"/>
        </w:rPr>
        <w:t xml:space="preserve"> movement against </w:t>
      </w:r>
      <w:r w:rsidR="0005698C" w:rsidRPr="0005698C">
        <w:rPr>
          <w:rFonts w:ascii="Times New Roman" w:hAnsi="Times New Roman"/>
        </w:rPr>
        <w:t>neoliberal state governance in Indonesia</w:t>
      </w:r>
      <w:r>
        <w:rPr>
          <w:rFonts w:ascii="Times New Roman" w:hAnsi="Times New Roman"/>
        </w:rPr>
        <w:t xml:space="preserve">that tended to transform a </w:t>
      </w:r>
      <w:r w:rsidR="0005698C" w:rsidRPr="0005698C">
        <w:rPr>
          <w:rFonts w:ascii="Times New Roman" w:hAnsi="Times New Roman"/>
        </w:rPr>
        <w:t>political maneuver into technical measures</w:t>
      </w:r>
      <w:r w:rsidR="00D22A06">
        <w:rPr>
          <w:rFonts w:ascii="Times New Roman" w:hAnsi="Times New Roman"/>
        </w:rPr>
        <w:t xml:space="preserve">, for instance the </w:t>
      </w:r>
      <w:r w:rsidR="00D22A06" w:rsidRPr="0005698C">
        <w:rPr>
          <w:rFonts w:ascii="Times New Roman" w:hAnsi="Times New Roman"/>
        </w:rPr>
        <w:t xml:space="preserve">procedure to define </w:t>
      </w:r>
      <w:r w:rsidR="00D22A06">
        <w:rPr>
          <w:rFonts w:ascii="Times New Roman" w:hAnsi="Times New Roman"/>
        </w:rPr>
        <w:t xml:space="preserve">the indigenous peoples </w:t>
      </w:r>
      <w:r w:rsidR="00D22A06" w:rsidRPr="0005698C">
        <w:rPr>
          <w:rFonts w:ascii="Times New Roman" w:hAnsi="Times New Roman"/>
        </w:rPr>
        <w:t xml:space="preserve">criteria </w:t>
      </w:r>
      <w:r w:rsidR="00D22A06">
        <w:rPr>
          <w:rFonts w:ascii="Times New Roman" w:hAnsi="Times New Roman"/>
        </w:rPr>
        <w:t xml:space="preserve">as the precondition </w:t>
      </w:r>
      <w:r w:rsidR="0005698C" w:rsidRPr="0005698C">
        <w:rPr>
          <w:rFonts w:ascii="Times New Roman" w:hAnsi="Times New Roman"/>
        </w:rPr>
        <w:t>of granting rights (Savitri, 2014)</w:t>
      </w:r>
      <w:r w:rsidR="00D22A06">
        <w:rPr>
          <w:rFonts w:ascii="Times New Roman" w:hAnsi="Times New Roman"/>
        </w:rPr>
        <w:t xml:space="preserve">. </w:t>
      </w:r>
      <w:r w:rsidR="00DA4CD1">
        <w:rPr>
          <w:rFonts w:ascii="Times New Roman" w:hAnsi="Times New Roman"/>
        </w:rPr>
        <w:t xml:space="preserve">In that context, the </w:t>
      </w:r>
      <w:r w:rsidR="00DA4CD1" w:rsidRPr="00DA4CD1">
        <w:rPr>
          <w:rFonts w:ascii="Times New Roman" w:hAnsi="Times New Roman"/>
        </w:rPr>
        <w:t>counter-hegemonic indigenous legal maneuvering</w:t>
      </w:r>
      <w:r w:rsidR="00DA4CD1">
        <w:rPr>
          <w:rFonts w:ascii="Times New Roman" w:hAnsi="Times New Roman"/>
        </w:rPr>
        <w:t xml:space="preserve"> should be treated more as trigger for these localized initiatives to continue the </w:t>
      </w:r>
      <w:r w:rsidR="00D22A06">
        <w:rPr>
          <w:rFonts w:ascii="Times New Roman" w:hAnsi="Times New Roman"/>
        </w:rPr>
        <w:t xml:space="preserve">resurgence </w:t>
      </w:r>
      <w:r w:rsidR="00DA4CD1">
        <w:rPr>
          <w:rFonts w:ascii="Times New Roman" w:hAnsi="Times New Roman"/>
        </w:rPr>
        <w:t xml:space="preserve">of </w:t>
      </w:r>
      <w:r w:rsidR="00DA4CD1" w:rsidRPr="00DA4CD1">
        <w:rPr>
          <w:rFonts w:ascii="Times New Roman" w:hAnsi="Times New Roman"/>
          <w:i/>
        </w:rPr>
        <w:t>masyarakatadat</w:t>
      </w:r>
      <w:r w:rsidR="00DA4CD1">
        <w:rPr>
          <w:rFonts w:ascii="Times New Roman" w:hAnsi="Times New Roman"/>
        </w:rPr>
        <w:t xml:space="preserve"> sovereignty in generating counter living practices and system of knowledge/wisdom to the capitalistic modernizing </w:t>
      </w:r>
      <w:r w:rsidR="00E21728">
        <w:rPr>
          <w:rFonts w:ascii="Times New Roman" w:hAnsi="Times New Roman"/>
        </w:rPr>
        <w:t xml:space="preserve">socio-cultural </w:t>
      </w:r>
      <w:r w:rsidR="00DA4CD1">
        <w:rPr>
          <w:rFonts w:ascii="Times New Roman" w:hAnsi="Times New Roman"/>
        </w:rPr>
        <w:t>imperatives promoted together with the massive capital impositions</w:t>
      </w:r>
      <w:r w:rsidR="009D2551">
        <w:rPr>
          <w:rFonts w:ascii="Times New Roman" w:hAnsi="Times New Roman"/>
        </w:rPr>
        <w:t>.</w:t>
      </w:r>
    </w:p>
    <w:p w:rsidR="00A60E1E" w:rsidRPr="00A4038A" w:rsidRDefault="00A60E1E" w:rsidP="004549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3F7A9A" w:rsidRPr="00A4038A" w:rsidRDefault="0010575A" w:rsidP="00C4020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rFonts w:ascii="Times New Roman" w:hAnsi="Times New Roman"/>
          <w:b/>
        </w:rPr>
      </w:pPr>
      <w:r w:rsidRPr="00A4038A">
        <w:rPr>
          <w:rFonts w:ascii="Times New Roman" w:hAnsi="Times New Roman"/>
          <w:b/>
        </w:rPr>
        <w:t>Conclusion</w:t>
      </w:r>
    </w:p>
    <w:p w:rsidR="003F7A9A" w:rsidRPr="00A4038A" w:rsidRDefault="003F7A9A" w:rsidP="003F7A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p>
    <w:p w:rsidR="00E631DC" w:rsidRDefault="0010575A" w:rsidP="001057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rPr>
      </w:pPr>
      <w:r w:rsidRPr="00A4038A">
        <w:rPr>
          <w:rFonts w:ascii="Times New Roman" w:hAnsi="Times New Roman"/>
        </w:rPr>
        <w:t xml:space="preserve">The efficacy of the counter hegemonic legal maneuvering is attested by </w:t>
      </w:r>
      <w:r w:rsidR="003F7A9A" w:rsidRPr="00A4038A">
        <w:rPr>
          <w:rFonts w:ascii="Times New Roman" w:hAnsi="Times New Roman"/>
        </w:rPr>
        <w:t xml:space="preserve">capacity to mobilize against continues dispossession of indigenous peoples at multiple scales to continue making bargaining power to pressure the state in fulfilling their rights. As demonstrated in above examples, the capacity to make strong national and international visibility is precipitated by the ongoing localized resistance by the customary groups affected by the massive expansion of capital to rural frontiers in Indonesia. At the same time the </w:t>
      </w:r>
      <w:r w:rsidR="00017AFC" w:rsidRPr="00A4038A">
        <w:rPr>
          <w:rFonts w:ascii="Times New Roman" w:hAnsi="Times New Roman"/>
        </w:rPr>
        <w:t xml:space="preserve">two </w:t>
      </w:r>
      <w:r w:rsidR="003F7A9A" w:rsidRPr="00A4038A">
        <w:rPr>
          <w:rFonts w:ascii="Times New Roman" w:hAnsi="Times New Roman"/>
        </w:rPr>
        <w:t xml:space="preserve">modes of counter-hegemonic indigenous legal maneuvering discussed in this chapter national provide stronger platform for the grassroots local struggles in pressuring the local government to recognize their customary rights, as well enrich their strategies for direct actions. </w:t>
      </w:r>
    </w:p>
    <w:p w:rsidR="003F7A9A" w:rsidRPr="00A4038A" w:rsidRDefault="00E631DC" w:rsidP="001057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ascii="Times New Roman" w:hAnsi="Times New Roman"/>
        </w:rPr>
        <w:tab/>
      </w:r>
      <w:r w:rsidR="003F7A9A" w:rsidRPr="00A4038A">
        <w:rPr>
          <w:rFonts w:ascii="Times New Roman" w:hAnsi="Times New Roman"/>
        </w:rPr>
        <w:t>The capacity of AMAN constituents to mobilize at multiple scale</w:t>
      </w:r>
      <w:r w:rsidR="000A2A76">
        <w:rPr>
          <w:rFonts w:ascii="Times New Roman" w:hAnsi="Times New Roman"/>
        </w:rPr>
        <w:t>s</w:t>
      </w:r>
      <w:r w:rsidR="003F7A9A" w:rsidRPr="00A4038A">
        <w:rPr>
          <w:rFonts w:ascii="Times New Roman" w:hAnsi="Times New Roman"/>
        </w:rPr>
        <w:t>and arena prevent the tendency of elitist legal struggle which often pacify the resistance by making the constituents of the movement being occupied with the confusions of legalistic debates by integrating juridical action into broader political mobilization</w:t>
      </w:r>
      <w:r w:rsidR="0010575A" w:rsidRPr="00A4038A">
        <w:rPr>
          <w:rFonts w:ascii="Times New Roman" w:hAnsi="Times New Roman"/>
        </w:rPr>
        <w:t xml:space="preserve">. </w:t>
      </w:r>
      <w:r w:rsidR="007514D4">
        <w:rPr>
          <w:rFonts w:ascii="Times New Roman" w:hAnsi="Times New Roman"/>
        </w:rPr>
        <w:t>T</w:t>
      </w:r>
      <w:r w:rsidR="003F7A9A" w:rsidRPr="008F39AD">
        <w:rPr>
          <w:rFonts w:ascii="Times New Roman" w:hAnsi="Times New Roman"/>
        </w:rPr>
        <w:t>h</w:t>
      </w:r>
      <w:r w:rsidR="007514D4">
        <w:rPr>
          <w:rFonts w:ascii="Times New Roman" w:hAnsi="Times New Roman"/>
        </w:rPr>
        <w:t xml:space="preserve">is </w:t>
      </w:r>
      <w:r w:rsidR="003F7A9A" w:rsidRPr="008F39AD">
        <w:rPr>
          <w:rFonts w:ascii="Times New Roman" w:hAnsi="Times New Roman"/>
        </w:rPr>
        <w:t xml:space="preserve">has had a counter-hegemonic effect against the state-izing of indigenous people rights over land, resources and territory in Indonesia, by demonstrating the horrific impacts of living legacies of colonial legal infrastructure in the post-colony. </w:t>
      </w:r>
      <w:r w:rsidR="003F7A9A" w:rsidRPr="004A155A">
        <w:rPr>
          <w:rFonts w:ascii="Times New Roman" w:hAnsi="Times New Roman"/>
        </w:rPr>
        <w:t xml:space="preserve">The efficacy of legal struggles is very much depend on the capacity to connect  with the grassroots mobilization </w:t>
      </w:r>
      <w:r w:rsidR="003F7A9A" w:rsidRPr="008F39AD">
        <w:rPr>
          <w:rFonts w:ascii="Times New Roman" w:hAnsi="Times New Roman"/>
        </w:rPr>
        <w:t>by continuously promulgating the resurgence of ind</w:t>
      </w:r>
      <w:r w:rsidR="0005698C" w:rsidRPr="008F39AD">
        <w:rPr>
          <w:rFonts w:ascii="Times New Roman" w:hAnsi="Times New Roman"/>
        </w:rPr>
        <w:t>i</w:t>
      </w:r>
      <w:r w:rsidR="003F7A9A" w:rsidRPr="008F39AD">
        <w:rPr>
          <w:rFonts w:ascii="Times New Roman" w:hAnsi="Times New Roman"/>
        </w:rPr>
        <w:t>gineity politics against the destructive impacts of corporatized state under the servitude of global capitalism, the indigenous movement constituents in</w:t>
      </w:r>
      <w:r w:rsidR="003F7A9A" w:rsidRPr="00A4038A">
        <w:rPr>
          <w:rFonts w:ascii="Times New Roman" w:hAnsi="Times New Roman"/>
        </w:rPr>
        <w:t xml:space="preserve"> Indonesia</w:t>
      </w:r>
      <w:r w:rsidR="009D2551">
        <w:rPr>
          <w:rFonts w:ascii="Times New Roman" w:hAnsi="Times New Roman"/>
        </w:rPr>
        <w:t>.</w:t>
      </w:r>
    </w:p>
    <w:p w:rsidR="003F7A9A" w:rsidRDefault="003F7A9A" w:rsidP="003F7A9A"/>
    <w:p w:rsidR="009F2217" w:rsidRPr="00435C95" w:rsidRDefault="009F2217" w:rsidP="009F2217">
      <w:pPr>
        <w:outlineLvl w:val="0"/>
        <w:rPr>
          <w:rFonts w:ascii="Times New Roman" w:hAnsi="Times New Roman"/>
        </w:rPr>
      </w:pPr>
      <w:r w:rsidRPr="00435C95">
        <w:rPr>
          <w:rFonts w:ascii="Times New Roman" w:hAnsi="Times New Roman"/>
          <w:b/>
        </w:rPr>
        <w:t>References</w:t>
      </w:r>
    </w:p>
    <w:p w:rsidR="009F2217" w:rsidRDefault="009F2217" w:rsidP="009F2217">
      <w:pPr>
        <w:ind w:left="720" w:hanging="720"/>
        <w:rPr>
          <w:rFonts w:ascii="Times New Roman" w:hAnsi="Times New Roman"/>
        </w:rPr>
      </w:pPr>
    </w:p>
    <w:p w:rsidR="00C8329A" w:rsidRPr="00833A17" w:rsidRDefault="00C8329A" w:rsidP="009F2217">
      <w:pPr>
        <w:ind w:left="720" w:hanging="720"/>
        <w:rPr>
          <w:rFonts w:ascii="Times New Roman" w:hAnsi="Times New Roman"/>
        </w:rPr>
      </w:pPr>
      <w:r w:rsidRPr="00833A17">
        <w:rPr>
          <w:rFonts w:ascii="Times New Roman" w:hAnsi="Times New Roman"/>
        </w:rPr>
        <w:t xml:space="preserve">Araghi, F., &amp;Karides, M. (2012). Land dispossession and global crisis: Introduction to the special section on land rights in the world-system. </w:t>
      </w:r>
      <w:r w:rsidRPr="00833A17">
        <w:rPr>
          <w:rFonts w:ascii="Times New Roman" w:hAnsi="Times New Roman"/>
          <w:i/>
          <w:iCs/>
        </w:rPr>
        <w:t>Journal of World-Systems Research</w:t>
      </w:r>
      <w:r w:rsidRPr="00833A17">
        <w:rPr>
          <w:rFonts w:ascii="Times New Roman" w:hAnsi="Times New Roman"/>
        </w:rPr>
        <w:t xml:space="preserve">, </w:t>
      </w:r>
      <w:r w:rsidRPr="00833A17">
        <w:rPr>
          <w:rFonts w:ascii="Times New Roman" w:hAnsi="Times New Roman"/>
          <w:i/>
          <w:iCs/>
        </w:rPr>
        <w:t>18</w:t>
      </w:r>
      <w:r w:rsidRPr="00833A17">
        <w:rPr>
          <w:rFonts w:ascii="Times New Roman" w:hAnsi="Times New Roman"/>
        </w:rPr>
        <w:t>(1), 1-5.</w:t>
      </w:r>
    </w:p>
    <w:p w:rsidR="00C8329A" w:rsidRPr="00833A17" w:rsidRDefault="00C8329A" w:rsidP="009F2217">
      <w:pPr>
        <w:ind w:left="720" w:hanging="720"/>
        <w:rPr>
          <w:rFonts w:ascii="Times New Roman" w:hAnsi="Times New Roman"/>
        </w:rPr>
      </w:pPr>
      <w:r w:rsidRPr="00833A17">
        <w:rPr>
          <w:rFonts w:ascii="Times New Roman" w:hAnsi="Times New Roman"/>
        </w:rPr>
        <w:t>Bahar, S., A.B. Kusuma, dan N. Hudawati, penyunting. 1995. RisalahSidangBadanPenyelidik Usaha-Usaha PersiapanKemerdekaan Indonesia (BPUPKI), PanitiaPersiapanKemerdekaan Indonesia (PPKI), 28 Mei 1945–22 Agustus 1945. Edisi III, cetakankedua. Jakarta: Sekretariat Negara Republik Indonesia.</w:t>
      </w:r>
    </w:p>
    <w:p w:rsidR="00D90679" w:rsidRPr="00001293" w:rsidRDefault="00D90679" w:rsidP="009F2217">
      <w:pPr>
        <w:ind w:left="720" w:hanging="720"/>
        <w:rPr>
          <w:rFonts w:ascii="Times New Roman" w:eastAsia="Times New Roman" w:hAnsi="Times New Roman"/>
        </w:rPr>
      </w:pPr>
      <w:r w:rsidRPr="00001293">
        <w:rPr>
          <w:rFonts w:ascii="Times New Roman" w:eastAsia="Times New Roman" w:hAnsi="Times New Roman"/>
        </w:rPr>
        <w:t>DepartemenKehutanandanBadanPusatStatistik, 2007, 2009</w:t>
      </w:r>
      <w:r w:rsidR="00001293">
        <w:rPr>
          <w:rFonts w:ascii="Times New Roman" w:eastAsia="Times New Roman" w:hAnsi="Times New Roman"/>
        </w:rPr>
        <w:t>…</w:t>
      </w:r>
    </w:p>
    <w:p w:rsidR="00C8329A" w:rsidRPr="00833A17" w:rsidRDefault="00C8329A" w:rsidP="009F2217">
      <w:pPr>
        <w:ind w:left="720" w:hanging="720"/>
        <w:rPr>
          <w:rFonts w:ascii="Times New Roman" w:hAnsi="Times New Roman"/>
        </w:rPr>
      </w:pPr>
      <w:r w:rsidRPr="00833A17">
        <w:rPr>
          <w:rFonts w:ascii="Times New Roman" w:hAnsi="Times New Roman"/>
        </w:rPr>
        <w:t xml:space="preserve">Down to Earth 2002.Stophuman rights violations against peasant farmers!Down to Earth No. 52, February 2002. Available at: </w:t>
      </w:r>
      <w:hyperlink r:id="rId9" w:history="1">
        <w:r w:rsidRPr="00833A17">
          <w:rPr>
            <w:rStyle w:val="Hyperlink"/>
            <w:rFonts w:ascii="Times New Roman" w:hAnsi="Times New Roman"/>
            <w:color w:val="auto"/>
          </w:rPr>
          <w:t>http://www.downtoearth-indonesia.org/story/stop-human-rights-violations-against-peasant-farmers</w:t>
        </w:r>
      </w:hyperlink>
      <w:r w:rsidRPr="00833A17">
        <w:rPr>
          <w:rFonts w:ascii="Times New Roman" w:hAnsi="Times New Roman"/>
        </w:rPr>
        <w:t xml:space="preserve">. </w:t>
      </w:r>
    </w:p>
    <w:p w:rsidR="00C8329A" w:rsidRPr="00833A17" w:rsidRDefault="00C8329A" w:rsidP="009F2217">
      <w:pPr>
        <w:ind w:left="720" w:hanging="720"/>
        <w:rPr>
          <w:rFonts w:ascii="Times New Roman" w:hAnsi="Times New Roman"/>
        </w:rPr>
      </w:pPr>
      <w:r w:rsidRPr="00833A17">
        <w:rPr>
          <w:rFonts w:ascii="Times New Roman" w:hAnsi="Times New Roman"/>
        </w:rPr>
        <w:t xml:space="preserve">Gellert, P. K. (2010). ‘Extractive regimes: toward a better understanding of Indonesian development.’ </w:t>
      </w:r>
      <w:r w:rsidRPr="00833A17">
        <w:rPr>
          <w:rFonts w:ascii="Times New Roman" w:hAnsi="Times New Roman"/>
          <w:i/>
        </w:rPr>
        <w:t>Rural Sociology</w:t>
      </w:r>
      <w:r w:rsidRPr="00833A17">
        <w:rPr>
          <w:rFonts w:ascii="Times New Roman" w:hAnsi="Times New Roman"/>
        </w:rPr>
        <w:t xml:space="preserve"> 75. (1): 28</w:t>
      </w:r>
      <w:r w:rsidRPr="00833A17">
        <w:rPr>
          <w:rFonts w:ascii="Cambria Math" w:hAnsi="Cambria Math" w:cs="Cambria Math"/>
        </w:rPr>
        <w:t>‐</w:t>
      </w:r>
      <w:r w:rsidRPr="00833A17">
        <w:rPr>
          <w:rFonts w:ascii="Times New Roman" w:hAnsi="Times New Roman"/>
        </w:rPr>
        <w:t>57.</w:t>
      </w:r>
    </w:p>
    <w:p w:rsidR="00C8329A" w:rsidRPr="00833A17" w:rsidRDefault="00C8329A" w:rsidP="009F2217">
      <w:pPr>
        <w:rPr>
          <w:rFonts w:ascii="Times New Roman" w:eastAsia="Arial Unicode MS" w:hAnsi="Times New Roman"/>
        </w:rPr>
      </w:pPr>
      <w:r w:rsidRPr="00833A17">
        <w:rPr>
          <w:rFonts w:ascii="Times New Roman" w:eastAsia="Arial Unicode MS" w:hAnsi="Times New Roman"/>
        </w:rPr>
        <w:t xml:space="preserve">Harvey, D. (2003). </w:t>
      </w:r>
      <w:r w:rsidRPr="00833A17">
        <w:rPr>
          <w:rFonts w:ascii="Times New Roman" w:eastAsia="Arial Unicode MS" w:hAnsi="Times New Roman"/>
          <w:i/>
        </w:rPr>
        <w:t>The new imperialism</w:t>
      </w:r>
      <w:r w:rsidRPr="00833A17">
        <w:rPr>
          <w:rFonts w:ascii="Times New Roman" w:eastAsia="Arial Unicode MS" w:hAnsi="Times New Roman"/>
        </w:rPr>
        <w:t>. Oxford: Oxford University Press.</w:t>
      </w:r>
    </w:p>
    <w:p w:rsidR="00C8329A" w:rsidRPr="00833A17" w:rsidRDefault="00C8329A" w:rsidP="009F2217">
      <w:pPr>
        <w:ind w:left="720" w:hanging="720"/>
        <w:rPr>
          <w:rFonts w:ascii="Times New Roman" w:hAnsi="Times New Roman"/>
        </w:rPr>
      </w:pPr>
      <w:r w:rsidRPr="00833A17">
        <w:rPr>
          <w:rFonts w:ascii="Times New Roman" w:hAnsi="Times New Roman"/>
        </w:rPr>
        <w:t>Laujeng, H. (2010). ‘</w:t>
      </w:r>
      <w:r w:rsidRPr="00833A17">
        <w:rPr>
          <w:rFonts w:ascii="Times New Roman" w:hAnsi="Times New Roman"/>
          <w:i/>
        </w:rPr>
        <w:t>HukumKolonial di Negara Merdeka</w:t>
      </w:r>
      <w:r w:rsidRPr="00833A17">
        <w:rPr>
          <w:rFonts w:ascii="Times New Roman" w:hAnsi="Times New Roman"/>
        </w:rPr>
        <w:t xml:space="preserve"> (Colonial Law in Independent Country)’. Naskahbelumditerbitkan.</w:t>
      </w:r>
    </w:p>
    <w:p w:rsidR="00C8329A" w:rsidRPr="00833A17" w:rsidRDefault="00C8329A" w:rsidP="009F2217">
      <w:pPr>
        <w:ind w:left="720" w:hanging="720"/>
        <w:rPr>
          <w:rFonts w:ascii="Times New Roman" w:hAnsi="Times New Roman"/>
        </w:rPr>
      </w:pPr>
      <w:r w:rsidRPr="00833A17">
        <w:rPr>
          <w:rFonts w:ascii="Times New Roman" w:hAnsi="Times New Roman"/>
        </w:rPr>
        <w:t xml:space="preserve">Moniaga, S. (2007). ‘From BumiPutera to MasyarakatAdat: a long and confusing journey”, in Davidson, J. and Henley, D. (eds.) </w:t>
      </w:r>
      <w:r w:rsidRPr="00833A17">
        <w:rPr>
          <w:rFonts w:ascii="Times New Roman" w:hAnsi="Times New Roman"/>
          <w:i/>
        </w:rPr>
        <w:t>The Revival of Tradition in Indonesian Politics:The Deployment of Adat from Colonialism to Indigenism</w:t>
      </w:r>
      <w:r w:rsidRPr="00833A17">
        <w:rPr>
          <w:rFonts w:ascii="Times New Roman" w:hAnsi="Times New Roman"/>
        </w:rPr>
        <w:t>. Oxford and New York: Routledge, pp. 275−294.</w:t>
      </w:r>
    </w:p>
    <w:p w:rsidR="00C8329A" w:rsidRPr="00833A17" w:rsidRDefault="00C8329A" w:rsidP="009F2217">
      <w:pPr>
        <w:ind w:left="720" w:hanging="720"/>
        <w:rPr>
          <w:rFonts w:ascii="Times New Roman" w:hAnsi="Times New Roman"/>
        </w:rPr>
      </w:pPr>
      <w:r w:rsidRPr="00833A17">
        <w:rPr>
          <w:rFonts w:ascii="Times New Roman" w:hAnsi="Times New Roman"/>
        </w:rPr>
        <w:t xml:space="preserve">Muttaqien, A., Ahmad, N., &amp;Wagiman, W. (2012). </w:t>
      </w:r>
      <w:r w:rsidRPr="00833A17">
        <w:rPr>
          <w:rFonts w:ascii="Times New Roman" w:hAnsi="Times New Roman"/>
          <w:i/>
        </w:rPr>
        <w:t>Undang-Undangperkebunan: Wajahbaru</w:t>
      </w:r>
      <w:r w:rsidRPr="00833A17">
        <w:rPr>
          <w:rFonts w:ascii="Times New Roman" w:hAnsi="Times New Roman"/>
        </w:rPr>
        <w:t xml:space="preserve">Agrarische Wet(Plantation Law: New face of </w:t>
      </w:r>
      <w:r w:rsidRPr="00833A17">
        <w:rPr>
          <w:rFonts w:ascii="Times New Roman" w:hAnsi="Times New Roman"/>
          <w:i/>
        </w:rPr>
        <w:t>Agrarische Wet</w:t>
      </w:r>
      <w:r w:rsidRPr="00833A17">
        <w:rPr>
          <w:rFonts w:ascii="Times New Roman" w:hAnsi="Times New Roman"/>
        </w:rPr>
        <w:t>). Jakarta: Elsam.</w:t>
      </w:r>
    </w:p>
    <w:p w:rsidR="00E21728" w:rsidRPr="005722ED" w:rsidRDefault="00E21728" w:rsidP="009F2217">
      <w:pPr>
        <w:ind w:left="720" w:hanging="720"/>
        <w:rPr>
          <w:rFonts w:ascii="Times New Roman" w:hAnsi="Times New Roman"/>
        </w:rPr>
      </w:pPr>
      <w:r w:rsidRPr="005722ED">
        <w:rPr>
          <w:rFonts w:ascii="Times New Roman" w:hAnsi="Times New Roman"/>
        </w:rPr>
        <w:t>Peluso, Afiff, Rachman 2008</w:t>
      </w:r>
    </w:p>
    <w:p w:rsidR="00C8329A" w:rsidRPr="00833A17" w:rsidRDefault="00C8329A" w:rsidP="009F2217">
      <w:pPr>
        <w:ind w:left="720" w:hanging="720"/>
        <w:rPr>
          <w:rFonts w:ascii="Times New Roman" w:hAnsi="Times New Roman"/>
        </w:rPr>
      </w:pPr>
      <w:r w:rsidRPr="00833A17">
        <w:rPr>
          <w:rFonts w:ascii="Times New Roman" w:hAnsi="Times New Roman"/>
        </w:rPr>
        <w:t xml:space="preserve">Peluso, N. L, and Vandergeest, P. (2001). ‘Genealogies of the political forest and customary rights in Indonesia, Malaysia, and Thailand’. </w:t>
      </w:r>
      <w:r w:rsidRPr="00833A17">
        <w:rPr>
          <w:rFonts w:ascii="Times New Roman" w:hAnsi="Times New Roman"/>
          <w:i/>
        </w:rPr>
        <w:t>Journal of Asian Studies</w:t>
      </w:r>
      <w:r w:rsidRPr="00833A17">
        <w:rPr>
          <w:rFonts w:ascii="Times New Roman" w:hAnsi="Times New Roman"/>
        </w:rPr>
        <w:t>, 60, (2001) 761–812.</w:t>
      </w:r>
    </w:p>
    <w:p w:rsidR="00C8329A" w:rsidRPr="00833A17" w:rsidRDefault="00C8329A" w:rsidP="009F2217">
      <w:pPr>
        <w:ind w:left="720" w:hanging="720"/>
        <w:rPr>
          <w:rFonts w:ascii="Times New Roman" w:hAnsi="Times New Roman"/>
        </w:rPr>
      </w:pPr>
      <w:r w:rsidRPr="00833A17">
        <w:rPr>
          <w:rFonts w:ascii="Times New Roman" w:hAnsi="Times New Roman"/>
        </w:rPr>
        <w:t xml:space="preserve">Peluso, N. L. (1992). </w:t>
      </w:r>
      <w:r w:rsidRPr="00833A17">
        <w:rPr>
          <w:rFonts w:ascii="Times New Roman" w:hAnsi="Times New Roman"/>
          <w:i/>
        </w:rPr>
        <w:t>Rich Forests, Poor People: Resource Control and Resistance in Java</w:t>
      </w:r>
      <w:r w:rsidRPr="00833A17">
        <w:rPr>
          <w:rFonts w:ascii="Times New Roman" w:hAnsi="Times New Roman"/>
        </w:rPr>
        <w:t>. Berkeley, CA: University of California Press.</w:t>
      </w:r>
    </w:p>
    <w:p w:rsidR="00C8329A" w:rsidRPr="00833A17" w:rsidRDefault="00C8329A" w:rsidP="009F2217">
      <w:pPr>
        <w:ind w:left="720" w:hanging="720"/>
        <w:rPr>
          <w:rFonts w:ascii="Times New Roman" w:eastAsiaTheme="minorHAnsi" w:hAnsi="Times New Roman"/>
        </w:rPr>
      </w:pPr>
      <w:r w:rsidRPr="00833A17">
        <w:rPr>
          <w:rFonts w:ascii="Times New Roman" w:eastAsia="Arial Unicode MS" w:hAnsi="Times New Roman"/>
        </w:rPr>
        <w:t xml:space="preserve">Quijano, A. (2000). Coloniality of Power, Eurocentrism, and Latin America. </w:t>
      </w:r>
      <w:r w:rsidRPr="00833A17">
        <w:rPr>
          <w:rFonts w:ascii="Times New Roman" w:eastAsia="Arial Unicode MS" w:hAnsi="Times New Roman"/>
          <w:i/>
        </w:rPr>
        <w:t>Nepantla: Views from South</w:t>
      </w:r>
      <w:r w:rsidRPr="00833A17">
        <w:rPr>
          <w:rFonts w:ascii="Times New Roman" w:eastAsia="Arial Unicode MS" w:hAnsi="Times New Roman"/>
        </w:rPr>
        <w:t>, 1, 3, 533-580.</w:t>
      </w:r>
    </w:p>
    <w:p w:rsidR="00C8329A" w:rsidRPr="00833A17" w:rsidRDefault="00C8329A" w:rsidP="009F2217">
      <w:pPr>
        <w:ind w:left="720" w:hanging="720"/>
        <w:rPr>
          <w:rFonts w:ascii="Times New Roman" w:hAnsi="Times New Roman"/>
        </w:rPr>
      </w:pPr>
      <w:r w:rsidRPr="00833A17">
        <w:rPr>
          <w:rFonts w:ascii="Times New Roman" w:hAnsi="Times New Roman"/>
        </w:rPr>
        <w:t xml:space="preserve">Rachman, N. F. (2011). </w:t>
      </w:r>
      <w:r w:rsidRPr="00833A17">
        <w:rPr>
          <w:rFonts w:ascii="Times New Roman" w:hAnsi="Times New Roman"/>
          <w:i/>
        </w:rPr>
        <w:t>The Resurgence of Land Reform Policy and Agrarian Movements in Indonesia</w:t>
      </w:r>
      <w:r w:rsidRPr="00833A17">
        <w:rPr>
          <w:rFonts w:ascii="Times New Roman" w:hAnsi="Times New Roman"/>
        </w:rPr>
        <w:t>. Berkeley: University of California.</w:t>
      </w:r>
    </w:p>
    <w:p w:rsidR="00C8329A" w:rsidRPr="00833A17" w:rsidRDefault="00C8329A" w:rsidP="009F2217">
      <w:pPr>
        <w:ind w:left="720" w:hanging="720"/>
        <w:rPr>
          <w:rFonts w:ascii="Times New Roman" w:eastAsia="Arial Unicode MS" w:hAnsi="Times New Roman"/>
        </w:rPr>
      </w:pPr>
      <w:r w:rsidRPr="00833A17">
        <w:rPr>
          <w:rFonts w:ascii="Times New Roman" w:hAnsi="Times New Roman"/>
        </w:rPr>
        <w:t xml:space="preserve">Rajagopal, B. (2003). </w:t>
      </w:r>
      <w:r w:rsidRPr="00833A17">
        <w:rPr>
          <w:rFonts w:ascii="Times New Roman" w:hAnsi="Times New Roman"/>
          <w:i/>
          <w:iCs/>
        </w:rPr>
        <w:t>International law from below: Development, social movements and third world resistance</w:t>
      </w:r>
      <w:r w:rsidRPr="00833A17">
        <w:rPr>
          <w:rFonts w:ascii="Times New Roman" w:hAnsi="Times New Roman"/>
        </w:rPr>
        <w:t>. Cambridge: Cambridge University Press.</w:t>
      </w:r>
    </w:p>
    <w:p w:rsidR="00C8329A" w:rsidRPr="00833A17" w:rsidRDefault="00C8329A" w:rsidP="009F2217">
      <w:pPr>
        <w:ind w:left="720" w:hanging="720"/>
        <w:rPr>
          <w:rFonts w:ascii="Times New Roman" w:hAnsi="Times New Roman"/>
        </w:rPr>
      </w:pPr>
      <w:r w:rsidRPr="00833A17">
        <w:rPr>
          <w:rFonts w:ascii="Times New Roman" w:eastAsia="Arial Unicode MS" w:hAnsi="Times New Roman"/>
        </w:rPr>
        <w:t xml:space="preserve">Robison, R., &amp;Hadiz, V. R. (2004). </w:t>
      </w:r>
      <w:r w:rsidRPr="00833A17">
        <w:rPr>
          <w:rFonts w:ascii="Times New Roman" w:eastAsia="Arial Unicode MS" w:hAnsi="Times New Roman"/>
          <w:i/>
        </w:rPr>
        <w:t>Reorganising power in Indonesia: The politics of oligarchy in an age of markets</w:t>
      </w:r>
      <w:r w:rsidRPr="00833A17">
        <w:rPr>
          <w:rFonts w:ascii="Times New Roman" w:eastAsia="Arial Unicode MS" w:hAnsi="Times New Roman"/>
        </w:rPr>
        <w:t>. London: RoutledgeCurzon.</w:t>
      </w:r>
    </w:p>
    <w:p w:rsidR="00C8329A" w:rsidRPr="00833A17" w:rsidRDefault="00C8329A" w:rsidP="009F2217">
      <w:pPr>
        <w:ind w:left="720" w:hanging="720"/>
        <w:rPr>
          <w:rFonts w:ascii="Times New Roman" w:hAnsi="Times New Roman"/>
        </w:rPr>
      </w:pPr>
      <w:r w:rsidRPr="00833A17">
        <w:rPr>
          <w:rFonts w:ascii="Times New Roman" w:hAnsi="Times New Roman"/>
        </w:rPr>
        <w:t>Ruwiastuti, M. R. (2000). ‘”SesatPikir” PolitikHukumAgraria, Membongkar Alas Penguasaan Negara atasHak</w:t>
      </w:r>
      <w:r w:rsidRPr="00833A17">
        <w:rPr>
          <w:rFonts w:ascii="Cambria Math" w:hAnsi="Cambria Math" w:cs="Cambria Math"/>
        </w:rPr>
        <w:t>‐</w:t>
      </w:r>
      <w:r w:rsidRPr="00833A17">
        <w:rPr>
          <w:rFonts w:ascii="Times New Roman" w:hAnsi="Times New Roman"/>
        </w:rPr>
        <w:t>hakAdat’.NoerFauzi (Peny.). Yogyakarta: Insist Press, KPA danPustakaPelajar</w:t>
      </w:r>
    </w:p>
    <w:p w:rsidR="00C8329A" w:rsidRDefault="00C8329A" w:rsidP="009F2217">
      <w:pPr>
        <w:ind w:left="720" w:hanging="720"/>
        <w:rPr>
          <w:rFonts w:ascii="Times New Roman" w:hAnsi="Times New Roman"/>
        </w:rPr>
      </w:pPr>
      <w:r w:rsidRPr="00833A17">
        <w:rPr>
          <w:rFonts w:ascii="Times New Roman" w:hAnsi="Times New Roman"/>
        </w:rPr>
        <w:t xml:space="preserve">Stavenhagen, R. (1965). Classes, colonialism, and acculturation. </w:t>
      </w:r>
      <w:r w:rsidRPr="00833A17">
        <w:rPr>
          <w:rFonts w:ascii="Times New Roman" w:hAnsi="Times New Roman"/>
          <w:i/>
          <w:iCs/>
        </w:rPr>
        <w:t>Studies in Comparative International Development (SCID)</w:t>
      </w:r>
      <w:r w:rsidRPr="00833A17">
        <w:rPr>
          <w:rFonts w:ascii="Times New Roman" w:hAnsi="Times New Roman"/>
        </w:rPr>
        <w:t xml:space="preserve">, </w:t>
      </w:r>
      <w:r w:rsidRPr="00833A17">
        <w:rPr>
          <w:rFonts w:ascii="Times New Roman" w:hAnsi="Times New Roman"/>
          <w:i/>
          <w:iCs/>
        </w:rPr>
        <w:t>1</w:t>
      </w:r>
      <w:r w:rsidRPr="00833A17">
        <w:rPr>
          <w:rFonts w:ascii="Times New Roman" w:hAnsi="Times New Roman"/>
        </w:rPr>
        <w:t>(6), 53-77.</w:t>
      </w:r>
    </w:p>
    <w:p w:rsidR="009F2217" w:rsidRPr="00001293" w:rsidRDefault="00C8329A" w:rsidP="00001293">
      <w:pPr>
        <w:ind w:left="720" w:hanging="720"/>
        <w:rPr>
          <w:rFonts w:ascii="Times New Roman" w:hAnsi="Times New Roman"/>
        </w:rPr>
      </w:pPr>
      <w:r w:rsidRPr="00833A17">
        <w:rPr>
          <w:rFonts w:ascii="Times New Roman" w:hAnsi="Times New Roman"/>
        </w:rPr>
        <w:t xml:space="preserve">Topatimasang, R. (2004). </w:t>
      </w:r>
      <w:r w:rsidRPr="00833A17">
        <w:rPr>
          <w:rFonts w:ascii="Times New Roman" w:hAnsi="Times New Roman"/>
          <w:i/>
          <w:iCs/>
        </w:rPr>
        <w:t>Orang-orang kalah: KisahpenyingkiranmasyarakatadatKepulauan Maluku</w:t>
      </w:r>
      <w:r w:rsidRPr="00833A17">
        <w:rPr>
          <w:rFonts w:ascii="Times New Roman" w:hAnsi="Times New Roman"/>
        </w:rPr>
        <w:t>. Yogyakarta, Indonesia: Insist Press.</w:t>
      </w:r>
    </w:p>
    <w:sectPr w:rsidR="009F2217" w:rsidRPr="00001293" w:rsidSect="006120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09B" w:rsidRDefault="000C609B" w:rsidP="00105024">
      <w:r>
        <w:separator/>
      </w:r>
    </w:p>
  </w:endnote>
  <w:endnote w:type="continuationSeparator" w:id="0">
    <w:p w:rsidR="000C609B" w:rsidRDefault="000C609B" w:rsidP="00105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20002A87" w:usb1="80000000" w:usb2="00000008"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09B" w:rsidRDefault="000C609B" w:rsidP="00105024">
      <w:r>
        <w:separator/>
      </w:r>
    </w:p>
  </w:footnote>
  <w:footnote w:type="continuationSeparator" w:id="0">
    <w:p w:rsidR="000C609B" w:rsidRDefault="000C609B" w:rsidP="00105024">
      <w:r>
        <w:continuationSeparator/>
      </w:r>
    </w:p>
  </w:footnote>
  <w:footnote w:id="1">
    <w:p w:rsidR="008E195F" w:rsidRPr="0049566B" w:rsidRDefault="008E195F" w:rsidP="00105024">
      <w:pPr>
        <w:pStyle w:val="NormalWeb"/>
        <w:spacing w:before="0" w:beforeAutospacing="0" w:after="0" w:afterAutospacing="0"/>
        <w:rPr>
          <w:rFonts w:ascii="Times New Roman" w:hAnsi="Times New Roman"/>
          <w:sz w:val="24"/>
          <w:szCs w:val="24"/>
        </w:rPr>
      </w:pPr>
      <w:r>
        <w:rPr>
          <w:rStyle w:val="FootnoteReference"/>
        </w:rPr>
        <w:footnoteRef/>
      </w:r>
      <w:r w:rsidRPr="0049566B">
        <w:rPr>
          <w:rFonts w:ascii="Times New Roman" w:hAnsi="Times New Roman"/>
          <w:shd w:val="clear" w:color="auto" w:fill="FFFFFF"/>
        </w:rPr>
        <w:t xml:space="preserve">In a speech before the </w:t>
      </w:r>
      <w:r w:rsidRPr="0049566B">
        <w:rPr>
          <w:rFonts w:ascii="Times New Roman" w:hAnsi="Times New Roman"/>
          <w:iCs/>
        </w:rPr>
        <w:t>Asia Pacific Economic Cooperation (</w:t>
      </w:r>
      <w:r w:rsidRPr="0049566B">
        <w:rPr>
          <w:rFonts w:ascii="Times New Roman" w:hAnsi="Times New Roman"/>
        </w:rPr>
        <w:t xml:space="preserve">APEC) </w:t>
      </w:r>
      <w:r w:rsidRPr="0049566B">
        <w:rPr>
          <w:rFonts w:ascii="Times New Roman" w:hAnsi="Times New Roman"/>
          <w:iCs/>
        </w:rPr>
        <w:t xml:space="preserve">Summit 2013 </w:t>
      </w:r>
      <w:r w:rsidRPr="0049566B">
        <w:rPr>
          <w:rFonts w:ascii="Times New Roman" w:hAnsi="Times New Roman"/>
          <w:shd w:val="clear" w:color="auto" w:fill="FFFFFF"/>
        </w:rPr>
        <w:t>at the Bali International Convention Center, on October 6, 2013, President of Indonesia (2004-2014), SusiloBambangYudhoyono, referenced himself as “the chief salesperson of Indonesia Inc,”</w:t>
      </w:r>
      <w:r>
        <w:rPr>
          <w:rFonts w:ascii="Times New Roman" w:hAnsi="Times New Roman"/>
          <w:shd w:val="clear" w:color="auto" w:fill="FFFFFF"/>
        </w:rPr>
        <w:t>.</w:t>
      </w:r>
      <w:hyperlink r:id="rId1" w:history="1">
        <w:r w:rsidRPr="00A36477">
          <w:rPr>
            <w:rStyle w:val="Hyperlink"/>
            <w:rFonts w:ascii="Times New Roman" w:hAnsi="Times New Roman"/>
            <w:color w:val="auto"/>
            <w:u w:val="none"/>
          </w:rPr>
          <w:t>http://www.kemlu.go.id/Lists/SpeechesAndTranscription/DispForm.aspx?ID=807&amp;ContentTypeId=0x01003EA9EEAD2C809F49A8A9E2B6786925C3</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D921E0"/>
    <w:multiLevelType w:val="hybridMultilevel"/>
    <w:tmpl w:val="AB8833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F1A1060"/>
    <w:multiLevelType w:val="hybridMultilevel"/>
    <w:tmpl w:val="D47C30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05024"/>
    <w:rsid w:val="00001293"/>
    <w:rsid w:val="00017AFC"/>
    <w:rsid w:val="000403AB"/>
    <w:rsid w:val="00053947"/>
    <w:rsid w:val="0005698C"/>
    <w:rsid w:val="00084173"/>
    <w:rsid w:val="000A2A76"/>
    <w:rsid w:val="000A3D2E"/>
    <w:rsid w:val="000C13BD"/>
    <w:rsid w:val="000C609B"/>
    <w:rsid w:val="000D41DD"/>
    <w:rsid w:val="000E0B45"/>
    <w:rsid w:val="000E1A7D"/>
    <w:rsid w:val="000F009C"/>
    <w:rsid w:val="000F50E7"/>
    <w:rsid w:val="000F6D03"/>
    <w:rsid w:val="00103DA2"/>
    <w:rsid w:val="00105024"/>
    <w:rsid w:val="0010575A"/>
    <w:rsid w:val="00126852"/>
    <w:rsid w:val="00175448"/>
    <w:rsid w:val="001C06B0"/>
    <w:rsid w:val="001E31B3"/>
    <w:rsid w:val="00240369"/>
    <w:rsid w:val="00243F4C"/>
    <w:rsid w:val="0026343F"/>
    <w:rsid w:val="002635A7"/>
    <w:rsid w:val="00266F56"/>
    <w:rsid w:val="002826CD"/>
    <w:rsid w:val="00287B11"/>
    <w:rsid w:val="002C1D71"/>
    <w:rsid w:val="002C4F04"/>
    <w:rsid w:val="002C7039"/>
    <w:rsid w:val="002D6EE5"/>
    <w:rsid w:val="002E698A"/>
    <w:rsid w:val="0030422B"/>
    <w:rsid w:val="00306745"/>
    <w:rsid w:val="003475AD"/>
    <w:rsid w:val="0035005D"/>
    <w:rsid w:val="00362369"/>
    <w:rsid w:val="003A6BB9"/>
    <w:rsid w:val="003B03C7"/>
    <w:rsid w:val="003D0519"/>
    <w:rsid w:val="003F25DD"/>
    <w:rsid w:val="003F7A9A"/>
    <w:rsid w:val="00406F78"/>
    <w:rsid w:val="004078C6"/>
    <w:rsid w:val="0042239B"/>
    <w:rsid w:val="00430132"/>
    <w:rsid w:val="00433AE5"/>
    <w:rsid w:val="00452E90"/>
    <w:rsid w:val="00454948"/>
    <w:rsid w:val="004576DC"/>
    <w:rsid w:val="004A155A"/>
    <w:rsid w:val="004A2EBD"/>
    <w:rsid w:val="004B726A"/>
    <w:rsid w:val="004C0F62"/>
    <w:rsid w:val="004C39B3"/>
    <w:rsid w:val="004C50F1"/>
    <w:rsid w:val="004E6965"/>
    <w:rsid w:val="00504B1F"/>
    <w:rsid w:val="00505EBC"/>
    <w:rsid w:val="0053009E"/>
    <w:rsid w:val="00546013"/>
    <w:rsid w:val="005569C0"/>
    <w:rsid w:val="005722ED"/>
    <w:rsid w:val="005930BD"/>
    <w:rsid w:val="005B41C7"/>
    <w:rsid w:val="00601875"/>
    <w:rsid w:val="00610A99"/>
    <w:rsid w:val="00612059"/>
    <w:rsid w:val="00621961"/>
    <w:rsid w:val="00623507"/>
    <w:rsid w:val="00624DD4"/>
    <w:rsid w:val="00627402"/>
    <w:rsid w:val="006329B3"/>
    <w:rsid w:val="006526E7"/>
    <w:rsid w:val="00652AED"/>
    <w:rsid w:val="00656338"/>
    <w:rsid w:val="006577BB"/>
    <w:rsid w:val="0066122B"/>
    <w:rsid w:val="00666FC2"/>
    <w:rsid w:val="00667F8D"/>
    <w:rsid w:val="006929FF"/>
    <w:rsid w:val="006B719B"/>
    <w:rsid w:val="006C12A6"/>
    <w:rsid w:val="006C3313"/>
    <w:rsid w:val="006D15C4"/>
    <w:rsid w:val="006F0A47"/>
    <w:rsid w:val="006F3625"/>
    <w:rsid w:val="007216F1"/>
    <w:rsid w:val="00745542"/>
    <w:rsid w:val="007514D4"/>
    <w:rsid w:val="00762807"/>
    <w:rsid w:val="007664EB"/>
    <w:rsid w:val="007B3486"/>
    <w:rsid w:val="007D2118"/>
    <w:rsid w:val="007F1130"/>
    <w:rsid w:val="007F3F06"/>
    <w:rsid w:val="00803CBD"/>
    <w:rsid w:val="008108D9"/>
    <w:rsid w:val="0081535D"/>
    <w:rsid w:val="00883EE2"/>
    <w:rsid w:val="0089121C"/>
    <w:rsid w:val="008B2F0C"/>
    <w:rsid w:val="008B4A27"/>
    <w:rsid w:val="008C60A6"/>
    <w:rsid w:val="008D6A8C"/>
    <w:rsid w:val="008E195F"/>
    <w:rsid w:val="008E2284"/>
    <w:rsid w:val="008E34F2"/>
    <w:rsid w:val="008F39AD"/>
    <w:rsid w:val="00906B57"/>
    <w:rsid w:val="00921672"/>
    <w:rsid w:val="00922BA8"/>
    <w:rsid w:val="00926F2B"/>
    <w:rsid w:val="009339FC"/>
    <w:rsid w:val="0094242F"/>
    <w:rsid w:val="00946FE1"/>
    <w:rsid w:val="00960CA6"/>
    <w:rsid w:val="00962C96"/>
    <w:rsid w:val="00986245"/>
    <w:rsid w:val="009A1831"/>
    <w:rsid w:val="009C6CD3"/>
    <w:rsid w:val="009D2551"/>
    <w:rsid w:val="009F2217"/>
    <w:rsid w:val="00A13551"/>
    <w:rsid w:val="00A212FF"/>
    <w:rsid w:val="00A4038A"/>
    <w:rsid w:val="00A432FD"/>
    <w:rsid w:val="00A469F0"/>
    <w:rsid w:val="00A60E1E"/>
    <w:rsid w:val="00A734A4"/>
    <w:rsid w:val="00A965F5"/>
    <w:rsid w:val="00A97BDF"/>
    <w:rsid w:val="00AA36CC"/>
    <w:rsid w:val="00AB61C8"/>
    <w:rsid w:val="00AC216E"/>
    <w:rsid w:val="00AE778E"/>
    <w:rsid w:val="00AF6533"/>
    <w:rsid w:val="00B0730A"/>
    <w:rsid w:val="00B26DA8"/>
    <w:rsid w:val="00B44FFA"/>
    <w:rsid w:val="00B76CEF"/>
    <w:rsid w:val="00BB3008"/>
    <w:rsid w:val="00BE2425"/>
    <w:rsid w:val="00C03AB4"/>
    <w:rsid w:val="00C149CD"/>
    <w:rsid w:val="00C171B1"/>
    <w:rsid w:val="00C33FED"/>
    <w:rsid w:val="00C35350"/>
    <w:rsid w:val="00C40203"/>
    <w:rsid w:val="00C4100C"/>
    <w:rsid w:val="00C54EAB"/>
    <w:rsid w:val="00C5532E"/>
    <w:rsid w:val="00C557E0"/>
    <w:rsid w:val="00C612D1"/>
    <w:rsid w:val="00C6671D"/>
    <w:rsid w:val="00C73090"/>
    <w:rsid w:val="00C8329A"/>
    <w:rsid w:val="00CA491C"/>
    <w:rsid w:val="00CA53CD"/>
    <w:rsid w:val="00CD4D74"/>
    <w:rsid w:val="00CE236D"/>
    <w:rsid w:val="00CE3E6F"/>
    <w:rsid w:val="00CF2F35"/>
    <w:rsid w:val="00CF7C9D"/>
    <w:rsid w:val="00D22A06"/>
    <w:rsid w:val="00D344A6"/>
    <w:rsid w:val="00D36243"/>
    <w:rsid w:val="00D40DA9"/>
    <w:rsid w:val="00D617CC"/>
    <w:rsid w:val="00D82E89"/>
    <w:rsid w:val="00D90424"/>
    <w:rsid w:val="00D90679"/>
    <w:rsid w:val="00D9555A"/>
    <w:rsid w:val="00DA4CD1"/>
    <w:rsid w:val="00DF3EF9"/>
    <w:rsid w:val="00E03C67"/>
    <w:rsid w:val="00E13842"/>
    <w:rsid w:val="00E21728"/>
    <w:rsid w:val="00E26D01"/>
    <w:rsid w:val="00E339F0"/>
    <w:rsid w:val="00E4559F"/>
    <w:rsid w:val="00E6120D"/>
    <w:rsid w:val="00E631DC"/>
    <w:rsid w:val="00E70009"/>
    <w:rsid w:val="00E8783A"/>
    <w:rsid w:val="00EB5123"/>
    <w:rsid w:val="00EC3FDC"/>
    <w:rsid w:val="00EE043D"/>
    <w:rsid w:val="00F01F9F"/>
    <w:rsid w:val="00F02DD8"/>
    <w:rsid w:val="00F069B6"/>
    <w:rsid w:val="00F27B7A"/>
    <w:rsid w:val="00F37D51"/>
    <w:rsid w:val="00F67839"/>
    <w:rsid w:val="00F6791A"/>
    <w:rsid w:val="00F73312"/>
    <w:rsid w:val="00F9389D"/>
    <w:rsid w:val="00FB71DE"/>
    <w:rsid w:val="00FD096A"/>
    <w:rsid w:val="00FE27DB"/>
    <w:rsid w:val="00FF3C91"/>
    <w:rsid w:val="00FF3D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024"/>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5024"/>
    <w:pPr>
      <w:spacing w:before="100" w:beforeAutospacing="1" w:after="100" w:afterAutospacing="1"/>
    </w:pPr>
    <w:rPr>
      <w:rFonts w:ascii="Times" w:hAnsi="Times"/>
      <w:sz w:val="20"/>
      <w:szCs w:val="20"/>
    </w:rPr>
  </w:style>
  <w:style w:type="character" w:styleId="Hyperlink">
    <w:name w:val="Hyperlink"/>
    <w:uiPriority w:val="99"/>
    <w:unhideWhenUsed/>
    <w:rsid w:val="00105024"/>
    <w:rPr>
      <w:color w:val="0000FF"/>
      <w:u w:val="single"/>
    </w:rPr>
  </w:style>
  <w:style w:type="character" w:styleId="FootnoteReference">
    <w:name w:val="footnote reference"/>
    <w:uiPriority w:val="99"/>
    <w:unhideWhenUsed/>
    <w:rsid w:val="00105024"/>
    <w:rPr>
      <w:vertAlign w:val="superscript"/>
    </w:rPr>
  </w:style>
  <w:style w:type="character" w:customStyle="1" w:styleId="A15">
    <w:name w:val="A15"/>
    <w:uiPriority w:val="99"/>
    <w:rsid w:val="001C06B0"/>
    <w:rPr>
      <w:rFonts w:cs="Minion Pro"/>
      <w:b/>
      <w:bCs/>
      <w:strike/>
      <w:color w:val="000000"/>
      <w:sz w:val="36"/>
      <w:szCs w:val="36"/>
    </w:rPr>
  </w:style>
  <w:style w:type="paragraph" w:styleId="Revision">
    <w:name w:val="Revision"/>
    <w:hidden/>
    <w:uiPriority w:val="99"/>
    <w:semiHidden/>
    <w:rsid w:val="00C40203"/>
    <w:pPr>
      <w:spacing w:after="0" w:line="240" w:lineRule="auto"/>
    </w:pPr>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CE236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E236D"/>
    <w:rPr>
      <w:rFonts w:ascii="Times New Roman" w:eastAsia="MS Mincho" w:hAnsi="Times New Roman" w:cs="Times New Roman"/>
      <w:sz w:val="18"/>
      <w:szCs w:val="18"/>
    </w:rPr>
  </w:style>
  <w:style w:type="character" w:styleId="CommentReference">
    <w:name w:val="annotation reference"/>
    <w:basedOn w:val="DefaultParagraphFont"/>
    <w:uiPriority w:val="99"/>
    <w:semiHidden/>
    <w:unhideWhenUsed/>
    <w:rsid w:val="004E6965"/>
    <w:rPr>
      <w:sz w:val="18"/>
      <w:szCs w:val="18"/>
    </w:rPr>
  </w:style>
  <w:style w:type="paragraph" w:styleId="CommentText">
    <w:name w:val="annotation text"/>
    <w:basedOn w:val="Normal"/>
    <w:link w:val="CommentTextChar"/>
    <w:uiPriority w:val="99"/>
    <w:semiHidden/>
    <w:unhideWhenUsed/>
    <w:rsid w:val="004E6965"/>
  </w:style>
  <w:style w:type="character" w:customStyle="1" w:styleId="CommentTextChar">
    <w:name w:val="Comment Text Char"/>
    <w:basedOn w:val="DefaultParagraphFont"/>
    <w:link w:val="CommentText"/>
    <w:uiPriority w:val="99"/>
    <w:semiHidden/>
    <w:rsid w:val="004E6965"/>
    <w:rPr>
      <w:rFonts w:ascii="Cambria" w:eastAsia="MS Mincho" w:hAnsi="Cambria" w:cs="Times New Roman"/>
      <w:sz w:val="24"/>
      <w:szCs w:val="24"/>
    </w:rPr>
  </w:style>
  <w:style w:type="paragraph" w:styleId="CommentSubject">
    <w:name w:val="annotation subject"/>
    <w:basedOn w:val="CommentText"/>
    <w:next w:val="CommentText"/>
    <w:link w:val="CommentSubjectChar"/>
    <w:uiPriority w:val="99"/>
    <w:semiHidden/>
    <w:unhideWhenUsed/>
    <w:rsid w:val="004E6965"/>
    <w:rPr>
      <w:b/>
      <w:bCs/>
      <w:sz w:val="20"/>
      <w:szCs w:val="20"/>
    </w:rPr>
  </w:style>
  <w:style w:type="character" w:customStyle="1" w:styleId="CommentSubjectChar">
    <w:name w:val="Comment Subject Char"/>
    <w:basedOn w:val="CommentTextChar"/>
    <w:link w:val="CommentSubject"/>
    <w:uiPriority w:val="99"/>
    <w:semiHidden/>
    <w:rsid w:val="004E6965"/>
    <w:rPr>
      <w:rFonts w:ascii="Cambria" w:eastAsia="MS Mincho" w:hAnsi="Cambri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024"/>
    <w:pPr>
      <w:spacing w:after="0" w:line="240" w:lineRule="auto"/>
    </w:pPr>
    <w:rPr>
      <w:rFonts w:ascii="Cambria" w:eastAsia="MS Mincho"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05024"/>
    <w:pPr>
      <w:spacing w:before="100" w:beforeAutospacing="1" w:after="100" w:afterAutospacing="1"/>
    </w:pPr>
    <w:rPr>
      <w:rFonts w:ascii="Times" w:hAnsi="Times"/>
      <w:sz w:val="20"/>
      <w:szCs w:val="20"/>
    </w:rPr>
  </w:style>
  <w:style w:type="character" w:styleId="Hyperlink">
    <w:name w:val="Hyperlink"/>
    <w:uiPriority w:val="99"/>
    <w:unhideWhenUsed/>
    <w:rsid w:val="00105024"/>
    <w:rPr>
      <w:color w:val="0000FF"/>
      <w:u w:val="single"/>
    </w:rPr>
  </w:style>
  <w:style w:type="character" w:styleId="FootnoteReference">
    <w:name w:val="footnote reference"/>
    <w:uiPriority w:val="99"/>
    <w:unhideWhenUsed/>
    <w:rsid w:val="00105024"/>
    <w:rPr>
      <w:vertAlign w:val="superscript"/>
    </w:rPr>
  </w:style>
  <w:style w:type="character" w:customStyle="1" w:styleId="A15">
    <w:name w:val="A15"/>
    <w:uiPriority w:val="99"/>
    <w:rsid w:val="001C06B0"/>
    <w:rPr>
      <w:rFonts w:cs="Minion Pro"/>
      <w:b/>
      <w:bCs/>
      <w:strike/>
      <w:color w:val="000000"/>
      <w:sz w:val="36"/>
      <w:szCs w:val="36"/>
    </w:rPr>
  </w:style>
  <w:style w:type="paragraph" w:styleId="Revision">
    <w:name w:val="Revision"/>
    <w:hidden/>
    <w:uiPriority w:val="99"/>
    <w:semiHidden/>
    <w:rsid w:val="00C40203"/>
    <w:pPr>
      <w:spacing w:after="0" w:line="240" w:lineRule="auto"/>
    </w:pPr>
    <w:rPr>
      <w:rFonts w:ascii="Cambria" w:eastAsia="MS Mincho" w:hAnsi="Cambria" w:cs="Times New Roman"/>
      <w:sz w:val="24"/>
      <w:szCs w:val="24"/>
    </w:rPr>
  </w:style>
  <w:style w:type="paragraph" w:styleId="BalloonText">
    <w:name w:val="Balloon Text"/>
    <w:basedOn w:val="Normal"/>
    <w:link w:val="BalloonTextChar"/>
    <w:uiPriority w:val="99"/>
    <w:semiHidden/>
    <w:unhideWhenUsed/>
    <w:rsid w:val="00CE236D"/>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E236D"/>
    <w:rPr>
      <w:rFonts w:ascii="Times New Roman" w:eastAsia="MS Mincho" w:hAnsi="Times New Roman" w:cs="Times New Roman"/>
      <w:sz w:val="18"/>
      <w:szCs w:val="18"/>
    </w:rPr>
  </w:style>
  <w:style w:type="character" w:styleId="CommentReference">
    <w:name w:val="annotation reference"/>
    <w:basedOn w:val="DefaultParagraphFont"/>
    <w:uiPriority w:val="99"/>
    <w:semiHidden/>
    <w:unhideWhenUsed/>
    <w:rsid w:val="004E6965"/>
    <w:rPr>
      <w:sz w:val="18"/>
      <w:szCs w:val="18"/>
    </w:rPr>
  </w:style>
  <w:style w:type="paragraph" w:styleId="CommentText">
    <w:name w:val="annotation text"/>
    <w:basedOn w:val="Normal"/>
    <w:link w:val="CommentTextChar"/>
    <w:uiPriority w:val="99"/>
    <w:semiHidden/>
    <w:unhideWhenUsed/>
    <w:rsid w:val="004E6965"/>
  </w:style>
  <w:style w:type="character" w:customStyle="1" w:styleId="CommentTextChar">
    <w:name w:val="Comment Text Char"/>
    <w:basedOn w:val="DefaultParagraphFont"/>
    <w:link w:val="CommentText"/>
    <w:uiPriority w:val="99"/>
    <w:semiHidden/>
    <w:rsid w:val="004E6965"/>
    <w:rPr>
      <w:rFonts w:ascii="Cambria" w:eastAsia="MS Mincho" w:hAnsi="Cambria" w:cs="Times New Roman"/>
      <w:sz w:val="24"/>
      <w:szCs w:val="24"/>
    </w:rPr>
  </w:style>
  <w:style w:type="paragraph" w:styleId="CommentSubject">
    <w:name w:val="annotation subject"/>
    <w:basedOn w:val="CommentText"/>
    <w:next w:val="CommentText"/>
    <w:link w:val="CommentSubjectChar"/>
    <w:uiPriority w:val="99"/>
    <w:semiHidden/>
    <w:unhideWhenUsed/>
    <w:rsid w:val="004E6965"/>
    <w:rPr>
      <w:b/>
      <w:bCs/>
      <w:sz w:val="20"/>
      <w:szCs w:val="20"/>
    </w:rPr>
  </w:style>
  <w:style w:type="character" w:customStyle="1" w:styleId="CommentSubjectChar">
    <w:name w:val="Comment Subject Char"/>
    <w:basedOn w:val="CommentTextChar"/>
    <w:link w:val="CommentSubject"/>
    <w:uiPriority w:val="99"/>
    <w:semiHidden/>
    <w:rsid w:val="004E6965"/>
    <w:rPr>
      <w:rFonts w:ascii="Cambria" w:eastAsia="MS Mincho"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owntoearth-indonesia.org/story/stop-human-rights-violations-against-peasant-farmer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kemlu.go.id/Lists/SpeechesAndTranscription/DispForm.aspx?ID=807&amp;ContentTypeId=0x01003EA9EEAD2C809F49A8A9E2B6786925C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ADED4-7225-4C41-A977-0F4E31C96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6251</Words>
  <Characters>35633</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ismail - [2010]</cp:lastModifiedBy>
  <cp:revision>4</cp:revision>
  <dcterms:created xsi:type="dcterms:W3CDTF">2016-12-06T06:56:00Z</dcterms:created>
  <dcterms:modified xsi:type="dcterms:W3CDTF">2018-10-04T16:26:00Z</dcterms:modified>
</cp:coreProperties>
</file>