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F19" w:rsidRPr="00C56874" w:rsidRDefault="00FE7F19" w:rsidP="00FE7F19">
      <w:pPr>
        <w:ind w:left="1620" w:right="206"/>
        <w:jc w:val="center"/>
        <w:rPr>
          <w:rFonts w:asciiTheme="majorBidi" w:hAnsiTheme="majorBidi" w:cstheme="majorBidi"/>
          <w:b/>
          <w:bCs/>
          <w:sz w:val="28"/>
          <w:szCs w:val="28"/>
        </w:rPr>
      </w:pPr>
      <w:r w:rsidRPr="00C56874">
        <w:rPr>
          <w:rFonts w:asciiTheme="majorBidi" w:hAnsiTheme="majorBidi" w:cstheme="majorBidi"/>
          <w:b/>
          <w:bCs/>
          <w:sz w:val="28"/>
          <w:szCs w:val="28"/>
        </w:rPr>
        <w:t>An Introduction to the National Transitional Council of Libya</w:t>
      </w:r>
    </w:p>
    <w:p w:rsidR="00283CF9" w:rsidRPr="00C56874" w:rsidRDefault="00283CF9" w:rsidP="00283CF9">
      <w:pPr>
        <w:pStyle w:val="ListParagraph"/>
        <w:ind w:left="2160" w:right="206"/>
        <w:jc w:val="center"/>
        <w:rPr>
          <w:rFonts w:asciiTheme="majorBidi" w:hAnsiTheme="majorBidi" w:cstheme="majorBidi"/>
          <w:i/>
          <w:iCs/>
        </w:rPr>
      </w:pPr>
      <w:bookmarkStart w:id="0" w:name="_GoBack"/>
      <w:bookmarkEnd w:id="0"/>
    </w:p>
    <w:p w:rsidR="00FE7F19" w:rsidRPr="00283CF9" w:rsidRDefault="00FE7F19" w:rsidP="00FE7F19">
      <w:pPr>
        <w:ind w:left="1620" w:right="206"/>
        <w:jc w:val="both"/>
        <w:rPr>
          <w:rFonts w:asciiTheme="majorBidi" w:hAnsiTheme="majorBidi" w:cstheme="majorBidi"/>
        </w:rPr>
      </w:pPr>
      <w:r w:rsidRPr="00283CF9">
        <w:rPr>
          <w:rFonts w:asciiTheme="majorBidi" w:hAnsiTheme="majorBidi" w:cstheme="majorBidi"/>
          <w:b/>
          <w:bCs/>
        </w:rPr>
        <w:t>Abstract:</w:t>
      </w:r>
      <w:r w:rsidRPr="00283CF9">
        <w:rPr>
          <w:rFonts w:asciiTheme="majorBidi" w:hAnsiTheme="majorBidi" w:cstheme="majorBidi"/>
        </w:rPr>
        <w:t xml:space="preserve"> National Transitional Council of Libya (NTC) e</w:t>
      </w:r>
      <w:r w:rsidR="00AF70EB">
        <w:rPr>
          <w:rFonts w:asciiTheme="majorBidi" w:hAnsiTheme="majorBidi" w:cstheme="majorBidi"/>
        </w:rPr>
        <w:t>merged on the political scene of</w:t>
      </w:r>
      <w:r w:rsidRPr="00283CF9">
        <w:rPr>
          <w:rFonts w:asciiTheme="majorBidi" w:hAnsiTheme="majorBidi" w:cstheme="majorBidi"/>
        </w:rPr>
        <w:t xml:space="preserve"> Libya after the eruption of intra-state war in that country and played a great role in state building and transition. Under international law there is a direct connection between the nature of the de facto authorities and their rights and responsibilities. In this article we are about to dis</w:t>
      </w:r>
      <w:r w:rsidR="00EF4037">
        <w:rPr>
          <w:rFonts w:asciiTheme="majorBidi" w:hAnsiTheme="majorBidi" w:cstheme="majorBidi"/>
        </w:rPr>
        <w:t>cern the nature of Libyan NTC as national liberation movements, rebels or as a government.</w:t>
      </w:r>
    </w:p>
    <w:p w:rsidR="00FE7F19" w:rsidRDefault="00FE7F19" w:rsidP="00283CF9">
      <w:pPr>
        <w:ind w:left="1620" w:right="206"/>
        <w:jc w:val="both"/>
        <w:rPr>
          <w:rFonts w:asciiTheme="majorBidi" w:hAnsiTheme="majorBidi" w:cstheme="majorBidi"/>
        </w:rPr>
      </w:pPr>
      <w:r w:rsidRPr="00283CF9">
        <w:rPr>
          <w:rFonts w:asciiTheme="majorBidi" w:hAnsiTheme="majorBidi" w:cstheme="majorBidi"/>
          <w:b/>
          <w:bCs/>
        </w:rPr>
        <w:t>Keywords:</w:t>
      </w:r>
      <w:r w:rsidRPr="00283CF9">
        <w:rPr>
          <w:rFonts w:asciiTheme="majorBidi" w:hAnsiTheme="majorBidi" w:cstheme="majorBidi"/>
        </w:rPr>
        <w:t xml:space="preserve"> </w:t>
      </w:r>
      <w:r w:rsidR="00283CF9" w:rsidRPr="00283CF9">
        <w:rPr>
          <w:rFonts w:asciiTheme="majorBidi" w:hAnsiTheme="majorBidi" w:cstheme="majorBidi"/>
        </w:rPr>
        <w:t>Transitional Governments, Libya, De Facto Regimes</w:t>
      </w:r>
    </w:p>
    <w:p w:rsidR="00EF4037" w:rsidRDefault="00EF4037" w:rsidP="00EF4037">
      <w:pPr>
        <w:ind w:right="19"/>
        <w:rPr>
          <w:rFonts w:asciiTheme="majorBidi" w:hAnsiTheme="majorBidi" w:cstheme="majorBidi"/>
          <w:b/>
          <w:bCs/>
          <w:sz w:val="24"/>
          <w:szCs w:val="24"/>
        </w:rPr>
      </w:pPr>
    </w:p>
    <w:p w:rsidR="00DF6550" w:rsidRDefault="00DF6550" w:rsidP="00EF4037">
      <w:pPr>
        <w:ind w:right="19"/>
        <w:rPr>
          <w:rFonts w:asciiTheme="majorBidi" w:hAnsiTheme="majorBidi" w:cstheme="majorBidi"/>
          <w:b/>
          <w:bCs/>
          <w:sz w:val="24"/>
          <w:szCs w:val="24"/>
        </w:rPr>
        <w:sectPr w:rsidR="00DF6550">
          <w:pgSz w:w="12240" w:h="15840"/>
          <w:pgMar w:top="1440" w:right="1440" w:bottom="1440" w:left="1440" w:header="720" w:footer="720" w:gutter="0"/>
          <w:cols w:space="720"/>
          <w:docGrid w:linePitch="360"/>
        </w:sectPr>
      </w:pPr>
    </w:p>
    <w:p w:rsidR="00EF4037" w:rsidRDefault="00EF4037" w:rsidP="00EF4037">
      <w:pPr>
        <w:ind w:right="19"/>
        <w:rPr>
          <w:rFonts w:asciiTheme="majorBidi" w:hAnsiTheme="majorBidi" w:cstheme="majorBidi"/>
          <w:b/>
          <w:bCs/>
          <w:sz w:val="24"/>
          <w:szCs w:val="24"/>
        </w:rPr>
      </w:pPr>
      <w:r>
        <w:rPr>
          <w:rFonts w:asciiTheme="majorBidi" w:hAnsiTheme="majorBidi" w:cstheme="majorBidi"/>
          <w:b/>
          <w:bCs/>
          <w:sz w:val="24"/>
          <w:szCs w:val="24"/>
        </w:rPr>
        <w:lastRenderedPageBreak/>
        <w:t>INTRODUCTION</w:t>
      </w:r>
    </w:p>
    <w:p w:rsidR="00EF4037" w:rsidRPr="00AE23C0" w:rsidRDefault="00EF4037" w:rsidP="00EF4037">
      <w:pPr>
        <w:ind w:right="19"/>
        <w:rPr>
          <w:rFonts w:asciiTheme="majorBidi" w:hAnsiTheme="majorBidi" w:cstheme="majorBidi"/>
          <w:b/>
          <w:bCs/>
          <w:sz w:val="24"/>
          <w:szCs w:val="24"/>
        </w:rPr>
      </w:pPr>
      <w:r w:rsidRPr="00AE23C0">
        <w:rPr>
          <w:rFonts w:asciiTheme="majorBidi" w:hAnsiTheme="majorBidi" w:cstheme="majorBidi"/>
          <w:b/>
          <w:bCs/>
          <w:sz w:val="24"/>
          <w:szCs w:val="24"/>
        </w:rPr>
        <w:t>National Transitional Council of Libya: Establishment and Dissolution</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 xml:space="preserve">       On 16</w:t>
      </w:r>
      <w:r w:rsidRPr="00AE23C0">
        <w:rPr>
          <w:rFonts w:asciiTheme="majorBidi" w:hAnsiTheme="majorBidi" w:cstheme="majorBidi"/>
          <w:sz w:val="24"/>
          <w:szCs w:val="24"/>
          <w:vertAlign w:val="superscript"/>
        </w:rPr>
        <w:t>th</w:t>
      </w:r>
      <w:r w:rsidRPr="00AE23C0">
        <w:rPr>
          <w:rFonts w:asciiTheme="majorBidi" w:hAnsiTheme="majorBidi" w:cstheme="majorBidi"/>
          <w:sz w:val="24"/>
          <w:szCs w:val="24"/>
        </w:rPr>
        <w:t xml:space="preserve"> of February 2011, peaceful demonstration broke out following the arrest of an opposition lawyer in Benghazi. On 19th of February a range of other demonstrations started in eastern Libya and specific cities of Benghazi, Zayiwa, Ajdabiya and Derna. </w:t>
      </w:r>
      <w:r w:rsidRPr="00AE23C0">
        <w:rPr>
          <w:rStyle w:val="FootnoteReference"/>
          <w:rFonts w:asciiTheme="majorBidi" w:hAnsiTheme="majorBidi"/>
          <w:sz w:val="24"/>
          <w:szCs w:val="24"/>
        </w:rPr>
        <w:footnoteReference w:id="1"/>
      </w:r>
      <w:r w:rsidRPr="00AE23C0">
        <w:rPr>
          <w:rFonts w:asciiTheme="majorBidi" w:hAnsiTheme="majorBidi" w:cstheme="majorBidi"/>
          <w:sz w:val="24"/>
          <w:szCs w:val="24"/>
        </w:rPr>
        <w:t xml:space="preserve"> The security forces repressed demonstrations violently and killed hundreds of them and within a week the demonstrations turned into an internal war.</w:t>
      </w:r>
      <w:r w:rsidRPr="00AE23C0">
        <w:rPr>
          <w:rStyle w:val="FootnoteReference"/>
          <w:rFonts w:asciiTheme="majorBidi" w:hAnsiTheme="majorBidi"/>
          <w:sz w:val="24"/>
          <w:szCs w:val="24"/>
        </w:rPr>
        <w:footnoteReference w:id="2"/>
      </w:r>
      <w:r w:rsidRPr="00AE23C0">
        <w:rPr>
          <w:rFonts w:asciiTheme="majorBidi" w:hAnsiTheme="majorBidi" w:cstheme="majorBidi"/>
          <w:sz w:val="24"/>
          <w:szCs w:val="24"/>
        </w:rPr>
        <w:t xml:space="preserve"> </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The rebels quickly increased their firepower and took control of east and most of the oil reserves of Libya.</w:t>
      </w:r>
      <w:r w:rsidRPr="00AE23C0">
        <w:rPr>
          <w:rStyle w:val="FootnoteReference"/>
          <w:rFonts w:asciiTheme="majorBidi" w:hAnsiTheme="majorBidi"/>
          <w:sz w:val="24"/>
          <w:szCs w:val="24"/>
        </w:rPr>
        <w:footnoteReference w:id="3"/>
      </w:r>
      <w:r w:rsidRPr="00AE23C0">
        <w:rPr>
          <w:rFonts w:asciiTheme="majorBidi" w:hAnsiTheme="majorBidi" w:cstheme="majorBidi"/>
          <w:sz w:val="24"/>
          <w:szCs w:val="24"/>
        </w:rPr>
        <w:t xml:space="preserve"> Local councils emerged </w:t>
      </w:r>
      <w:r w:rsidRPr="00AE23C0">
        <w:rPr>
          <w:rFonts w:asciiTheme="majorBidi" w:hAnsiTheme="majorBidi" w:cstheme="majorBidi"/>
          <w:sz w:val="24"/>
          <w:szCs w:val="24"/>
        </w:rPr>
        <w:lastRenderedPageBreak/>
        <w:t>in the rebel stronghold of cities and towns</w:t>
      </w:r>
      <w:r w:rsidRPr="00AE23C0">
        <w:rPr>
          <w:rStyle w:val="FootnoteReference"/>
          <w:rFonts w:asciiTheme="majorBidi" w:hAnsiTheme="majorBidi"/>
          <w:sz w:val="24"/>
          <w:szCs w:val="24"/>
        </w:rPr>
        <w:footnoteReference w:id="4"/>
      </w:r>
      <w:r w:rsidRPr="00AE23C0">
        <w:rPr>
          <w:rFonts w:asciiTheme="majorBidi" w:hAnsiTheme="majorBidi" w:cstheme="majorBidi"/>
          <w:sz w:val="24"/>
          <w:szCs w:val="24"/>
        </w:rPr>
        <w:t xml:space="preserve">  decided to establish a broader group that “would represent anti-</w:t>
      </w:r>
      <w:r w:rsidR="00DF6550" w:rsidRPr="00AE23C0">
        <w:rPr>
          <w:rFonts w:asciiTheme="majorBidi" w:hAnsiTheme="majorBidi" w:cstheme="majorBidi"/>
          <w:sz w:val="24"/>
          <w:szCs w:val="24"/>
        </w:rPr>
        <w:t>Gadhafi</w:t>
      </w:r>
      <w:r w:rsidRPr="00AE23C0">
        <w:rPr>
          <w:rFonts w:asciiTheme="majorBidi" w:hAnsiTheme="majorBidi" w:cstheme="majorBidi"/>
          <w:sz w:val="24"/>
          <w:szCs w:val="24"/>
        </w:rPr>
        <w:t xml:space="preserve"> rebellion”.</w:t>
      </w:r>
      <w:r w:rsidRPr="00AE23C0">
        <w:rPr>
          <w:rStyle w:val="FootnoteReference"/>
          <w:rFonts w:asciiTheme="majorBidi" w:hAnsiTheme="majorBidi"/>
          <w:sz w:val="24"/>
          <w:szCs w:val="24"/>
        </w:rPr>
        <w:footnoteReference w:id="5"/>
      </w:r>
      <w:r w:rsidRPr="00AE23C0">
        <w:rPr>
          <w:rFonts w:asciiTheme="majorBidi" w:hAnsiTheme="majorBidi" w:cstheme="majorBidi"/>
          <w:sz w:val="24"/>
          <w:szCs w:val="24"/>
        </w:rPr>
        <w:t xml:space="preserve"> On 27</w:t>
      </w:r>
      <w:r w:rsidRPr="00AE23C0">
        <w:rPr>
          <w:rFonts w:asciiTheme="majorBidi" w:hAnsiTheme="majorBidi" w:cstheme="majorBidi"/>
          <w:sz w:val="24"/>
          <w:szCs w:val="24"/>
          <w:vertAlign w:val="superscript"/>
        </w:rPr>
        <w:t>th</w:t>
      </w:r>
      <w:r w:rsidRPr="00AE23C0">
        <w:rPr>
          <w:rFonts w:asciiTheme="majorBidi" w:hAnsiTheme="majorBidi" w:cstheme="majorBidi"/>
          <w:sz w:val="24"/>
          <w:szCs w:val="24"/>
        </w:rPr>
        <w:t xml:space="preserve"> of February 2011, rebels combined of opposition forces, exile groups and defectors organized themselves as National Transitional Council</w:t>
      </w:r>
      <w:r w:rsidRPr="00AE23C0">
        <w:rPr>
          <w:rStyle w:val="FootnoteReference"/>
          <w:rFonts w:asciiTheme="majorBidi" w:hAnsiTheme="majorBidi"/>
          <w:sz w:val="24"/>
          <w:szCs w:val="24"/>
        </w:rPr>
        <w:footnoteReference w:id="6"/>
      </w:r>
      <w:r w:rsidRPr="00AE23C0">
        <w:rPr>
          <w:rFonts w:asciiTheme="majorBidi" w:hAnsiTheme="majorBidi" w:cstheme="majorBidi"/>
          <w:sz w:val="24"/>
          <w:szCs w:val="24"/>
        </w:rPr>
        <w:t xml:space="preserve"> (NTC) under the </w:t>
      </w:r>
      <w:r w:rsidRPr="00AE23C0">
        <w:rPr>
          <w:rFonts w:asciiTheme="majorBidi" w:hAnsiTheme="majorBidi" w:cstheme="majorBidi"/>
          <w:sz w:val="24"/>
          <w:szCs w:val="24"/>
        </w:rPr>
        <w:lastRenderedPageBreak/>
        <w:t xml:space="preserve">leadership of Mostafa abdeljalil _who was a former justice minister that had defecated on 21th of February because of protesting over the use of guns against people by </w:t>
      </w:r>
      <w:r w:rsidR="00DF6550" w:rsidRPr="00AE23C0">
        <w:rPr>
          <w:rFonts w:asciiTheme="majorBidi" w:hAnsiTheme="majorBidi" w:cstheme="majorBidi"/>
          <w:sz w:val="24"/>
          <w:szCs w:val="24"/>
        </w:rPr>
        <w:t>Gadhafi</w:t>
      </w:r>
      <w:r w:rsidRPr="00AE23C0">
        <w:rPr>
          <w:rFonts w:asciiTheme="majorBidi" w:hAnsiTheme="majorBidi" w:cstheme="majorBidi"/>
          <w:sz w:val="24"/>
          <w:szCs w:val="24"/>
        </w:rPr>
        <w:t xml:space="preserve"> security forces.</w:t>
      </w:r>
      <w:r w:rsidRPr="00AE23C0">
        <w:rPr>
          <w:rStyle w:val="FootnoteReference"/>
          <w:rFonts w:asciiTheme="majorBidi" w:hAnsiTheme="majorBidi"/>
          <w:sz w:val="24"/>
          <w:szCs w:val="24"/>
        </w:rPr>
        <w:footnoteReference w:id="7"/>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According to the NTC`s website its official establishment was on the 5th of March.</w:t>
      </w:r>
      <w:r w:rsidRPr="00AE23C0">
        <w:rPr>
          <w:rStyle w:val="FootnoteReference"/>
          <w:rFonts w:asciiTheme="majorBidi" w:hAnsiTheme="majorBidi"/>
          <w:sz w:val="24"/>
          <w:szCs w:val="24"/>
        </w:rPr>
        <w:footnoteReference w:id="8"/>
      </w:r>
      <w:r w:rsidRPr="00AE23C0">
        <w:rPr>
          <w:rFonts w:asciiTheme="majorBidi" w:hAnsiTheme="majorBidi" w:cstheme="majorBidi"/>
          <w:sz w:val="24"/>
          <w:szCs w:val="24"/>
        </w:rPr>
        <w:t xml:space="preserve"> On this date the first meeting of NTC was held</w:t>
      </w:r>
      <w:r w:rsidRPr="00AE23C0">
        <w:rPr>
          <w:rStyle w:val="FootnoteReference"/>
          <w:rFonts w:asciiTheme="majorBidi" w:hAnsiTheme="majorBidi"/>
          <w:sz w:val="24"/>
          <w:szCs w:val="24"/>
        </w:rPr>
        <w:footnoteReference w:id="9"/>
      </w:r>
      <w:r w:rsidRPr="00AE23C0">
        <w:rPr>
          <w:rFonts w:asciiTheme="majorBidi" w:hAnsiTheme="majorBidi" w:cstheme="majorBidi"/>
          <w:sz w:val="24"/>
          <w:szCs w:val="24"/>
        </w:rPr>
        <w:t xml:space="preserve"> and it declared itself in a letter to General Assembly of UN as the “sole representative of all Libya”.</w:t>
      </w:r>
      <w:r w:rsidRPr="00AE23C0">
        <w:rPr>
          <w:rStyle w:val="FootnoteReference"/>
          <w:rFonts w:asciiTheme="majorBidi" w:hAnsiTheme="majorBidi"/>
          <w:sz w:val="24"/>
          <w:szCs w:val="24"/>
        </w:rPr>
        <w:footnoteReference w:id="10"/>
      </w:r>
      <w:r w:rsidRPr="00AE23C0">
        <w:rPr>
          <w:rFonts w:asciiTheme="majorBidi" w:hAnsiTheme="majorBidi" w:cstheme="majorBidi"/>
          <w:sz w:val="24"/>
          <w:szCs w:val="24"/>
        </w:rPr>
        <w:t xml:space="preserve"> On the 3th of August 2011, NTC released its roadmap transition to democracy through its “Interim Constitutional Declaration”.</w:t>
      </w:r>
      <w:r w:rsidRPr="00AE23C0">
        <w:rPr>
          <w:rStyle w:val="FootnoteReference"/>
          <w:rFonts w:asciiTheme="majorBidi" w:hAnsiTheme="majorBidi"/>
          <w:sz w:val="24"/>
          <w:szCs w:val="24"/>
        </w:rPr>
        <w:footnoteReference w:id="11"/>
      </w:r>
      <w:r w:rsidRPr="00AE23C0">
        <w:rPr>
          <w:rFonts w:asciiTheme="majorBidi" w:hAnsiTheme="majorBidi" w:cstheme="majorBidi"/>
          <w:sz w:val="24"/>
          <w:szCs w:val="24"/>
        </w:rPr>
        <w:t xml:space="preserve"> On 16</w:t>
      </w:r>
      <w:r w:rsidRPr="00AE23C0">
        <w:rPr>
          <w:rFonts w:asciiTheme="majorBidi" w:hAnsiTheme="majorBidi" w:cstheme="majorBidi"/>
          <w:sz w:val="24"/>
          <w:szCs w:val="24"/>
          <w:vertAlign w:val="superscript"/>
        </w:rPr>
        <w:t>th</w:t>
      </w:r>
      <w:r w:rsidRPr="00AE23C0">
        <w:rPr>
          <w:rFonts w:asciiTheme="majorBidi" w:hAnsiTheme="majorBidi" w:cstheme="majorBidi"/>
          <w:sz w:val="24"/>
          <w:szCs w:val="24"/>
        </w:rPr>
        <w:t xml:space="preserve"> September of 2011, the General </w:t>
      </w:r>
      <w:r w:rsidR="00DF6550" w:rsidRPr="00AE23C0">
        <w:rPr>
          <w:rFonts w:asciiTheme="majorBidi" w:hAnsiTheme="majorBidi" w:cstheme="majorBidi"/>
          <w:sz w:val="24"/>
          <w:szCs w:val="24"/>
        </w:rPr>
        <w:t>Assembly</w:t>
      </w:r>
      <w:r w:rsidRPr="00AE23C0">
        <w:rPr>
          <w:rFonts w:asciiTheme="majorBidi" w:hAnsiTheme="majorBidi" w:cstheme="majorBidi"/>
          <w:sz w:val="24"/>
          <w:szCs w:val="24"/>
        </w:rPr>
        <w:t xml:space="preserve"> of the UN, at </w:t>
      </w:r>
      <w:r w:rsidR="00DF6550" w:rsidRPr="00AE23C0">
        <w:rPr>
          <w:rFonts w:asciiTheme="majorBidi" w:hAnsiTheme="majorBidi" w:cstheme="majorBidi"/>
          <w:sz w:val="24"/>
          <w:szCs w:val="24"/>
        </w:rPr>
        <w:t>its</w:t>
      </w:r>
      <w:r w:rsidRPr="00AE23C0">
        <w:rPr>
          <w:rFonts w:asciiTheme="majorBidi" w:hAnsiTheme="majorBidi" w:cstheme="majorBidi"/>
          <w:sz w:val="24"/>
          <w:szCs w:val="24"/>
        </w:rPr>
        <w:t xml:space="preserve"> 66</w:t>
      </w:r>
      <w:r w:rsidRPr="00AE23C0">
        <w:rPr>
          <w:rFonts w:asciiTheme="majorBidi" w:hAnsiTheme="majorBidi" w:cstheme="majorBidi"/>
          <w:sz w:val="24"/>
          <w:szCs w:val="24"/>
          <w:vertAlign w:val="superscript"/>
        </w:rPr>
        <w:t>th</w:t>
      </w:r>
      <w:r w:rsidRPr="00AE23C0">
        <w:rPr>
          <w:rFonts w:asciiTheme="majorBidi" w:hAnsiTheme="majorBidi" w:cstheme="majorBidi"/>
          <w:sz w:val="24"/>
          <w:szCs w:val="24"/>
        </w:rPr>
        <w:t xml:space="preserve"> session recognized NTC as representative of </w:t>
      </w:r>
      <w:r w:rsidR="00DF6550" w:rsidRPr="00AE23C0">
        <w:rPr>
          <w:rFonts w:asciiTheme="majorBidi" w:hAnsiTheme="majorBidi" w:cstheme="majorBidi"/>
          <w:sz w:val="24"/>
          <w:szCs w:val="24"/>
        </w:rPr>
        <w:t>Libya.</w:t>
      </w:r>
      <w:r w:rsidRPr="00AE23C0">
        <w:rPr>
          <w:rStyle w:val="FootnoteReference"/>
          <w:rFonts w:asciiTheme="majorBidi" w:hAnsiTheme="majorBidi"/>
          <w:sz w:val="24"/>
          <w:szCs w:val="24"/>
        </w:rPr>
        <w:footnoteReference w:id="12"/>
      </w:r>
    </w:p>
    <w:p w:rsidR="00EF4037"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 xml:space="preserve">On 7th of July 2012, as a phase of transition from authoritarian to democratic rule, national elections held in Libya and </w:t>
      </w:r>
      <w:r w:rsidR="00DF6550" w:rsidRPr="00AE23C0">
        <w:rPr>
          <w:rFonts w:asciiTheme="majorBidi" w:hAnsiTheme="majorBidi" w:cstheme="majorBidi"/>
          <w:sz w:val="24"/>
          <w:szCs w:val="24"/>
        </w:rPr>
        <w:t>self-appointed</w:t>
      </w:r>
      <w:r w:rsidRPr="00AE23C0">
        <w:rPr>
          <w:rFonts w:asciiTheme="majorBidi" w:hAnsiTheme="majorBidi" w:cstheme="majorBidi"/>
          <w:sz w:val="24"/>
          <w:szCs w:val="24"/>
        </w:rPr>
        <w:t xml:space="preserve"> NTC handed over power to </w:t>
      </w:r>
      <w:r w:rsidRPr="00AE23C0">
        <w:rPr>
          <w:rFonts w:asciiTheme="majorBidi" w:hAnsiTheme="majorBidi" w:cstheme="majorBidi"/>
          <w:sz w:val="24"/>
          <w:szCs w:val="24"/>
        </w:rPr>
        <w:lastRenderedPageBreak/>
        <w:t>General National Congress (GNC) and dissolved.</w:t>
      </w:r>
      <w:r w:rsidRPr="00AE23C0">
        <w:rPr>
          <w:rStyle w:val="FootnoteReference"/>
          <w:rFonts w:asciiTheme="majorBidi" w:hAnsiTheme="majorBidi"/>
          <w:sz w:val="24"/>
          <w:szCs w:val="24"/>
        </w:rPr>
        <w:footnoteReference w:id="13"/>
      </w:r>
    </w:p>
    <w:p w:rsidR="00EF4037" w:rsidRPr="00267A75" w:rsidRDefault="00EF4037" w:rsidP="00EF4037">
      <w:pPr>
        <w:ind w:right="19"/>
        <w:jc w:val="both"/>
        <w:rPr>
          <w:rFonts w:asciiTheme="majorBidi" w:hAnsiTheme="majorBidi" w:cstheme="majorBidi"/>
          <w:b/>
          <w:bCs/>
          <w:sz w:val="24"/>
          <w:szCs w:val="24"/>
        </w:rPr>
      </w:pPr>
      <w:r w:rsidRPr="00267A75">
        <w:rPr>
          <w:rFonts w:asciiTheme="majorBidi" w:hAnsiTheme="majorBidi" w:cstheme="majorBidi"/>
          <w:b/>
          <w:bCs/>
          <w:sz w:val="24"/>
          <w:szCs w:val="24"/>
        </w:rPr>
        <w:t>Result</w:t>
      </w:r>
      <w:r>
        <w:rPr>
          <w:rFonts w:asciiTheme="majorBidi" w:hAnsiTheme="majorBidi" w:cstheme="majorBidi"/>
          <w:b/>
          <w:bCs/>
          <w:sz w:val="24"/>
          <w:szCs w:val="24"/>
        </w:rPr>
        <w:t>s</w:t>
      </w:r>
      <w:r w:rsidRPr="00267A75">
        <w:rPr>
          <w:rFonts w:asciiTheme="majorBidi" w:hAnsiTheme="majorBidi" w:cstheme="majorBidi"/>
          <w:b/>
          <w:bCs/>
          <w:sz w:val="24"/>
          <w:szCs w:val="24"/>
        </w:rPr>
        <w:t xml:space="preserve"> and Discussion</w:t>
      </w:r>
    </w:p>
    <w:p w:rsidR="00EF4037" w:rsidRPr="00AE23C0" w:rsidRDefault="00EF4037" w:rsidP="00EF4037">
      <w:pPr>
        <w:ind w:right="19"/>
        <w:jc w:val="both"/>
        <w:rPr>
          <w:rFonts w:asciiTheme="majorBidi" w:hAnsiTheme="majorBidi" w:cstheme="majorBidi"/>
          <w:b/>
          <w:sz w:val="24"/>
          <w:szCs w:val="24"/>
        </w:rPr>
      </w:pPr>
      <w:r w:rsidRPr="00AE23C0">
        <w:rPr>
          <w:rFonts w:asciiTheme="majorBidi" w:hAnsiTheme="majorBidi" w:cstheme="majorBidi"/>
          <w:b/>
          <w:sz w:val="24"/>
          <w:szCs w:val="24"/>
        </w:rPr>
        <w:t>Determining NTC’s Legal Status</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After providing a brief history of Libyan NTC, it is time to discern what type of TG was it. The scholars and official documents used variant literature about the “nature” of Libyan NTC. Sometimes NTC is introduced as “Rebels”</w:t>
      </w:r>
      <w:r w:rsidRPr="00AE23C0">
        <w:rPr>
          <w:rStyle w:val="FootnoteReference"/>
          <w:rFonts w:asciiTheme="majorBidi" w:hAnsiTheme="majorBidi"/>
          <w:sz w:val="24"/>
          <w:szCs w:val="24"/>
        </w:rPr>
        <w:footnoteReference w:id="14"/>
      </w:r>
      <w:r w:rsidRPr="00AE23C0">
        <w:rPr>
          <w:rFonts w:asciiTheme="majorBidi" w:hAnsiTheme="majorBidi" w:cstheme="majorBidi"/>
          <w:sz w:val="24"/>
          <w:szCs w:val="24"/>
        </w:rPr>
        <w:t>, sometimes it was called “Authority”</w:t>
      </w:r>
      <w:r w:rsidRPr="00AE23C0">
        <w:rPr>
          <w:rStyle w:val="FootnoteReference"/>
          <w:rFonts w:asciiTheme="majorBidi" w:hAnsiTheme="majorBidi"/>
          <w:sz w:val="24"/>
          <w:szCs w:val="24"/>
        </w:rPr>
        <w:footnoteReference w:id="15"/>
      </w:r>
      <w:r w:rsidRPr="00AE23C0">
        <w:rPr>
          <w:rFonts w:asciiTheme="majorBidi" w:hAnsiTheme="majorBidi" w:cstheme="majorBidi"/>
          <w:sz w:val="24"/>
          <w:szCs w:val="24"/>
        </w:rPr>
        <w:t xml:space="preserve"> and some texts refer to it as “Interim Government”</w:t>
      </w:r>
      <w:r w:rsidRPr="00AE23C0">
        <w:rPr>
          <w:rStyle w:val="FootnoteReference"/>
          <w:rFonts w:asciiTheme="majorBidi" w:hAnsiTheme="majorBidi"/>
          <w:sz w:val="24"/>
          <w:szCs w:val="24"/>
        </w:rPr>
        <w:footnoteReference w:id="16"/>
      </w:r>
      <w:r w:rsidRPr="00AE23C0">
        <w:rPr>
          <w:rFonts w:asciiTheme="majorBidi" w:hAnsiTheme="majorBidi" w:cstheme="majorBidi"/>
          <w:sz w:val="24"/>
          <w:szCs w:val="24"/>
        </w:rPr>
        <w:t xml:space="preserve"> regarding the fact that NTC on its early days announced that it is not an “Interim Government”</w:t>
      </w:r>
      <w:r w:rsidRPr="00AE23C0">
        <w:rPr>
          <w:rStyle w:val="FootnoteReference"/>
          <w:rFonts w:asciiTheme="majorBidi" w:hAnsiTheme="majorBidi"/>
          <w:sz w:val="24"/>
          <w:szCs w:val="24"/>
        </w:rPr>
        <w:footnoteReference w:id="17"/>
      </w:r>
      <w:r w:rsidRPr="00AE23C0">
        <w:rPr>
          <w:rFonts w:asciiTheme="majorBidi" w:hAnsiTheme="majorBidi" w:cstheme="majorBidi"/>
          <w:sz w:val="24"/>
          <w:szCs w:val="24"/>
        </w:rPr>
        <w:t xml:space="preserve"> but after a while it declared itself as an interim </w:t>
      </w:r>
      <w:r w:rsidRPr="00AE23C0">
        <w:rPr>
          <w:rFonts w:asciiTheme="majorBidi" w:hAnsiTheme="majorBidi" w:cstheme="majorBidi"/>
          <w:sz w:val="24"/>
          <w:szCs w:val="24"/>
        </w:rPr>
        <w:lastRenderedPageBreak/>
        <w:t>government with full executive and legislative powers.</w:t>
      </w:r>
      <w:r w:rsidRPr="00AE23C0">
        <w:rPr>
          <w:rStyle w:val="FootnoteReference"/>
          <w:rFonts w:asciiTheme="majorBidi" w:hAnsiTheme="majorBidi"/>
          <w:sz w:val="24"/>
          <w:szCs w:val="24"/>
        </w:rPr>
        <w:footnoteReference w:id="18"/>
      </w:r>
    </w:p>
    <w:p w:rsidR="00EF4037" w:rsidRPr="00AE23C0" w:rsidRDefault="00EF4037" w:rsidP="00EF4037">
      <w:pPr>
        <w:ind w:right="19"/>
        <w:jc w:val="both"/>
        <w:rPr>
          <w:rFonts w:asciiTheme="majorBidi" w:hAnsiTheme="majorBidi" w:cstheme="majorBidi"/>
          <w:sz w:val="24"/>
          <w:szCs w:val="24"/>
          <w:rtl/>
        </w:rPr>
      </w:pPr>
      <w:r w:rsidRPr="00AE23C0">
        <w:rPr>
          <w:rFonts w:asciiTheme="majorBidi" w:hAnsiTheme="majorBidi" w:cstheme="majorBidi"/>
          <w:sz w:val="24"/>
          <w:szCs w:val="24"/>
        </w:rPr>
        <w:t xml:space="preserve">Before we discerning what type of TG was NTC one has to ask what the nature of NTC was? Was it a group of rebels or a </w:t>
      </w:r>
      <w:r w:rsidRPr="00AE23C0">
        <w:rPr>
          <w:rFonts w:asciiTheme="majorBidi" w:hAnsiTheme="majorBidi" w:cstheme="majorBidi"/>
          <w:i/>
          <w:iCs/>
          <w:sz w:val="24"/>
          <w:szCs w:val="24"/>
        </w:rPr>
        <w:t>de facto</w:t>
      </w:r>
      <w:r w:rsidRPr="00AE23C0">
        <w:rPr>
          <w:rFonts w:asciiTheme="majorBidi" w:hAnsiTheme="majorBidi" w:cstheme="majorBidi"/>
          <w:sz w:val="24"/>
          <w:szCs w:val="24"/>
        </w:rPr>
        <w:t xml:space="preserve"> government? Is it necessary for “Transitional Governments” to be “governments”? i.e. Is it possible for other authorities and entities such as rebel groups to lead the transition in a country? </w:t>
      </w:r>
    </w:p>
    <w:p w:rsidR="00EF4037" w:rsidRPr="00AE23C0" w:rsidRDefault="00EF4037" w:rsidP="00EF4037">
      <w:pPr>
        <w:ind w:right="19"/>
        <w:jc w:val="both"/>
        <w:rPr>
          <w:rFonts w:asciiTheme="majorBidi" w:hAnsiTheme="majorBidi" w:cstheme="majorBidi"/>
          <w:b/>
          <w:bCs/>
          <w:sz w:val="24"/>
          <w:szCs w:val="24"/>
        </w:rPr>
      </w:pPr>
      <w:r w:rsidRPr="00AE23C0">
        <w:rPr>
          <w:rFonts w:asciiTheme="majorBidi" w:hAnsiTheme="majorBidi" w:cstheme="majorBidi"/>
          <w:b/>
          <w:bCs/>
          <w:sz w:val="24"/>
          <w:szCs w:val="24"/>
        </w:rPr>
        <w:t>NTC of Libya as a National Liberation Movement (NLM)?</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On the question of the nature of NTC as a recognized National Liberation Movement (NLM) we need to refer to the definition and constitutive elements of NLMs and then compare it with NTC.</w:t>
      </w:r>
    </w:p>
    <w:p w:rsidR="00EF4037" w:rsidRPr="00AE23C0" w:rsidRDefault="00EF4037" w:rsidP="00EF4037">
      <w:pPr>
        <w:tabs>
          <w:tab w:val="left" w:pos="2127"/>
        </w:tabs>
        <w:ind w:right="19"/>
        <w:jc w:val="both"/>
        <w:rPr>
          <w:rFonts w:asciiTheme="majorBidi" w:hAnsiTheme="majorBidi" w:cstheme="majorBidi"/>
          <w:sz w:val="24"/>
          <w:szCs w:val="24"/>
        </w:rPr>
      </w:pPr>
      <w:r w:rsidRPr="00AE23C0">
        <w:rPr>
          <w:rFonts w:asciiTheme="majorBidi" w:hAnsiTheme="majorBidi" w:cstheme="majorBidi"/>
          <w:sz w:val="24"/>
          <w:szCs w:val="24"/>
        </w:rPr>
        <w:t xml:space="preserve">International Law Dictionary defines NLMs as organizations ruled by armed forces struggling “for independence of peoples under colonial, alien or racist domination, as reaffirmed by the numerous General Assembly (GA) resolutions pertaining to the right of </w:t>
      </w:r>
      <w:r w:rsidR="00DF6550" w:rsidRPr="00AE23C0">
        <w:rPr>
          <w:rFonts w:asciiTheme="majorBidi" w:hAnsiTheme="majorBidi" w:cstheme="majorBidi"/>
          <w:sz w:val="24"/>
          <w:szCs w:val="24"/>
        </w:rPr>
        <w:t>self-determination</w:t>
      </w:r>
      <w:r w:rsidRPr="00AE23C0">
        <w:rPr>
          <w:rFonts w:asciiTheme="majorBidi" w:hAnsiTheme="majorBidi" w:cstheme="majorBidi"/>
          <w:sz w:val="24"/>
          <w:szCs w:val="24"/>
        </w:rPr>
        <w:t xml:space="preserve"> of peoples. Sometimes NLMs are classified as insurgents or belligerents.” </w:t>
      </w:r>
      <w:r w:rsidRPr="00AE23C0">
        <w:rPr>
          <w:rStyle w:val="FootnoteReference"/>
          <w:rFonts w:asciiTheme="majorBidi" w:hAnsiTheme="majorBidi"/>
          <w:sz w:val="24"/>
          <w:szCs w:val="24"/>
        </w:rPr>
        <w:footnoteReference w:id="19"/>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Libyan NTC was</w:t>
      </w:r>
      <w:r w:rsidRPr="00AE23C0">
        <w:rPr>
          <w:rFonts w:asciiTheme="majorBidi" w:hAnsiTheme="majorBidi" w:cstheme="majorBidi" w:hint="cs"/>
          <w:sz w:val="24"/>
          <w:szCs w:val="24"/>
          <w:rtl/>
        </w:rPr>
        <w:t xml:space="preserve"> </w:t>
      </w:r>
      <w:r w:rsidRPr="00AE23C0">
        <w:rPr>
          <w:rFonts w:asciiTheme="majorBidi" w:hAnsiTheme="majorBidi" w:cstheme="majorBidi"/>
          <w:sz w:val="24"/>
          <w:szCs w:val="24"/>
        </w:rPr>
        <w:t>consisted of a group of lawyers and representatives of various factions from different parts of Libya.</w:t>
      </w:r>
      <w:r w:rsidRPr="00AE23C0">
        <w:rPr>
          <w:rStyle w:val="FootnoteReference"/>
          <w:rFonts w:asciiTheme="majorBidi" w:hAnsiTheme="majorBidi"/>
          <w:sz w:val="24"/>
          <w:szCs w:val="24"/>
        </w:rPr>
        <w:footnoteReference w:id="20"/>
      </w:r>
      <w:r w:rsidRPr="00AE23C0">
        <w:rPr>
          <w:rFonts w:asciiTheme="majorBidi" w:hAnsiTheme="majorBidi" w:cstheme="majorBidi"/>
          <w:sz w:val="24"/>
          <w:szCs w:val="24"/>
        </w:rPr>
        <w:t xml:space="preserve"> In spite of that fact that Libyan NTC formed an </w:t>
      </w:r>
      <w:r w:rsidRPr="00AE23C0">
        <w:rPr>
          <w:rFonts w:asciiTheme="majorBidi" w:hAnsiTheme="majorBidi" w:cstheme="majorBidi"/>
          <w:sz w:val="24"/>
          <w:szCs w:val="24"/>
        </w:rPr>
        <w:lastRenderedPageBreak/>
        <w:t>army</w:t>
      </w:r>
      <w:r w:rsidRPr="00AE23C0">
        <w:rPr>
          <w:rStyle w:val="FootnoteReference"/>
          <w:rFonts w:asciiTheme="majorBidi" w:hAnsiTheme="majorBidi"/>
          <w:sz w:val="24"/>
          <w:szCs w:val="24"/>
        </w:rPr>
        <w:footnoteReference w:id="21"/>
      </w:r>
      <w:r w:rsidRPr="00AE23C0">
        <w:rPr>
          <w:rFonts w:asciiTheme="majorBidi" w:hAnsiTheme="majorBidi" w:cstheme="majorBidi"/>
          <w:sz w:val="24"/>
          <w:szCs w:val="24"/>
        </w:rPr>
        <w:t xml:space="preserve"> but it never claimed to be a military council. In the early stages of its formation NTC declared itself as the “sole legitimate representative of the Libyan people”</w:t>
      </w:r>
      <w:r w:rsidRPr="00AE23C0">
        <w:rPr>
          <w:rStyle w:val="FootnoteReference"/>
          <w:rFonts w:asciiTheme="majorBidi" w:hAnsiTheme="majorBidi"/>
          <w:sz w:val="24"/>
          <w:szCs w:val="24"/>
        </w:rPr>
        <w:footnoteReference w:id="22"/>
      </w:r>
      <w:r w:rsidRPr="00AE23C0">
        <w:t xml:space="preserve"> </w:t>
      </w:r>
      <w:r w:rsidRPr="00AE23C0">
        <w:rPr>
          <w:rFonts w:asciiTheme="majorBidi" w:hAnsiTheme="majorBidi" w:cstheme="majorBidi"/>
          <w:sz w:val="24"/>
          <w:szCs w:val="24"/>
        </w:rPr>
        <w:t>and acted as a legislative body and formed an interim government.</w:t>
      </w:r>
      <w:r w:rsidRPr="00AE23C0">
        <w:rPr>
          <w:rStyle w:val="FootnoteReference"/>
          <w:rFonts w:asciiTheme="majorBidi" w:hAnsiTheme="majorBidi"/>
          <w:sz w:val="24"/>
          <w:szCs w:val="24"/>
        </w:rPr>
        <w:footnoteReference w:id="23"/>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 xml:space="preserve">NTC fought against the seated government under </w:t>
      </w:r>
      <w:r w:rsidR="00DF6550" w:rsidRPr="00AE23C0">
        <w:rPr>
          <w:rFonts w:asciiTheme="majorBidi" w:hAnsiTheme="majorBidi" w:cstheme="majorBidi"/>
          <w:sz w:val="24"/>
          <w:szCs w:val="24"/>
        </w:rPr>
        <w:t>Gadhafi</w:t>
      </w:r>
      <w:r w:rsidRPr="00AE23C0">
        <w:rPr>
          <w:rFonts w:asciiTheme="majorBidi" w:hAnsiTheme="majorBidi" w:cstheme="majorBidi"/>
          <w:sz w:val="24"/>
          <w:szCs w:val="24"/>
        </w:rPr>
        <w:t xml:space="preserve"> that was </w:t>
      </w:r>
      <w:r w:rsidRPr="00AE23C0">
        <w:rPr>
          <w:rFonts w:asciiTheme="majorBidi" w:hAnsiTheme="majorBidi" w:cstheme="majorBidi"/>
          <w:i/>
          <w:iCs/>
          <w:sz w:val="24"/>
          <w:szCs w:val="24"/>
        </w:rPr>
        <w:t>de jure</w:t>
      </w:r>
      <w:r w:rsidRPr="00AE23C0">
        <w:rPr>
          <w:rFonts w:asciiTheme="majorBidi" w:hAnsiTheme="majorBidi" w:cstheme="majorBidi"/>
          <w:sz w:val="24"/>
          <w:szCs w:val="24"/>
        </w:rPr>
        <w:t xml:space="preserve"> government of Libya more than 40 years and entitled itself as Libyan Arab Jumhuriah. Thus, NTC was not fighting against any alien occupation or racist domination. The struggle of NTC was not for implementation of the right of </w:t>
      </w:r>
      <w:r w:rsidR="00DF6550" w:rsidRPr="00AE23C0">
        <w:rPr>
          <w:rFonts w:asciiTheme="majorBidi" w:hAnsiTheme="majorBidi" w:cstheme="majorBidi"/>
          <w:sz w:val="24"/>
          <w:szCs w:val="24"/>
        </w:rPr>
        <w:t>self-determination</w:t>
      </w:r>
      <w:r w:rsidRPr="00AE23C0">
        <w:rPr>
          <w:rStyle w:val="FootnoteReference"/>
          <w:rFonts w:asciiTheme="majorBidi" w:hAnsiTheme="majorBidi"/>
          <w:sz w:val="24"/>
          <w:szCs w:val="24"/>
        </w:rPr>
        <w:footnoteReference w:id="24"/>
      </w:r>
      <w:r w:rsidRPr="00AE23C0">
        <w:rPr>
          <w:rFonts w:asciiTheme="majorBidi" w:hAnsiTheme="majorBidi" w:cstheme="majorBidi"/>
          <w:sz w:val="24"/>
          <w:szCs w:val="24"/>
        </w:rPr>
        <w:t xml:space="preserve"> but for the right to democracy.</w:t>
      </w:r>
      <w:r w:rsidRPr="00AE23C0">
        <w:rPr>
          <w:rStyle w:val="FootnoteReference"/>
          <w:rFonts w:asciiTheme="majorBidi" w:hAnsiTheme="majorBidi"/>
          <w:sz w:val="24"/>
          <w:szCs w:val="24"/>
        </w:rPr>
        <w:footnoteReference w:id="25"/>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lastRenderedPageBreak/>
        <w:t>Regarding the facts that Libyan NTC lacked fundamental elements of NLMs but the literature used by recognizing States was dubious. France recognized NTC as “the legitimate representative of the Libyan people”.</w:t>
      </w:r>
      <w:r w:rsidRPr="00AE23C0">
        <w:rPr>
          <w:rStyle w:val="FootnoteReference"/>
          <w:rFonts w:asciiTheme="majorBidi" w:hAnsiTheme="majorBidi"/>
          <w:sz w:val="24"/>
          <w:szCs w:val="24"/>
        </w:rPr>
        <w:footnoteReference w:id="26"/>
      </w:r>
      <w:r w:rsidRPr="00AE23C0">
        <w:rPr>
          <w:rFonts w:asciiTheme="majorBidi" w:hAnsiTheme="majorBidi" w:cstheme="majorBidi"/>
          <w:sz w:val="24"/>
          <w:szCs w:val="24"/>
        </w:rPr>
        <w:t xml:space="preserve"> Talmon says the expression of “the legitimate representative of the respective people of… ” is the same as used for NLM of Palestine and reminiscent of the recognition of NLMs in 70s.</w:t>
      </w:r>
      <w:r w:rsidRPr="00AE23C0">
        <w:rPr>
          <w:rStyle w:val="FootnoteReference"/>
          <w:rFonts w:asciiTheme="majorBidi" w:hAnsiTheme="majorBidi"/>
          <w:sz w:val="24"/>
          <w:szCs w:val="24"/>
        </w:rPr>
        <w:footnoteReference w:id="27"/>
      </w:r>
      <w:r w:rsidRPr="00AE23C0">
        <w:rPr>
          <w:rFonts w:asciiTheme="majorBidi" w:hAnsiTheme="majorBidi" w:cstheme="majorBidi"/>
          <w:sz w:val="24"/>
          <w:szCs w:val="24"/>
        </w:rPr>
        <w:t xml:space="preserve"> </w:t>
      </w:r>
    </w:p>
    <w:p w:rsidR="00EF4037" w:rsidRPr="00AE23C0" w:rsidRDefault="00EF4037" w:rsidP="00EF4037">
      <w:pPr>
        <w:ind w:right="19"/>
        <w:jc w:val="both"/>
        <w:rPr>
          <w:rFonts w:asciiTheme="majorBidi" w:hAnsiTheme="majorBidi" w:cstheme="majorBidi"/>
          <w:b/>
          <w:bCs/>
          <w:sz w:val="24"/>
          <w:szCs w:val="24"/>
        </w:rPr>
      </w:pPr>
      <w:r w:rsidRPr="00AE23C0">
        <w:rPr>
          <w:rFonts w:asciiTheme="majorBidi" w:hAnsiTheme="majorBidi" w:cstheme="majorBidi"/>
          <w:b/>
          <w:bCs/>
          <w:sz w:val="24"/>
          <w:szCs w:val="24"/>
        </w:rPr>
        <w:t>NTC of Libya as Rebels?</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ILC categorizes the parties of a war as State and non-State actors.</w:t>
      </w:r>
      <w:r w:rsidRPr="00AE23C0">
        <w:rPr>
          <w:rStyle w:val="FootnoteReference"/>
          <w:rFonts w:asciiTheme="majorBidi" w:hAnsiTheme="majorBidi"/>
          <w:sz w:val="24"/>
          <w:szCs w:val="24"/>
        </w:rPr>
        <w:footnoteReference w:id="28"/>
      </w:r>
      <w:r w:rsidRPr="00AE23C0">
        <w:rPr>
          <w:rFonts w:asciiTheme="majorBidi" w:hAnsiTheme="majorBidi" w:cstheme="majorBidi"/>
          <w:sz w:val="24"/>
          <w:szCs w:val="24"/>
        </w:rPr>
        <w:t xml:space="preserve"> A non-State actor is an armed group who takes up arms to control territory and overthrow the established government of a country. They are called in different expressions such as </w:t>
      </w:r>
      <w:r w:rsidRPr="00AE23C0">
        <w:rPr>
          <w:rFonts w:asciiTheme="majorBidi" w:hAnsiTheme="majorBidi" w:cstheme="majorBidi"/>
          <w:sz w:val="24"/>
          <w:szCs w:val="24"/>
        </w:rPr>
        <w:lastRenderedPageBreak/>
        <w:t>terrorists</w:t>
      </w:r>
      <w:r w:rsidRPr="00AE23C0">
        <w:rPr>
          <w:rStyle w:val="FootnoteReference"/>
          <w:rFonts w:asciiTheme="majorBidi" w:hAnsiTheme="majorBidi"/>
          <w:sz w:val="24"/>
          <w:szCs w:val="24"/>
        </w:rPr>
        <w:footnoteReference w:id="29"/>
      </w:r>
      <w:r w:rsidRPr="00AE23C0">
        <w:rPr>
          <w:rFonts w:asciiTheme="majorBidi" w:hAnsiTheme="majorBidi" w:cstheme="majorBidi"/>
          <w:sz w:val="24"/>
          <w:szCs w:val="24"/>
        </w:rPr>
        <w:t>, guerillas, rebels, insurgents and belligerents. According to the fact that there is no unit literature used by different authors, under international law the title of a non-State actor has distinct legal consequences.</w:t>
      </w:r>
      <w:r w:rsidRPr="00AE23C0">
        <w:rPr>
          <w:rStyle w:val="FootnoteReference"/>
          <w:rFonts w:asciiTheme="majorBidi" w:hAnsiTheme="majorBidi"/>
          <w:sz w:val="24"/>
          <w:szCs w:val="24"/>
        </w:rPr>
        <w:footnoteReference w:id="30"/>
      </w:r>
      <w:r w:rsidRPr="00AE23C0">
        <w:rPr>
          <w:rFonts w:asciiTheme="majorBidi" w:hAnsiTheme="majorBidi" w:cstheme="majorBidi"/>
          <w:sz w:val="24"/>
          <w:szCs w:val="24"/>
        </w:rPr>
        <w:t xml:space="preserve"> </w:t>
      </w:r>
    </w:p>
    <w:p w:rsidR="00EF4037" w:rsidRPr="00AE23C0" w:rsidRDefault="00EF4037" w:rsidP="00EF4037">
      <w:pPr>
        <w:tabs>
          <w:tab w:val="left" w:pos="2127"/>
        </w:tabs>
        <w:ind w:right="19"/>
        <w:jc w:val="both"/>
        <w:rPr>
          <w:rFonts w:asciiTheme="majorBidi" w:hAnsiTheme="majorBidi" w:cstheme="majorBidi"/>
          <w:sz w:val="24"/>
          <w:szCs w:val="24"/>
        </w:rPr>
      </w:pPr>
      <w:r w:rsidRPr="00AE23C0">
        <w:rPr>
          <w:rFonts w:asciiTheme="majorBidi" w:hAnsiTheme="majorBidi" w:cstheme="majorBidi"/>
          <w:sz w:val="24"/>
          <w:szCs w:val="24"/>
        </w:rPr>
        <w:t>If one wants to become familiar with the terminology of armed groups acting within a country, it is inevitable to introduce the process of formation of them. The basis of a public revolution begins from “demonstrations”. When demonstrations turn into violence it is called “popular commotion”. If the demonstrations go on and turns into formal disobedience, it is called “sedition”. If sedition and violations spread from city to city and from province to province in a manner that endangers the sovereignty of government it is called “insurrection”. The next phase is the formation of factions. The nation will be divided into two opposite armed groups (pro-government and dissidents) and at last the republic turns into a civil war.</w:t>
      </w:r>
      <w:r w:rsidRPr="00AE23C0">
        <w:rPr>
          <w:rStyle w:val="FootnoteReference"/>
          <w:rFonts w:asciiTheme="majorBidi" w:hAnsiTheme="majorBidi"/>
          <w:sz w:val="24"/>
          <w:szCs w:val="24"/>
        </w:rPr>
        <w:footnoteReference w:id="31"/>
      </w:r>
    </w:p>
    <w:p w:rsidR="00EF4037" w:rsidRPr="00AE23C0" w:rsidRDefault="00EF4037" w:rsidP="00EF4037">
      <w:pPr>
        <w:tabs>
          <w:tab w:val="left" w:pos="2127"/>
        </w:tabs>
        <w:ind w:right="19"/>
        <w:jc w:val="both"/>
        <w:rPr>
          <w:rFonts w:asciiTheme="majorBidi" w:hAnsiTheme="majorBidi" w:cstheme="majorBidi"/>
          <w:sz w:val="24"/>
          <w:szCs w:val="24"/>
          <w:rtl/>
        </w:rPr>
      </w:pPr>
      <w:r w:rsidRPr="00AE23C0">
        <w:rPr>
          <w:rFonts w:asciiTheme="majorBidi" w:hAnsiTheme="majorBidi" w:cstheme="majorBidi"/>
          <w:sz w:val="24"/>
          <w:szCs w:val="24"/>
        </w:rPr>
        <w:lastRenderedPageBreak/>
        <w:t>International law and relations use the common expression of “rebel groups”</w:t>
      </w:r>
      <w:r w:rsidRPr="00AE23C0">
        <w:rPr>
          <w:rStyle w:val="FootnoteReference"/>
          <w:rFonts w:asciiTheme="majorBidi" w:hAnsiTheme="majorBidi"/>
          <w:sz w:val="24"/>
          <w:szCs w:val="24"/>
        </w:rPr>
        <w:footnoteReference w:id="32"/>
      </w:r>
      <w:r w:rsidRPr="00AE23C0">
        <w:rPr>
          <w:rFonts w:asciiTheme="majorBidi" w:hAnsiTheme="majorBidi" w:cstheme="majorBidi"/>
          <w:sz w:val="24"/>
          <w:szCs w:val="24"/>
        </w:rPr>
        <w:t xml:space="preserve"> for all sorts of opposition armed groups which fight against the established government of a country. </w:t>
      </w:r>
      <w:r w:rsidRPr="00AE23C0">
        <w:rPr>
          <w:rStyle w:val="FootnoteReference"/>
          <w:rFonts w:asciiTheme="majorBidi" w:hAnsiTheme="majorBidi"/>
          <w:sz w:val="24"/>
          <w:szCs w:val="24"/>
        </w:rPr>
        <w:footnoteReference w:id="33"/>
      </w:r>
      <w:r w:rsidRPr="00AE23C0">
        <w:rPr>
          <w:rFonts w:asciiTheme="majorBidi" w:hAnsiTheme="majorBidi" w:cstheme="majorBidi"/>
          <w:sz w:val="24"/>
          <w:szCs w:val="24"/>
        </w:rPr>
        <w:t xml:space="preserve"> The rebels are not organized sufficiently and don’t have the capacity to engage in regular and considerable operations. Rebels are called “insurgents” when there is unorganized civil disorder in the country but it is not still a full scale war.</w:t>
      </w:r>
      <w:r w:rsidRPr="00AE23C0">
        <w:rPr>
          <w:rStyle w:val="FootnoteReference"/>
          <w:rFonts w:asciiTheme="majorBidi" w:hAnsiTheme="majorBidi"/>
          <w:sz w:val="24"/>
          <w:szCs w:val="24"/>
        </w:rPr>
        <w:footnoteReference w:id="34"/>
      </w:r>
      <w:r w:rsidRPr="00AE23C0">
        <w:rPr>
          <w:rFonts w:asciiTheme="majorBidi" w:hAnsiTheme="majorBidi" w:cstheme="majorBidi"/>
          <w:sz w:val="24"/>
          <w:szCs w:val="24"/>
        </w:rPr>
        <w:t xml:space="preserve"> Rebels have no status and protection under international law. Internationally recognized</w:t>
      </w:r>
      <w:r>
        <w:rPr>
          <w:rFonts w:asciiTheme="majorBidi" w:hAnsiTheme="majorBidi" w:cstheme="majorBidi"/>
          <w:sz w:val="24"/>
          <w:szCs w:val="24"/>
        </w:rPr>
        <w:t xml:space="preserve"> </w:t>
      </w:r>
      <w:r w:rsidRPr="00AE23C0">
        <w:rPr>
          <w:rFonts w:asciiTheme="majorBidi" w:hAnsiTheme="majorBidi" w:cstheme="majorBidi"/>
          <w:sz w:val="24"/>
          <w:szCs w:val="24"/>
        </w:rPr>
        <w:t xml:space="preserve">rebels are called “belligerents” </w:t>
      </w:r>
      <w:r w:rsidRPr="00AE23C0">
        <w:rPr>
          <w:rStyle w:val="FootnoteReference"/>
          <w:rFonts w:asciiTheme="majorBidi" w:hAnsiTheme="majorBidi"/>
          <w:sz w:val="24"/>
          <w:szCs w:val="24"/>
        </w:rPr>
        <w:footnoteReference w:id="35"/>
      </w:r>
      <w:r w:rsidRPr="00AE23C0">
        <w:rPr>
          <w:rFonts w:asciiTheme="majorBidi" w:hAnsiTheme="majorBidi" w:cstheme="majorBidi"/>
          <w:sz w:val="24"/>
          <w:szCs w:val="24"/>
        </w:rPr>
        <w:t xml:space="preserve"> and this recognition attaches them limited international capacity.</w:t>
      </w:r>
      <w:r w:rsidRPr="00AE23C0">
        <w:rPr>
          <w:rStyle w:val="FootnoteReference"/>
          <w:rFonts w:asciiTheme="majorBidi" w:hAnsiTheme="majorBidi"/>
          <w:sz w:val="24"/>
          <w:szCs w:val="24"/>
        </w:rPr>
        <w:footnoteReference w:id="36"/>
      </w:r>
      <w:r w:rsidRPr="00AE23C0">
        <w:rPr>
          <w:rFonts w:asciiTheme="majorBidi" w:hAnsiTheme="majorBidi" w:cstheme="majorBidi"/>
          <w:sz w:val="24"/>
          <w:szCs w:val="24"/>
        </w:rPr>
        <w:t xml:space="preserve"> The status of insurgents in content and scope is more limited than belligerents.</w:t>
      </w:r>
      <w:r w:rsidRPr="00AE23C0">
        <w:rPr>
          <w:rStyle w:val="FootnoteReference"/>
          <w:rFonts w:asciiTheme="majorBidi" w:hAnsiTheme="majorBidi"/>
          <w:sz w:val="24"/>
          <w:szCs w:val="24"/>
        </w:rPr>
        <w:footnoteReference w:id="37"/>
      </w:r>
    </w:p>
    <w:p w:rsidR="00EF4037" w:rsidRPr="00AE23C0" w:rsidRDefault="00EF4037" w:rsidP="00EF4037">
      <w:pPr>
        <w:tabs>
          <w:tab w:val="left" w:pos="2127"/>
        </w:tabs>
        <w:ind w:right="19"/>
        <w:jc w:val="both"/>
        <w:rPr>
          <w:rFonts w:asciiTheme="majorBidi" w:hAnsiTheme="majorBidi" w:cstheme="majorBidi"/>
          <w:sz w:val="24"/>
          <w:szCs w:val="24"/>
        </w:rPr>
      </w:pPr>
      <w:r w:rsidRPr="00AE23C0">
        <w:rPr>
          <w:rFonts w:asciiTheme="majorBidi" w:hAnsiTheme="majorBidi" w:cstheme="majorBidi"/>
          <w:sz w:val="24"/>
          <w:szCs w:val="24"/>
        </w:rPr>
        <w:t xml:space="preserve">In order to </w:t>
      </w:r>
      <w:r w:rsidR="00DF6550">
        <w:rPr>
          <w:rFonts w:asciiTheme="majorBidi" w:hAnsiTheme="majorBidi" w:cstheme="majorBidi"/>
          <w:sz w:val="24"/>
          <w:szCs w:val="24"/>
        </w:rPr>
        <w:t>determine wh</w:t>
      </w:r>
      <w:r w:rsidR="00DF6550" w:rsidRPr="00AE23C0">
        <w:rPr>
          <w:rFonts w:asciiTheme="majorBidi" w:hAnsiTheme="majorBidi" w:cstheme="majorBidi"/>
          <w:sz w:val="24"/>
          <w:szCs w:val="24"/>
        </w:rPr>
        <w:t>ether</w:t>
      </w:r>
      <w:r w:rsidRPr="00AE23C0">
        <w:rPr>
          <w:rFonts w:asciiTheme="majorBidi" w:hAnsiTheme="majorBidi" w:cstheme="majorBidi"/>
          <w:sz w:val="24"/>
          <w:szCs w:val="24"/>
        </w:rPr>
        <w:t xml:space="preserve"> </w:t>
      </w:r>
      <w:r w:rsidR="00DF6550" w:rsidRPr="00AE23C0">
        <w:rPr>
          <w:rFonts w:asciiTheme="majorBidi" w:hAnsiTheme="majorBidi" w:cstheme="majorBidi"/>
          <w:sz w:val="24"/>
          <w:szCs w:val="24"/>
        </w:rPr>
        <w:t>Libyan</w:t>
      </w:r>
      <w:r w:rsidRPr="00AE23C0">
        <w:rPr>
          <w:rFonts w:asciiTheme="majorBidi" w:hAnsiTheme="majorBidi" w:cstheme="majorBidi"/>
          <w:sz w:val="24"/>
          <w:szCs w:val="24"/>
        </w:rPr>
        <w:t xml:space="preserve"> NTC was belligerents, we shall examine the </w:t>
      </w:r>
      <w:r w:rsidRPr="00AE23C0">
        <w:rPr>
          <w:rFonts w:asciiTheme="majorBidi" w:hAnsiTheme="majorBidi" w:cstheme="majorBidi"/>
          <w:sz w:val="24"/>
          <w:szCs w:val="24"/>
        </w:rPr>
        <w:lastRenderedPageBreak/>
        <w:t>constitutive elements of belligerents and then make a comparison with the Libyan NTC. An additional protocol to the Geneva Conventions 1997 defines belligerents as “… organized armed groups which, under responsible command, exercise such control over a part of</w:t>
      </w:r>
      <w:r w:rsidRPr="00AE23C0">
        <w:rPr>
          <w:rFonts w:asciiTheme="majorBidi" w:hAnsiTheme="majorBidi" w:cstheme="majorBidi"/>
          <w:sz w:val="24"/>
          <w:szCs w:val="24"/>
          <w:rtl/>
        </w:rPr>
        <w:t xml:space="preserve"> </w:t>
      </w:r>
      <w:r w:rsidRPr="00AE23C0">
        <w:rPr>
          <w:rFonts w:asciiTheme="majorBidi" w:hAnsiTheme="majorBidi" w:cstheme="majorBidi"/>
          <w:sz w:val="24"/>
          <w:szCs w:val="24"/>
        </w:rPr>
        <w:t>its territory as to enable them to carry out sustained and concerted military operations</w:t>
      </w:r>
      <w:r w:rsidRPr="00AE23C0">
        <w:t xml:space="preserve"> </w:t>
      </w:r>
      <w:r w:rsidRPr="00AE23C0">
        <w:rPr>
          <w:rFonts w:asciiTheme="majorBidi" w:hAnsiTheme="majorBidi" w:cstheme="majorBidi"/>
          <w:sz w:val="24"/>
          <w:szCs w:val="24"/>
        </w:rPr>
        <w:t>and to implement this Protocol”.</w:t>
      </w:r>
      <w:r w:rsidRPr="00AE23C0">
        <w:rPr>
          <w:rStyle w:val="FootnoteReference"/>
          <w:rFonts w:asciiTheme="majorBidi" w:hAnsiTheme="majorBidi"/>
          <w:sz w:val="24"/>
          <w:szCs w:val="24"/>
        </w:rPr>
        <w:footnoteReference w:id="38"/>
      </w:r>
    </w:p>
    <w:p w:rsidR="00EF4037" w:rsidRPr="00AE23C0" w:rsidRDefault="00EF4037" w:rsidP="00EF4037">
      <w:pPr>
        <w:tabs>
          <w:tab w:val="left" w:pos="2127"/>
        </w:tabs>
        <w:ind w:right="19"/>
        <w:jc w:val="both"/>
        <w:rPr>
          <w:rFonts w:asciiTheme="majorBidi" w:hAnsiTheme="majorBidi" w:cstheme="majorBidi"/>
          <w:sz w:val="24"/>
          <w:szCs w:val="24"/>
        </w:rPr>
      </w:pPr>
      <w:r w:rsidRPr="00AE23C0">
        <w:rPr>
          <w:rFonts w:asciiTheme="majorBidi" w:hAnsiTheme="majorBidi" w:cstheme="majorBidi"/>
          <w:sz w:val="24"/>
          <w:szCs w:val="24"/>
        </w:rPr>
        <w:t>It is evident that from the above mentioned definition three necessary elements of belligerency are:</w:t>
      </w:r>
    </w:p>
    <w:p w:rsidR="00EF4037" w:rsidRPr="00AE23C0" w:rsidRDefault="00EF4037" w:rsidP="00EF4037">
      <w:pPr>
        <w:pStyle w:val="ListParagraph"/>
        <w:tabs>
          <w:tab w:val="left" w:pos="2127"/>
        </w:tabs>
        <w:ind w:left="0" w:right="19"/>
        <w:jc w:val="both"/>
        <w:rPr>
          <w:rFonts w:asciiTheme="majorBidi" w:hAnsiTheme="majorBidi" w:cstheme="majorBidi"/>
          <w:b/>
          <w:bCs/>
          <w:sz w:val="24"/>
          <w:szCs w:val="24"/>
        </w:rPr>
      </w:pPr>
      <w:r w:rsidRPr="00AE23C0">
        <w:rPr>
          <w:rFonts w:asciiTheme="majorBidi" w:hAnsiTheme="majorBidi" w:cstheme="majorBidi"/>
          <w:b/>
          <w:bCs/>
          <w:sz w:val="24"/>
          <w:szCs w:val="24"/>
        </w:rPr>
        <w:t>Existence of a Responsible Command</w:t>
      </w:r>
      <w:r w:rsidRPr="00AE23C0">
        <w:rPr>
          <w:rStyle w:val="FootnoteReference"/>
          <w:rFonts w:asciiTheme="majorBidi" w:hAnsiTheme="majorBidi"/>
          <w:b/>
          <w:bCs/>
          <w:sz w:val="24"/>
          <w:szCs w:val="24"/>
        </w:rPr>
        <w:footnoteReference w:id="39"/>
      </w:r>
    </w:p>
    <w:p w:rsidR="00EF4037" w:rsidRPr="00AE23C0" w:rsidRDefault="00EF4037" w:rsidP="00EF4037">
      <w:pPr>
        <w:pStyle w:val="ListParagraph"/>
        <w:tabs>
          <w:tab w:val="left" w:pos="2127"/>
        </w:tabs>
        <w:ind w:left="0" w:right="19"/>
        <w:jc w:val="both"/>
        <w:rPr>
          <w:rFonts w:asciiTheme="majorBidi" w:hAnsiTheme="majorBidi" w:cstheme="majorBidi"/>
          <w:sz w:val="24"/>
          <w:szCs w:val="24"/>
        </w:rPr>
      </w:pPr>
      <w:r w:rsidRPr="00AE23C0">
        <w:rPr>
          <w:rFonts w:asciiTheme="majorBidi" w:hAnsiTheme="majorBidi" w:cstheme="majorBidi"/>
          <w:sz w:val="24"/>
          <w:szCs w:val="24"/>
        </w:rPr>
        <w:t xml:space="preserve">It is logic for any organized group to be under the rule of an authority. Even terrorists and hoodlums have commanders. Obviously, without the existence of a central authority it is impossible for an armed group to occupy and control parts of the national territory. So what is the difference between terrorists and belligerents? It is true that every group has a leader but the belligerent gain international personality and are bound by International </w:t>
      </w:r>
      <w:r w:rsidR="00DF6550" w:rsidRPr="00AE23C0">
        <w:rPr>
          <w:rFonts w:asciiTheme="majorBidi" w:hAnsiTheme="majorBidi" w:cstheme="majorBidi"/>
          <w:sz w:val="24"/>
          <w:szCs w:val="24"/>
        </w:rPr>
        <w:t>Humanitarian</w:t>
      </w:r>
      <w:r w:rsidRPr="00AE23C0">
        <w:rPr>
          <w:rFonts w:asciiTheme="majorBidi" w:hAnsiTheme="majorBidi" w:cstheme="majorBidi"/>
          <w:sz w:val="24"/>
          <w:szCs w:val="24"/>
        </w:rPr>
        <w:t xml:space="preserve"> Law (IHL). Responsibility comes to personality. There must be an authority to conduct hostilities in accordance with the rules of war and be responsible for the violations of IHL. The responsibility for violations of IHL such as war crimes rests upon individuals. </w:t>
      </w:r>
    </w:p>
    <w:p w:rsidR="00EF4037" w:rsidRPr="00AE23C0" w:rsidRDefault="00EF4037" w:rsidP="00EF4037">
      <w:pPr>
        <w:pStyle w:val="ListParagraph"/>
        <w:tabs>
          <w:tab w:val="left" w:pos="2127"/>
        </w:tabs>
        <w:ind w:left="0" w:right="19"/>
        <w:jc w:val="both"/>
        <w:rPr>
          <w:rFonts w:asciiTheme="majorBidi" w:hAnsiTheme="majorBidi" w:cstheme="majorBidi"/>
          <w:sz w:val="24"/>
          <w:szCs w:val="24"/>
        </w:rPr>
      </w:pPr>
      <w:r w:rsidRPr="00AE23C0">
        <w:rPr>
          <w:rFonts w:asciiTheme="majorBidi" w:hAnsiTheme="majorBidi" w:cstheme="majorBidi"/>
          <w:sz w:val="24"/>
          <w:szCs w:val="24"/>
        </w:rPr>
        <w:t>There is no doubt that Libyan rebels acted under NTC</w:t>
      </w:r>
      <w:r w:rsidRPr="00AE23C0">
        <w:rPr>
          <w:rStyle w:val="FootnoteReference"/>
          <w:rFonts w:asciiTheme="majorBidi" w:hAnsiTheme="majorBidi"/>
          <w:sz w:val="24"/>
          <w:szCs w:val="24"/>
        </w:rPr>
        <w:footnoteReference w:id="40"/>
      </w:r>
      <w:r w:rsidRPr="00AE23C0">
        <w:rPr>
          <w:rFonts w:asciiTheme="majorBidi" w:hAnsiTheme="majorBidi" w:cstheme="majorBidi"/>
          <w:sz w:val="24"/>
          <w:szCs w:val="24"/>
        </w:rPr>
        <w:t xml:space="preserve"> and NTC was recognized as </w:t>
      </w:r>
      <w:r w:rsidRPr="00AE23C0">
        <w:rPr>
          <w:rFonts w:asciiTheme="majorBidi" w:hAnsiTheme="majorBidi" w:cstheme="majorBidi"/>
          <w:sz w:val="24"/>
          <w:szCs w:val="24"/>
        </w:rPr>
        <w:lastRenderedPageBreak/>
        <w:t>the responsible authority and representative of the Libyan people. Moreover, the Libyan rebels, themselves, recognized NTC as their leader.</w:t>
      </w:r>
      <w:r w:rsidRPr="00AE23C0">
        <w:rPr>
          <w:rStyle w:val="FootnoteReference"/>
          <w:rFonts w:asciiTheme="majorBidi" w:hAnsiTheme="majorBidi"/>
          <w:sz w:val="24"/>
          <w:szCs w:val="24"/>
        </w:rPr>
        <w:footnoteReference w:id="41"/>
      </w:r>
    </w:p>
    <w:p w:rsidR="00EF4037" w:rsidRPr="00AE23C0" w:rsidRDefault="00EF4037" w:rsidP="00EF4037">
      <w:pPr>
        <w:pStyle w:val="ListParagraph"/>
        <w:ind w:left="0" w:right="19"/>
        <w:jc w:val="both"/>
        <w:rPr>
          <w:rFonts w:asciiTheme="majorBidi" w:hAnsiTheme="majorBidi" w:cstheme="majorBidi"/>
          <w:sz w:val="24"/>
          <w:szCs w:val="24"/>
        </w:rPr>
      </w:pPr>
      <w:r w:rsidRPr="00AE23C0">
        <w:rPr>
          <w:rFonts w:asciiTheme="majorBidi" w:hAnsiTheme="majorBidi" w:cstheme="majorBidi"/>
          <w:sz w:val="24"/>
          <w:szCs w:val="24"/>
        </w:rPr>
        <w:t>Evidence that Libyan NTC was the responsible authority of Libyan rebels is reflected in the declarations made by States. For example on 6</w:t>
      </w:r>
      <w:r w:rsidRPr="00AE23C0">
        <w:rPr>
          <w:rFonts w:asciiTheme="majorBidi" w:hAnsiTheme="majorBidi" w:cstheme="majorBidi"/>
          <w:sz w:val="24"/>
          <w:szCs w:val="24"/>
          <w:vertAlign w:val="superscript"/>
        </w:rPr>
        <w:t>th</w:t>
      </w:r>
      <w:r w:rsidRPr="00AE23C0">
        <w:rPr>
          <w:rFonts w:asciiTheme="majorBidi" w:hAnsiTheme="majorBidi" w:cstheme="majorBidi"/>
          <w:sz w:val="24"/>
          <w:szCs w:val="24"/>
        </w:rPr>
        <w:t xml:space="preserve"> of April, Ahmet Davutoglu, Turkish foreign minister described Turkey`s strategy “to encourage the TNC and the Gaddafi regime to agree to a cease-fire”.</w:t>
      </w:r>
      <w:r w:rsidRPr="00AE23C0">
        <w:rPr>
          <w:rStyle w:val="FootnoteReference"/>
          <w:rFonts w:asciiTheme="majorBidi" w:hAnsiTheme="majorBidi"/>
          <w:sz w:val="24"/>
          <w:szCs w:val="24"/>
        </w:rPr>
        <w:footnoteReference w:id="42"/>
      </w:r>
      <w:r w:rsidRPr="00AE23C0">
        <w:rPr>
          <w:rFonts w:asciiTheme="majorBidi" w:hAnsiTheme="majorBidi" w:cstheme="majorBidi" w:hint="cs"/>
          <w:sz w:val="24"/>
          <w:szCs w:val="24"/>
          <w:rtl/>
        </w:rPr>
        <w:t xml:space="preserve"> </w:t>
      </w:r>
      <w:r w:rsidRPr="00AE23C0">
        <w:rPr>
          <w:rFonts w:asciiTheme="majorBidi" w:hAnsiTheme="majorBidi" w:cstheme="majorBidi"/>
          <w:sz w:val="24"/>
          <w:szCs w:val="24"/>
        </w:rPr>
        <w:t xml:space="preserve"> Germany recognized Libyan rebels and announced that was just an expression of approval of the NTC`s actions.</w:t>
      </w:r>
      <w:r w:rsidRPr="00AE23C0">
        <w:rPr>
          <w:rStyle w:val="FootnoteReference"/>
          <w:rFonts w:asciiTheme="majorBidi" w:hAnsiTheme="majorBidi"/>
          <w:sz w:val="24"/>
          <w:szCs w:val="24"/>
        </w:rPr>
        <w:footnoteReference w:id="43"/>
      </w:r>
    </w:p>
    <w:p w:rsidR="00EF4037" w:rsidRPr="00AE23C0" w:rsidRDefault="00EF4037" w:rsidP="00EF4037">
      <w:pPr>
        <w:pStyle w:val="ListParagraph"/>
        <w:ind w:left="0" w:right="19"/>
        <w:jc w:val="both"/>
        <w:rPr>
          <w:rFonts w:asciiTheme="majorBidi" w:hAnsiTheme="majorBidi" w:cstheme="majorBidi"/>
          <w:b/>
          <w:bCs/>
          <w:sz w:val="24"/>
          <w:szCs w:val="24"/>
        </w:rPr>
      </w:pPr>
      <w:r w:rsidRPr="00AE23C0">
        <w:rPr>
          <w:rFonts w:asciiTheme="majorBidi" w:hAnsiTheme="majorBidi" w:cstheme="majorBidi"/>
          <w:b/>
          <w:bCs/>
          <w:sz w:val="24"/>
          <w:szCs w:val="24"/>
        </w:rPr>
        <w:t>Exercise Control over part of Territory</w:t>
      </w:r>
    </w:p>
    <w:p w:rsidR="00EF4037" w:rsidRPr="00AE23C0" w:rsidRDefault="00EF4037" w:rsidP="00EF4037">
      <w:pPr>
        <w:pStyle w:val="ListParagraph"/>
        <w:ind w:left="0" w:right="19"/>
        <w:jc w:val="both"/>
        <w:rPr>
          <w:rFonts w:asciiTheme="majorBidi" w:hAnsiTheme="majorBidi" w:cstheme="majorBidi"/>
          <w:sz w:val="24"/>
          <w:szCs w:val="24"/>
        </w:rPr>
      </w:pPr>
      <w:r w:rsidRPr="00AE23C0">
        <w:rPr>
          <w:rFonts w:asciiTheme="majorBidi" w:hAnsiTheme="majorBidi" w:cstheme="majorBidi"/>
          <w:sz w:val="24"/>
          <w:szCs w:val="24"/>
        </w:rPr>
        <w:t>The territorial control must be effective that rebel group shall be able to implement military operation.</w:t>
      </w:r>
      <w:r w:rsidRPr="00AE23C0">
        <w:rPr>
          <w:rStyle w:val="FootnoteReference"/>
          <w:rFonts w:asciiTheme="majorBidi" w:hAnsiTheme="majorBidi"/>
          <w:sz w:val="24"/>
          <w:szCs w:val="24"/>
        </w:rPr>
        <w:footnoteReference w:id="44"/>
      </w:r>
      <w:r w:rsidRPr="00AE23C0">
        <w:rPr>
          <w:rFonts w:asciiTheme="majorBidi" w:hAnsiTheme="majorBidi" w:cstheme="majorBidi"/>
          <w:sz w:val="24"/>
          <w:szCs w:val="24"/>
        </w:rPr>
        <w:t xml:space="preserve"> The importance of “effective control” is that the recognized rebel group must prove its ability of implementation of international law rules on a specific territory. International community considers “control” as a fundamental clause in recognition of rebel groups. In lack of effective control there is no guarantee that the rules of IHL and human rights are </w:t>
      </w:r>
      <w:r w:rsidRPr="00AE23C0">
        <w:rPr>
          <w:rFonts w:asciiTheme="majorBidi" w:hAnsiTheme="majorBidi" w:cstheme="majorBidi"/>
          <w:sz w:val="24"/>
          <w:szCs w:val="24"/>
        </w:rPr>
        <w:lastRenderedPageBreak/>
        <w:t xml:space="preserve">implemented correctly and nobody will be responsible for those violations. We shall bear in mind that responsibility comes with power. Effective control is a sign of the existence of a unique </w:t>
      </w:r>
      <w:r w:rsidRPr="00AE23C0">
        <w:rPr>
          <w:rFonts w:asciiTheme="majorBidi" w:hAnsiTheme="majorBidi" w:cstheme="majorBidi"/>
          <w:i/>
          <w:iCs/>
          <w:sz w:val="24"/>
          <w:szCs w:val="24"/>
        </w:rPr>
        <w:t>de facto</w:t>
      </w:r>
      <w:r w:rsidRPr="00AE23C0">
        <w:rPr>
          <w:rFonts w:asciiTheme="majorBidi" w:hAnsiTheme="majorBidi" w:cstheme="majorBidi"/>
          <w:sz w:val="24"/>
          <w:szCs w:val="24"/>
        </w:rPr>
        <w:t xml:space="preserve"> power in a particular territory. </w:t>
      </w:r>
    </w:p>
    <w:p w:rsidR="00EF4037" w:rsidRPr="00AE23C0" w:rsidRDefault="00EF4037" w:rsidP="00EF4037">
      <w:pPr>
        <w:pStyle w:val="ListParagraph"/>
        <w:ind w:left="0" w:right="19"/>
        <w:jc w:val="both"/>
        <w:rPr>
          <w:rFonts w:asciiTheme="majorBidi" w:hAnsiTheme="majorBidi" w:cstheme="majorBidi"/>
          <w:sz w:val="24"/>
          <w:szCs w:val="24"/>
        </w:rPr>
      </w:pPr>
      <w:r w:rsidRPr="00AE23C0">
        <w:rPr>
          <w:rFonts w:asciiTheme="majorBidi" w:hAnsiTheme="majorBidi" w:cstheme="majorBidi"/>
          <w:sz w:val="24"/>
          <w:szCs w:val="24"/>
        </w:rPr>
        <w:t>In the 66th session of General Assembly Bolivia`s delegate confessed the fact that NTC was controlling parts of Libya.</w:t>
      </w:r>
      <w:r w:rsidRPr="00AE23C0">
        <w:rPr>
          <w:rStyle w:val="FootnoteReference"/>
          <w:rFonts w:asciiTheme="majorBidi" w:hAnsiTheme="majorBidi"/>
          <w:sz w:val="24"/>
          <w:szCs w:val="24"/>
        </w:rPr>
        <w:footnoteReference w:id="45"/>
      </w:r>
      <w:r w:rsidRPr="00AE23C0">
        <w:rPr>
          <w:rFonts w:asciiTheme="majorBidi" w:hAnsiTheme="majorBidi" w:cstheme="majorBidi"/>
          <w:sz w:val="24"/>
          <w:szCs w:val="24"/>
        </w:rPr>
        <w:t xml:space="preserve"> The Council of European Union at its meeting on 20</w:t>
      </w:r>
      <w:r w:rsidRPr="00AE23C0">
        <w:rPr>
          <w:rFonts w:asciiTheme="majorBidi" w:hAnsiTheme="majorBidi" w:cstheme="majorBidi"/>
          <w:sz w:val="24"/>
          <w:szCs w:val="24"/>
          <w:vertAlign w:val="superscript"/>
        </w:rPr>
        <w:t>th</w:t>
      </w:r>
      <w:r w:rsidRPr="00AE23C0">
        <w:rPr>
          <w:rFonts w:asciiTheme="majorBidi" w:hAnsiTheme="majorBidi" w:cstheme="majorBidi"/>
          <w:sz w:val="24"/>
          <w:szCs w:val="24"/>
        </w:rPr>
        <w:t xml:space="preserve"> of </w:t>
      </w:r>
      <w:r w:rsidR="00DF6550" w:rsidRPr="00AE23C0">
        <w:rPr>
          <w:rFonts w:asciiTheme="majorBidi" w:hAnsiTheme="majorBidi" w:cstheme="majorBidi"/>
          <w:sz w:val="24"/>
          <w:szCs w:val="24"/>
        </w:rPr>
        <w:t>June</w:t>
      </w:r>
      <w:r w:rsidRPr="00AE23C0">
        <w:rPr>
          <w:rFonts w:asciiTheme="majorBidi" w:hAnsiTheme="majorBidi" w:cstheme="majorBidi"/>
          <w:sz w:val="24"/>
          <w:szCs w:val="24"/>
        </w:rPr>
        <w:t xml:space="preserve"> 2011 expressly referred to the effective control of NTC on vast parts of Libya.</w:t>
      </w:r>
      <w:r w:rsidRPr="00AE23C0">
        <w:rPr>
          <w:rStyle w:val="FootnoteReference"/>
          <w:rFonts w:asciiTheme="majorBidi" w:hAnsiTheme="majorBidi"/>
          <w:sz w:val="24"/>
          <w:szCs w:val="24"/>
        </w:rPr>
        <w:footnoteReference w:id="46"/>
      </w:r>
      <w:r w:rsidRPr="00AE23C0">
        <w:rPr>
          <w:rFonts w:asciiTheme="majorBidi" w:hAnsiTheme="majorBidi" w:cstheme="majorBidi"/>
          <w:sz w:val="24"/>
          <w:szCs w:val="24"/>
        </w:rPr>
        <w:t xml:space="preserve"> Effective control of NTC on early days of eruption of war on eastern and Libyan oil reserves was reported by the media.</w:t>
      </w:r>
      <w:r w:rsidRPr="00AE23C0">
        <w:rPr>
          <w:rStyle w:val="FootnoteReference"/>
          <w:rFonts w:asciiTheme="majorBidi" w:hAnsiTheme="majorBidi"/>
          <w:sz w:val="24"/>
          <w:szCs w:val="24"/>
        </w:rPr>
        <w:footnoteReference w:id="47"/>
      </w:r>
    </w:p>
    <w:p w:rsidR="00EF4037" w:rsidRPr="00AE23C0" w:rsidRDefault="00EF4037" w:rsidP="00EF4037">
      <w:pPr>
        <w:pStyle w:val="ListParagraph"/>
        <w:ind w:left="0" w:right="19"/>
        <w:jc w:val="both"/>
        <w:rPr>
          <w:rFonts w:asciiTheme="majorBidi" w:hAnsiTheme="majorBidi" w:cstheme="majorBidi"/>
          <w:b/>
          <w:bCs/>
          <w:sz w:val="24"/>
          <w:szCs w:val="24"/>
        </w:rPr>
      </w:pPr>
      <w:r w:rsidRPr="00AE23C0">
        <w:rPr>
          <w:rFonts w:asciiTheme="majorBidi" w:hAnsiTheme="majorBidi" w:cstheme="majorBidi"/>
          <w:b/>
          <w:bCs/>
          <w:sz w:val="24"/>
          <w:szCs w:val="24"/>
        </w:rPr>
        <w:t>Ability to Shoulder International Obligations</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 xml:space="preserve">This element is interconnected with effective territorial control. As mentioned earlier, responsibility comes with power. A rebel group is responsible under IHL when it controls the territory and rules the militia groups and people. A rebel group without educated and knowledgeable elites who know the language of international community i.e. international law has no chance of recognition. </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 xml:space="preserve">In this regards, NTC during the violence in Libya declared a statement in which </w:t>
      </w:r>
      <w:r w:rsidR="00DF6550" w:rsidRPr="00AE23C0">
        <w:rPr>
          <w:rFonts w:asciiTheme="majorBidi" w:hAnsiTheme="majorBidi" w:cstheme="majorBidi"/>
          <w:sz w:val="24"/>
          <w:szCs w:val="24"/>
        </w:rPr>
        <w:t>emphasized</w:t>
      </w:r>
      <w:r w:rsidRPr="00AE23C0">
        <w:rPr>
          <w:rFonts w:asciiTheme="majorBidi" w:hAnsiTheme="majorBidi" w:cstheme="majorBidi"/>
          <w:sz w:val="24"/>
          <w:szCs w:val="24"/>
        </w:rPr>
        <w:t xml:space="preserve"> the importance of principles of democratic rule, independence and </w:t>
      </w:r>
      <w:r w:rsidRPr="00AE23C0">
        <w:rPr>
          <w:rFonts w:asciiTheme="majorBidi" w:hAnsiTheme="majorBidi" w:cstheme="majorBidi"/>
          <w:sz w:val="24"/>
          <w:szCs w:val="24"/>
        </w:rPr>
        <w:lastRenderedPageBreak/>
        <w:t>sovereignty of other nations, international peace and security. It also declared its respect for IHL and IHRL declarations and denounced racism, discrimination and terrorism.</w:t>
      </w:r>
      <w:r w:rsidRPr="00AE23C0">
        <w:rPr>
          <w:rStyle w:val="FootnoteReference"/>
          <w:rFonts w:asciiTheme="majorBidi" w:hAnsiTheme="majorBidi"/>
          <w:sz w:val="24"/>
          <w:szCs w:val="24"/>
        </w:rPr>
        <w:footnoteReference w:id="48"/>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 xml:space="preserve">This declaration </w:t>
      </w:r>
      <w:r w:rsidR="00DF6550" w:rsidRPr="00AE23C0">
        <w:rPr>
          <w:rFonts w:asciiTheme="majorBidi" w:hAnsiTheme="majorBidi" w:cstheme="majorBidi"/>
          <w:sz w:val="24"/>
          <w:szCs w:val="24"/>
        </w:rPr>
        <w:t>signaled</w:t>
      </w:r>
      <w:r w:rsidRPr="00AE23C0">
        <w:rPr>
          <w:rFonts w:asciiTheme="majorBidi" w:hAnsiTheme="majorBidi" w:cstheme="majorBidi"/>
          <w:sz w:val="24"/>
          <w:szCs w:val="24"/>
        </w:rPr>
        <w:t xml:space="preserve"> that Libyan NTC members were aware of the responsibilities and obligations</w:t>
      </w:r>
      <w:r w:rsidRPr="00AE23C0">
        <w:rPr>
          <w:rStyle w:val="FootnoteReference"/>
          <w:rFonts w:asciiTheme="majorBidi" w:hAnsiTheme="majorBidi"/>
          <w:sz w:val="24"/>
          <w:szCs w:val="24"/>
        </w:rPr>
        <w:footnoteReference w:id="49"/>
      </w:r>
      <w:r w:rsidRPr="00AE23C0">
        <w:rPr>
          <w:rFonts w:asciiTheme="majorBidi" w:hAnsiTheme="majorBidi" w:cstheme="majorBidi"/>
          <w:sz w:val="24"/>
          <w:szCs w:val="24"/>
        </w:rPr>
        <w:t xml:space="preserve"> of recognized belligerents and announced that NTC was bound by IHL rules specifically the Geneva Conventions provisions “relative to the treatment of prisoners of war”.</w:t>
      </w:r>
      <w:r w:rsidRPr="00AE23C0">
        <w:rPr>
          <w:rStyle w:val="FootnoteReference"/>
          <w:rFonts w:asciiTheme="majorBidi" w:hAnsiTheme="majorBidi"/>
          <w:sz w:val="24"/>
          <w:szCs w:val="24"/>
        </w:rPr>
        <w:footnoteReference w:id="50"/>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We can also examine the nature of NTC by studying the advantages of its recognition. Generally, a recognized rebel group gets some privileges as follows:</w:t>
      </w:r>
      <w:r w:rsidRPr="00AE23C0">
        <w:rPr>
          <w:rStyle w:val="FootnoteReference"/>
          <w:rFonts w:asciiTheme="majorBidi" w:hAnsiTheme="majorBidi"/>
          <w:sz w:val="24"/>
          <w:szCs w:val="24"/>
        </w:rPr>
        <w:footnoteReference w:id="51"/>
      </w:r>
      <w:r w:rsidRPr="00AE23C0">
        <w:rPr>
          <w:rFonts w:asciiTheme="majorBidi" w:hAnsiTheme="majorBidi" w:cstheme="majorBidi"/>
          <w:sz w:val="24"/>
          <w:szCs w:val="24"/>
        </w:rPr>
        <w:t xml:space="preserve"> firstly,</w:t>
      </w:r>
      <w:r w:rsidR="00DF6550">
        <w:rPr>
          <w:rFonts w:asciiTheme="majorBidi" w:hAnsiTheme="majorBidi" w:cstheme="majorBidi"/>
          <w:sz w:val="24"/>
          <w:szCs w:val="24"/>
        </w:rPr>
        <w:t xml:space="preserve"> </w:t>
      </w:r>
      <w:r w:rsidRPr="00AE23C0">
        <w:rPr>
          <w:rFonts w:asciiTheme="majorBidi" w:hAnsiTheme="majorBidi" w:cstheme="majorBidi"/>
          <w:sz w:val="24"/>
          <w:szCs w:val="24"/>
        </w:rPr>
        <w:t>The struggle of the group against the seated government becomes legitimate and the rebel group will be accepted by the international community.</w:t>
      </w:r>
    </w:p>
    <w:p w:rsidR="00EF4037" w:rsidRPr="00AE23C0" w:rsidRDefault="00EF4037" w:rsidP="00EF4037">
      <w:pPr>
        <w:pStyle w:val="ListParagraph"/>
        <w:ind w:left="0" w:right="19"/>
        <w:jc w:val="both"/>
        <w:rPr>
          <w:rFonts w:asciiTheme="majorBidi" w:hAnsiTheme="majorBidi" w:cstheme="majorBidi"/>
          <w:sz w:val="24"/>
          <w:szCs w:val="24"/>
        </w:rPr>
      </w:pPr>
      <w:r w:rsidRPr="00AE23C0">
        <w:rPr>
          <w:rFonts w:asciiTheme="majorBidi" w:hAnsiTheme="majorBidi" w:cstheme="majorBidi"/>
          <w:sz w:val="24"/>
          <w:szCs w:val="24"/>
        </w:rPr>
        <w:t xml:space="preserve">The African Union (AU) at its meeting at 26th August 2011 recognized Libyan NTC as a rebel group and rendered its recognition as a government to creation “of an </w:t>
      </w:r>
      <w:r w:rsidR="00DF6550" w:rsidRPr="00AE23C0">
        <w:rPr>
          <w:rFonts w:asciiTheme="majorBidi" w:hAnsiTheme="majorBidi" w:cstheme="majorBidi"/>
          <w:sz w:val="24"/>
          <w:szCs w:val="24"/>
        </w:rPr>
        <w:t>all-</w:t>
      </w:r>
      <w:r w:rsidR="00DF6550" w:rsidRPr="00AE23C0">
        <w:rPr>
          <w:rFonts w:asciiTheme="majorBidi" w:hAnsiTheme="majorBidi" w:cstheme="majorBidi"/>
          <w:sz w:val="24"/>
          <w:szCs w:val="24"/>
        </w:rPr>
        <w:lastRenderedPageBreak/>
        <w:t>inclusive</w:t>
      </w:r>
      <w:r w:rsidRPr="00AE23C0">
        <w:rPr>
          <w:rFonts w:asciiTheme="majorBidi" w:hAnsiTheme="majorBidi" w:cstheme="majorBidi"/>
          <w:sz w:val="24"/>
          <w:szCs w:val="24"/>
        </w:rPr>
        <w:t xml:space="preserve"> transitional government”.</w:t>
      </w:r>
      <w:r w:rsidRPr="00AE23C0">
        <w:rPr>
          <w:rStyle w:val="FootnoteReference"/>
          <w:rFonts w:asciiTheme="majorBidi" w:hAnsiTheme="majorBidi"/>
          <w:sz w:val="24"/>
          <w:szCs w:val="24"/>
        </w:rPr>
        <w:footnoteReference w:id="52"/>
      </w:r>
      <w:r w:rsidRPr="00AE23C0">
        <w:rPr>
          <w:rFonts w:asciiTheme="majorBidi" w:hAnsiTheme="majorBidi" w:cstheme="majorBidi"/>
          <w:sz w:val="24"/>
          <w:szCs w:val="24"/>
        </w:rPr>
        <w:t xml:space="preserve"> The NTC was also recognized by the European Union (EU) subsequently as an authority which represented the “aspirations of the Libyan people”. The EU`s support for Libyan NTC was announced in a declaration.</w:t>
      </w:r>
      <w:r w:rsidRPr="00AE23C0">
        <w:rPr>
          <w:rStyle w:val="FootnoteReference"/>
          <w:rFonts w:asciiTheme="majorBidi" w:hAnsiTheme="majorBidi"/>
          <w:sz w:val="24"/>
          <w:szCs w:val="24"/>
        </w:rPr>
        <w:footnoteReference w:id="53"/>
      </w:r>
      <w:r w:rsidRPr="00AE23C0">
        <w:rPr>
          <w:rFonts w:asciiTheme="majorBidi" w:hAnsiTheme="majorBidi" w:cstheme="majorBidi"/>
          <w:sz w:val="24"/>
          <w:szCs w:val="24"/>
        </w:rPr>
        <w:t xml:space="preserve"> NTC on its early days was recognized as “the legitimate representative of the Libyan people” by a dozen of States such as France</w:t>
      </w:r>
      <w:r w:rsidRPr="00AE23C0">
        <w:rPr>
          <w:rStyle w:val="FootnoteReference"/>
          <w:rFonts w:asciiTheme="majorBidi" w:hAnsiTheme="majorBidi"/>
          <w:sz w:val="24"/>
          <w:szCs w:val="24"/>
        </w:rPr>
        <w:footnoteReference w:id="54"/>
      </w:r>
      <w:r w:rsidRPr="00AE23C0">
        <w:rPr>
          <w:rFonts w:asciiTheme="majorBidi" w:hAnsiTheme="majorBidi" w:cstheme="majorBidi"/>
          <w:sz w:val="24"/>
          <w:szCs w:val="24"/>
        </w:rPr>
        <w:t xml:space="preserve">, Italy, Britain, Turkey, Jordan, and </w:t>
      </w:r>
      <w:r w:rsidR="00DF6550" w:rsidRPr="00AE23C0">
        <w:rPr>
          <w:rFonts w:asciiTheme="majorBidi" w:hAnsiTheme="majorBidi" w:cstheme="majorBidi"/>
          <w:sz w:val="24"/>
          <w:szCs w:val="24"/>
        </w:rPr>
        <w:t xml:space="preserve">Qatar. </w:t>
      </w:r>
      <w:r w:rsidRPr="00AE23C0">
        <w:rPr>
          <w:rStyle w:val="FootnoteReference"/>
          <w:rFonts w:asciiTheme="majorBidi" w:hAnsiTheme="majorBidi"/>
          <w:sz w:val="24"/>
          <w:szCs w:val="24"/>
        </w:rPr>
        <w:footnoteReference w:id="55"/>
      </w:r>
    </w:p>
    <w:p w:rsidR="00EF4037" w:rsidRPr="00AE23C0" w:rsidRDefault="00EF4037" w:rsidP="00EF4037">
      <w:pPr>
        <w:pStyle w:val="ListParagraph"/>
        <w:ind w:left="0" w:right="19"/>
        <w:jc w:val="both"/>
        <w:rPr>
          <w:rFonts w:asciiTheme="majorBidi" w:hAnsiTheme="majorBidi" w:cstheme="majorBidi"/>
          <w:sz w:val="24"/>
          <w:szCs w:val="24"/>
          <w:rtl/>
        </w:rPr>
      </w:pPr>
      <w:r w:rsidRPr="00AE23C0">
        <w:rPr>
          <w:rFonts w:asciiTheme="majorBidi" w:hAnsiTheme="majorBidi" w:cstheme="majorBidi"/>
          <w:sz w:val="24"/>
          <w:szCs w:val="24"/>
        </w:rPr>
        <w:t xml:space="preserve">Secondly, </w:t>
      </w:r>
      <w:r w:rsidR="00DF6550" w:rsidRPr="00AE23C0">
        <w:rPr>
          <w:rFonts w:asciiTheme="majorBidi" w:hAnsiTheme="majorBidi" w:cstheme="majorBidi"/>
          <w:sz w:val="24"/>
          <w:szCs w:val="24"/>
        </w:rPr>
        <w:t>the</w:t>
      </w:r>
      <w:r w:rsidRPr="00AE23C0">
        <w:rPr>
          <w:rFonts w:asciiTheme="majorBidi" w:hAnsiTheme="majorBidi" w:cstheme="majorBidi"/>
          <w:sz w:val="24"/>
          <w:szCs w:val="24"/>
        </w:rPr>
        <w:t xml:space="preserve"> group will be allowed to speak for the people in international organizations and opens “representative offices” in other States.</w:t>
      </w:r>
      <w:r w:rsidRPr="00AE23C0">
        <w:rPr>
          <w:rFonts w:asciiTheme="majorBidi" w:hAnsiTheme="majorBidi" w:cstheme="majorBidi" w:hint="cs"/>
          <w:sz w:val="24"/>
          <w:szCs w:val="24"/>
          <w:rtl/>
        </w:rPr>
        <w:t xml:space="preserve"> </w:t>
      </w:r>
      <w:r w:rsidRPr="00AE23C0">
        <w:rPr>
          <w:rFonts w:asciiTheme="majorBidi" w:hAnsiTheme="majorBidi" w:cstheme="majorBidi"/>
          <w:sz w:val="24"/>
          <w:szCs w:val="24"/>
        </w:rPr>
        <w:t>Recognition of a rebel group confers them limited international personality but it does not give right to maintain diplomatic relations with foreign States.</w:t>
      </w:r>
      <w:r w:rsidRPr="00AE23C0">
        <w:rPr>
          <w:rStyle w:val="FootnoteReference"/>
          <w:rFonts w:asciiTheme="majorBidi" w:hAnsiTheme="majorBidi"/>
          <w:sz w:val="24"/>
          <w:szCs w:val="24"/>
        </w:rPr>
        <w:footnoteReference w:id="56"/>
      </w:r>
      <w:r w:rsidRPr="00AE23C0">
        <w:rPr>
          <w:rFonts w:asciiTheme="majorBidi" w:hAnsiTheme="majorBidi" w:cstheme="majorBidi" w:hint="cs"/>
          <w:sz w:val="24"/>
          <w:szCs w:val="24"/>
          <w:rtl/>
        </w:rPr>
        <w:t xml:space="preserve"> </w:t>
      </w:r>
    </w:p>
    <w:p w:rsidR="00EF4037" w:rsidRPr="00AE23C0" w:rsidRDefault="00DF6550" w:rsidP="00EF4037">
      <w:pPr>
        <w:pStyle w:val="ListParagraph"/>
        <w:ind w:left="0" w:right="19"/>
        <w:jc w:val="both"/>
        <w:rPr>
          <w:rFonts w:asciiTheme="majorBidi" w:hAnsiTheme="majorBidi" w:cstheme="majorBidi"/>
          <w:sz w:val="24"/>
          <w:szCs w:val="24"/>
        </w:rPr>
      </w:pPr>
      <w:r w:rsidRPr="00AE23C0">
        <w:rPr>
          <w:rFonts w:asciiTheme="majorBidi" w:hAnsiTheme="majorBidi" w:cstheme="majorBidi"/>
          <w:sz w:val="24"/>
          <w:szCs w:val="24"/>
        </w:rPr>
        <w:t>In</w:t>
      </w:r>
      <w:r w:rsidR="00EF4037" w:rsidRPr="00AE23C0">
        <w:rPr>
          <w:rFonts w:asciiTheme="majorBidi" w:hAnsiTheme="majorBidi" w:cstheme="majorBidi"/>
          <w:sz w:val="24"/>
          <w:szCs w:val="24"/>
        </w:rPr>
        <w:t xml:space="preserve"> the case of the Libyan NTC the recognizing States sent “special representative”, “diplomatic envoys” or “special ambassadors” to Benghazi. These representatives had diplomatic functions but </w:t>
      </w:r>
      <w:r w:rsidR="00EF4037" w:rsidRPr="00AE23C0">
        <w:rPr>
          <w:rFonts w:asciiTheme="majorBidi" w:hAnsiTheme="majorBidi" w:cstheme="majorBidi"/>
          <w:sz w:val="24"/>
          <w:szCs w:val="24"/>
        </w:rPr>
        <w:lastRenderedPageBreak/>
        <w:t>didn`t have formal diplomatic status.</w:t>
      </w:r>
      <w:r w:rsidR="00EF4037" w:rsidRPr="00AE23C0">
        <w:rPr>
          <w:rStyle w:val="FootnoteReference"/>
          <w:rFonts w:asciiTheme="majorBidi" w:hAnsiTheme="majorBidi"/>
          <w:sz w:val="24"/>
          <w:szCs w:val="24"/>
        </w:rPr>
        <w:footnoteReference w:id="57"/>
      </w:r>
      <w:r w:rsidR="00EF4037" w:rsidRPr="00AE23C0">
        <w:rPr>
          <w:rFonts w:asciiTheme="majorBidi" w:hAnsiTheme="majorBidi" w:cstheme="majorBidi"/>
          <w:sz w:val="24"/>
          <w:szCs w:val="24"/>
        </w:rPr>
        <w:t xml:space="preserve"> For example, foreign minister of France on the 29th of March 2011 told reporters that “the French diplomat sent to the NTC was not an ambassador” because they hadn`t recognized NTC formally yet.</w:t>
      </w:r>
      <w:r w:rsidR="00EF4037" w:rsidRPr="00AE23C0">
        <w:rPr>
          <w:rStyle w:val="FootnoteReference"/>
          <w:rFonts w:asciiTheme="majorBidi" w:hAnsiTheme="majorBidi"/>
          <w:sz w:val="24"/>
          <w:szCs w:val="24"/>
        </w:rPr>
        <w:footnoteReference w:id="58"/>
      </w:r>
      <w:r w:rsidR="00EF4037" w:rsidRPr="00AE23C0">
        <w:rPr>
          <w:rFonts w:asciiTheme="majorBidi" w:hAnsiTheme="majorBidi" w:cstheme="majorBidi"/>
          <w:sz w:val="24"/>
          <w:szCs w:val="24"/>
        </w:rPr>
        <w:t xml:space="preserve"> US, Britain and Germany</w:t>
      </w:r>
      <w:r w:rsidR="00EF4037" w:rsidRPr="00AE23C0">
        <w:rPr>
          <w:rStyle w:val="FootnoteReference"/>
          <w:rFonts w:asciiTheme="majorBidi" w:hAnsiTheme="majorBidi"/>
          <w:sz w:val="24"/>
          <w:szCs w:val="24"/>
        </w:rPr>
        <w:footnoteReference w:id="59"/>
      </w:r>
      <w:r w:rsidR="00EF4037" w:rsidRPr="00AE23C0">
        <w:rPr>
          <w:rFonts w:asciiTheme="majorBidi" w:hAnsiTheme="majorBidi" w:cstheme="majorBidi"/>
          <w:sz w:val="24"/>
          <w:szCs w:val="24"/>
        </w:rPr>
        <w:t xml:space="preserve"> also sent envoys to Benghazi but did not offer recognition. The EU also opened diplomatic office in Benghazi but refrained offering formal recognition to the NTC.</w:t>
      </w:r>
      <w:r w:rsidR="00EF4037" w:rsidRPr="00AE23C0">
        <w:rPr>
          <w:rStyle w:val="FootnoteReference"/>
          <w:rFonts w:asciiTheme="majorBidi" w:hAnsiTheme="majorBidi"/>
          <w:sz w:val="24"/>
          <w:szCs w:val="24"/>
        </w:rPr>
        <w:footnoteReference w:id="60"/>
      </w:r>
      <w:r w:rsidR="00EF4037" w:rsidRPr="00AE23C0">
        <w:rPr>
          <w:rFonts w:asciiTheme="majorBidi" w:hAnsiTheme="majorBidi" w:cstheme="majorBidi"/>
          <w:sz w:val="24"/>
          <w:szCs w:val="24"/>
        </w:rPr>
        <w:t xml:space="preserve"> </w:t>
      </w:r>
    </w:p>
    <w:p w:rsidR="00EF4037" w:rsidRPr="00AE23C0" w:rsidRDefault="00EF4037" w:rsidP="00EF4037">
      <w:pPr>
        <w:pStyle w:val="ListParagraph"/>
        <w:ind w:left="0" w:right="19"/>
        <w:jc w:val="both"/>
        <w:rPr>
          <w:rFonts w:asciiTheme="majorBidi" w:hAnsiTheme="majorBidi" w:cstheme="majorBidi"/>
          <w:sz w:val="24"/>
          <w:szCs w:val="24"/>
        </w:rPr>
      </w:pPr>
      <w:r w:rsidRPr="00AE23C0">
        <w:rPr>
          <w:rFonts w:asciiTheme="majorBidi" w:hAnsiTheme="majorBidi" w:cstheme="majorBidi"/>
          <w:sz w:val="24"/>
          <w:szCs w:val="24"/>
        </w:rPr>
        <w:t xml:space="preserve">Thirdly, NTC </w:t>
      </w:r>
      <w:r w:rsidR="00DF6550" w:rsidRPr="00AE23C0">
        <w:rPr>
          <w:rFonts w:asciiTheme="majorBidi" w:hAnsiTheme="majorBidi" w:cstheme="majorBidi"/>
          <w:sz w:val="24"/>
          <w:szCs w:val="24"/>
        </w:rPr>
        <w:t>received</w:t>
      </w:r>
      <w:r w:rsidRPr="00AE23C0">
        <w:rPr>
          <w:rFonts w:asciiTheme="majorBidi" w:hAnsiTheme="majorBidi" w:cstheme="majorBidi"/>
          <w:sz w:val="24"/>
          <w:szCs w:val="24"/>
        </w:rPr>
        <w:t xml:space="preserve"> financial aid from different sources such as the Libyan Contact Group (consisted of Italy and France)</w:t>
      </w:r>
      <w:r w:rsidRPr="00AE23C0">
        <w:rPr>
          <w:rStyle w:val="FootnoteReference"/>
          <w:rFonts w:asciiTheme="majorBidi" w:hAnsiTheme="majorBidi"/>
          <w:sz w:val="24"/>
          <w:szCs w:val="24"/>
        </w:rPr>
        <w:footnoteReference w:id="61"/>
      </w:r>
      <w:r w:rsidRPr="00AE23C0">
        <w:rPr>
          <w:rFonts w:asciiTheme="majorBidi" w:hAnsiTheme="majorBidi" w:cstheme="majorBidi"/>
          <w:sz w:val="24"/>
          <w:szCs w:val="24"/>
        </w:rPr>
        <w:t>, EU</w:t>
      </w:r>
      <w:r w:rsidRPr="00AE23C0">
        <w:rPr>
          <w:rStyle w:val="FootnoteReference"/>
          <w:rFonts w:asciiTheme="majorBidi" w:hAnsiTheme="majorBidi"/>
          <w:sz w:val="24"/>
          <w:szCs w:val="24"/>
        </w:rPr>
        <w:footnoteReference w:id="62"/>
      </w:r>
      <w:r w:rsidRPr="00AE23C0">
        <w:rPr>
          <w:rFonts w:asciiTheme="majorBidi" w:hAnsiTheme="majorBidi" w:cstheme="majorBidi"/>
          <w:sz w:val="24"/>
          <w:szCs w:val="24"/>
        </w:rPr>
        <w:t xml:space="preserve"> , the Security Council of UN</w:t>
      </w:r>
      <w:r w:rsidRPr="00AE23C0">
        <w:rPr>
          <w:rStyle w:val="FootnoteReference"/>
          <w:rFonts w:asciiTheme="majorBidi" w:hAnsiTheme="majorBidi"/>
          <w:sz w:val="24"/>
          <w:szCs w:val="24"/>
        </w:rPr>
        <w:footnoteReference w:id="63"/>
      </w:r>
      <w:r w:rsidRPr="00AE23C0">
        <w:rPr>
          <w:rFonts w:asciiTheme="majorBidi" w:hAnsiTheme="majorBidi" w:cstheme="majorBidi"/>
          <w:sz w:val="24"/>
          <w:szCs w:val="24"/>
        </w:rPr>
        <w:t>, US and UK</w:t>
      </w:r>
      <w:r w:rsidRPr="00AE23C0">
        <w:rPr>
          <w:rStyle w:val="FootnoteReference"/>
          <w:rFonts w:asciiTheme="majorBidi" w:hAnsiTheme="majorBidi"/>
          <w:sz w:val="24"/>
          <w:szCs w:val="24"/>
        </w:rPr>
        <w:footnoteReference w:id="64"/>
      </w:r>
      <w:r w:rsidRPr="00AE23C0">
        <w:rPr>
          <w:rFonts w:asciiTheme="majorBidi" w:hAnsiTheme="majorBidi" w:cstheme="majorBidi"/>
          <w:sz w:val="24"/>
          <w:szCs w:val="24"/>
        </w:rPr>
        <w:t>.</w:t>
      </w:r>
    </w:p>
    <w:p w:rsidR="00EF4037" w:rsidRPr="00AE23C0" w:rsidRDefault="00DF6550" w:rsidP="00EF4037">
      <w:pPr>
        <w:pStyle w:val="ListParagraph"/>
        <w:ind w:left="0" w:right="19"/>
        <w:jc w:val="both"/>
        <w:rPr>
          <w:rFonts w:asciiTheme="majorBidi" w:hAnsiTheme="majorBidi" w:cstheme="majorBidi"/>
          <w:sz w:val="24"/>
          <w:szCs w:val="24"/>
        </w:rPr>
      </w:pPr>
      <w:r w:rsidRPr="00AE23C0">
        <w:rPr>
          <w:rFonts w:asciiTheme="majorBidi" w:hAnsiTheme="majorBidi" w:cstheme="majorBidi"/>
          <w:sz w:val="24"/>
          <w:szCs w:val="24"/>
        </w:rPr>
        <w:t>Finally</w:t>
      </w:r>
      <w:r w:rsidR="00EF4037" w:rsidRPr="00AE23C0">
        <w:rPr>
          <w:rFonts w:asciiTheme="majorBidi" w:hAnsiTheme="majorBidi" w:cstheme="majorBidi"/>
          <w:sz w:val="24"/>
          <w:szCs w:val="24"/>
        </w:rPr>
        <w:t xml:space="preserve">, NTC </w:t>
      </w:r>
      <w:r w:rsidRPr="00AE23C0">
        <w:rPr>
          <w:rFonts w:asciiTheme="majorBidi" w:hAnsiTheme="majorBidi" w:cstheme="majorBidi"/>
          <w:sz w:val="24"/>
          <w:szCs w:val="24"/>
        </w:rPr>
        <w:t>also</w:t>
      </w:r>
      <w:r w:rsidR="00EF4037" w:rsidRPr="00AE23C0">
        <w:rPr>
          <w:rFonts w:asciiTheme="majorBidi" w:hAnsiTheme="majorBidi" w:cstheme="majorBidi"/>
          <w:sz w:val="24"/>
          <w:szCs w:val="24"/>
        </w:rPr>
        <w:t xml:space="preserve"> </w:t>
      </w:r>
      <w:r w:rsidRPr="00AE23C0">
        <w:rPr>
          <w:rFonts w:asciiTheme="majorBidi" w:hAnsiTheme="majorBidi" w:cstheme="majorBidi"/>
          <w:sz w:val="24"/>
          <w:szCs w:val="24"/>
        </w:rPr>
        <w:t>gained</w:t>
      </w:r>
      <w:r w:rsidR="00EF4037" w:rsidRPr="00AE23C0">
        <w:rPr>
          <w:rFonts w:asciiTheme="majorBidi" w:hAnsiTheme="majorBidi" w:cstheme="majorBidi"/>
          <w:sz w:val="24"/>
          <w:szCs w:val="24"/>
        </w:rPr>
        <w:t xml:space="preserve"> legal capacity to conclude agreements with the representatives of other States.</w:t>
      </w:r>
      <w:r w:rsidR="00EF4037" w:rsidRPr="00AE23C0">
        <w:rPr>
          <w:rStyle w:val="FootnoteReference"/>
          <w:rFonts w:asciiTheme="majorBidi" w:hAnsiTheme="majorBidi"/>
          <w:sz w:val="24"/>
          <w:szCs w:val="24"/>
        </w:rPr>
        <w:footnoteReference w:id="65"/>
      </w:r>
    </w:p>
    <w:p w:rsidR="00EF4037" w:rsidRPr="00AE23C0" w:rsidRDefault="00EF4037" w:rsidP="00EF4037">
      <w:pPr>
        <w:pStyle w:val="ListParagraph"/>
        <w:ind w:left="0" w:right="19"/>
        <w:jc w:val="both"/>
        <w:rPr>
          <w:rFonts w:asciiTheme="majorBidi" w:hAnsiTheme="majorBidi" w:cstheme="majorBidi"/>
          <w:sz w:val="24"/>
          <w:szCs w:val="24"/>
        </w:rPr>
      </w:pPr>
      <w:r w:rsidRPr="00AE23C0">
        <w:rPr>
          <w:rFonts w:asciiTheme="majorBidi" w:hAnsiTheme="majorBidi" w:cstheme="majorBidi"/>
          <w:sz w:val="24"/>
          <w:szCs w:val="24"/>
        </w:rPr>
        <w:lastRenderedPageBreak/>
        <w:t>This factor is a controversial issue. Nasu says recognized belligerents have the capacity to conclude agreements with foreign States but it does not confer them international personality.</w:t>
      </w:r>
      <w:r w:rsidRPr="00AE23C0">
        <w:rPr>
          <w:rStyle w:val="FootnoteReference"/>
          <w:rFonts w:asciiTheme="majorBidi" w:hAnsiTheme="majorBidi"/>
          <w:sz w:val="24"/>
          <w:szCs w:val="24"/>
        </w:rPr>
        <w:footnoteReference w:id="66"/>
      </w:r>
      <w:r w:rsidRPr="00AE23C0">
        <w:rPr>
          <w:rFonts w:asciiTheme="majorBidi" w:hAnsiTheme="majorBidi" w:cstheme="majorBidi"/>
          <w:sz w:val="24"/>
          <w:szCs w:val="24"/>
        </w:rPr>
        <w:t xml:space="preserve"> On the other hand Wolfrum and Philipp believe that recognized rebels gain limited international personality but they don`t have the capacity to conclude contracts with other nations.</w:t>
      </w:r>
      <w:r w:rsidRPr="00AE23C0">
        <w:rPr>
          <w:rStyle w:val="FootnoteReference"/>
          <w:rFonts w:asciiTheme="majorBidi" w:hAnsiTheme="majorBidi"/>
          <w:sz w:val="24"/>
          <w:szCs w:val="24"/>
        </w:rPr>
        <w:footnoteReference w:id="67"/>
      </w:r>
    </w:p>
    <w:p w:rsidR="00EF4037" w:rsidRPr="00AE23C0" w:rsidRDefault="00EF4037" w:rsidP="00EF4037">
      <w:pPr>
        <w:pStyle w:val="ListParagraph"/>
        <w:ind w:left="0" w:right="19"/>
        <w:jc w:val="both"/>
        <w:rPr>
          <w:rFonts w:asciiTheme="majorBidi" w:hAnsiTheme="majorBidi" w:cstheme="majorBidi"/>
          <w:sz w:val="24"/>
          <w:szCs w:val="24"/>
        </w:rPr>
      </w:pPr>
      <w:r w:rsidRPr="00AE23C0">
        <w:rPr>
          <w:rFonts w:asciiTheme="majorBidi" w:hAnsiTheme="majorBidi" w:cstheme="majorBidi"/>
          <w:sz w:val="24"/>
          <w:szCs w:val="24"/>
        </w:rPr>
        <w:t xml:space="preserve">If we accept the viewpoint of Nasu there raises a question; if recognized belligerent doesn’t have any personality under international law, how they have the capacity to conclude agreements with other States? In every legal system a minimum legal capacity is required for a person to enter contracts. </w:t>
      </w:r>
    </w:p>
    <w:p w:rsidR="00EF4037" w:rsidRPr="00AE23C0" w:rsidRDefault="00EF4037" w:rsidP="00EF4037">
      <w:pPr>
        <w:pStyle w:val="ListParagraph"/>
        <w:ind w:left="0" w:right="19"/>
        <w:jc w:val="both"/>
        <w:rPr>
          <w:rFonts w:asciiTheme="majorBidi" w:hAnsiTheme="majorBidi" w:cstheme="majorBidi"/>
          <w:sz w:val="24"/>
          <w:szCs w:val="24"/>
        </w:rPr>
      </w:pPr>
      <w:r w:rsidRPr="00AE23C0">
        <w:rPr>
          <w:rFonts w:asciiTheme="majorBidi" w:hAnsiTheme="majorBidi" w:cstheme="majorBidi"/>
          <w:sz w:val="24"/>
          <w:szCs w:val="24"/>
        </w:rPr>
        <w:t>Libyan NTC signed agreements and memorandum understanding with Italy</w:t>
      </w:r>
      <w:r w:rsidRPr="00AE23C0">
        <w:rPr>
          <w:rStyle w:val="FootnoteReference"/>
          <w:rFonts w:asciiTheme="majorBidi" w:hAnsiTheme="majorBidi"/>
          <w:sz w:val="24"/>
          <w:szCs w:val="24"/>
        </w:rPr>
        <w:footnoteReference w:id="68"/>
      </w:r>
      <w:r w:rsidRPr="00AE23C0">
        <w:rPr>
          <w:rFonts w:asciiTheme="majorBidi" w:hAnsiTheme="majorBidi" w:cstheme="majorBidi"/>
          <w:sz w:val="24"/>
          <w:szCs w:val="24"/>
        </w:rPr>
        <w:t>, it established a new contract for exporting oil</w:t>
      </w:r>
      <w:r w:rsidRPr="00AE23C0">
        <w:rPr>
          <w:rStyle w:val="FootnoteReference"/>
          <w:rFonts w:asciiTheme="majorBidi" w:hAnsiTheme="majorBidi"/>
          <w:sz w:val="24"/>
          <w:szCs w:val="24"/>
        </w:rPr>
        <w:footnoteReference w:id="69"/>
      </w:r>
      <w:r w:rsidRPr="00AE23C0">
        <w:rPr>
          <w:rFonts w:asciiTheme="majorBidi" w:hAnsiTheme="majorBidi" w:cstheme="majorBidi"/>
          <w:sz w:val="24"/>
          <w:szCs w:val="24"/>
        </w:rPr>
        <w:t xml:space="preserve"> and emphasized the continuity of contracts.</w:t>
      </w:r>
      <w:r w:rsidRPr="00AE23C0">
        <w:rPr>
          <w:rStyle w:val="FootnoteReference"/>
          <w:rFonts w:asciiTheme="majorBidi" w:hAnsiTheme="majorBidi"/>
          <w:sz w:val="24"/>
          <w:szCs w:val="24"/>
        </w:rPr>
        <w:footnoteReference w:id="70"/>
      </w:r>
    </w:p>
    <w:p w:rsidR="00EF4037" w:rsidRPr="00AE23C0" w:rsidRDefault="00EF4037" w:rsidP="00EF4037">
      <w:pPr>
        <w:pStyle w:val="ListParagraph"/>
        <w:ind w:left="0" w:right="19"/>
        <w:jc w:val="both"/>
        <w:rPr>
          <w:rFonts w:asciiTheme="majorBidi" w:hAnsiTheme="majorBidi" w:cstheme="majorBidi"/>
          <w:sz w:val="24"/>
          <w:szCs w:val="24"/>
        </w:rPr>
      </w:pPr>
      <w:r w:rsidRPr="00AE23C0">
        <w:rPr>
          <w:rFonts w:asciiTheme="majorBidi" w:hAnsiTheme="majorBidi" w:cstheme="majorBidi"/>
          <w:sz w:val="24"/>
          <w:szCs w:val="24"/>
        </w:rPr>
        <w:lastRenderedPageBreak/>
        <w:t xml:space="preserve">Generally, from the analysis we can conclude that Libyan NTC emerged as a rebel group on the political face of Libya and then was recognized as belligerents at the early stages of transition. Libyan NTC was an entity that entitled all the circumstances of recognized rebel groups under the classic international law. In order to avoid misunderstandings on the nature of NTC we wish to </w:t>
      </w:r>
      <w:r w:rsidR="00DF6550" w:rsidRPr="00AE23C0">
        <w:rPr>
          <w:rFonts w:asciiTheme="majorBidi" w:hAnsiTheme="majorBidi" w:cstheme="majorBidi"/>
          <w:sz w:val="24"/>
          <w:szCs w:val="24"/>
        </w:rPr>
        <w:t>emphasize</w:t>
      </w:r>
      <w:r w:rsidRPr="00AE23C0">
        <w:rPr>
          <w:rFonts w:asciiTheme="majorBidi" w:hAnsiTheme="majorBidi" w:cstheme="majorBidi"/>
          <w:sz w:val="24"/>
          <w:szCs w:val="24"/>
        </w:rPr>
        <w:t xml:space="preserve"> that the formation and recognition of Libyan NTC could be divided into two periods: i. Early stages; that NTC was recognized as belligerents and (ii) later stage; increase of its capacity and turning into a “government”.</w:t>
      </w:r>
    </w:p>
    <w:p w:rsidR="00EF4037" w:rsidRPr="00AE23C0" w:rsidRDefault="00EF4037" w:rsidP="00EF4037">
      <w:pPr>
        <w:pStyle w:val="ListParagraph"/>
        <w:ind w:left="0" w:right="19"/>
        <w:jc w:val="both"/>
        <w:rPr>
          <w:rFonts w:asciiTheme="majorBidi" w:hAnsiTheme="majorBidi" w:cstheme="majorBidi"/>
          <w:sz w:val="24"/>
          <w:szCs w:val="24"/>
        </w:rPr>
      </w:pPr>
    </w:p>
    <w:p w:rsidR="00EF4037" w:rsidRPr="00AE23C0" w:rsidRDefault="00EF4037" w:rsidP="00EF4037">
      <w:pPr>
        <w:pStyle w:val="ListParagraph"/>
        <w:tabs>
          <w:tab w:val="left" w:pos="2127"/>
        </w:tabs>
        <w:ind w:left="0" w:right="19"/>
        <w:jc w:val="both"/>
        <w:rPr>
          <w:rFonts w:asciiTheme="majorBidi" w:hAnsiTheme="majorBidi" w:cstheme="majorBidi"/>
          <w:b/>
          <w:bCs/>
          <w:sz w:val="24"/>
          <w:szCs w:val="24"/>
        </w:rPr>
      </w:pPr>
      <w:r w:rsidRPr="00AE23C0">
        <w:rPr>
          <w:rFonts w:asciiTheme="majorBidi" w:hAnsiTheme="majorBidi" w:cstheme="majorBidi"/>
          <w:b/>
          <w:bCs/>
          <w:sz w:val="24"/>
          <w:szCs w:val="24"/>
        </w:rPr>
        <w:t>NTC of Libya as a Government</w:t>
      </w:r>
    </w:p>
    <w:p w:rsidR="00EF4037" w:rsidRPr="00AE23C0" w:rsidRDefault="00EF4037" w:rsidP="00EF4037">
      <w:pPr>
        <w:pStyle w:val="ListParagraph"/>
        <w:tabs>
          <w:tab w:val="left" w:pos="2127"/>
        </w:tabs>
        <w:ind w:left="0" w:right="19"/>
        <w:jc w:val="both"/>
        <w:rPr>
          <w:rFonts w:asciiTheme="majorBidi" w:hAnsiTheme="majorBidi" w:cstheme="majorBidi"/>
          <w:sz w:val="24"/>
          <w:szCs w:val="24"/>
        </w:rPr>
      </w:pPr>
    </w:p>
    <w:p w:rsidR="00EF4037" w:rsidRPr="00AE23C0" w:rsidRDefault="00EF4037" w:rsidP="00EF4037">
      <w:pPr>
        <w:pStyle w:val="ListParagraph"/>
        <w:tabs>
          <w:tab w:val="left" w:pos="2127"/>
        </w:tabs>
        <w:ind w:left="0" w:right="19"/>
        <w:jc w:val="both"/>
        <w:rPr>
          <w:rFonts w:asciiTheme="majorBidi" w:hAnsiTheme="majorBidi" w:cstheme="majorBidi"/>
          <w:sz w:val="24"/>
          <w:szCs w:val="24"/>
        </w:rPr>
      </w:pPr>
      <w:r w:rsidRPr="00AE23C0">
        <w:rPr>
          <w:rFonts w:asciiTheme="majorBidi" w:hAnsiTheme="majorBidi" w:cstheme="majorBidi"/>
          <w:sz w:val="24"/>
          <w:szCs w:val="24"/>
        </w:rPr>
        <w:t xml:space="preserve">Successful rebels which during hostilities became more organized, may represent the de facto government of the state. </w:t>
      </w:r>
    </w:p>
    <w:p w:rsidR="00EF4037" w:rsidRPr="00AE23C0" w:rsidRDefault="00EF4037" w:rsidP="00EF4037">
      <w:pPr>
        <w:tabs>
          <w:tab w:val="left" w:pos="2127"/>
        </w:tabs>
        <w:ind w:right="19"/>
        <w:jc w:val="both"/>
        <w:rPr>
          <w:rFonts w:asciiTheme="majorBidi" w:hAnsiTheme="majorBidi" w:cstheme="majorBidi"/>
          <w:sz w:val="24"/>
          <w:szCs w:val="24"/>
        </w:rPr>
      </w:pPr>
      <w:r w:rsidRPr="00AE23C0">
        <w:rPr>
          <w:rFonts w:asciiTheme="majorBidi" w:hAnsiTheme="majorBidi" w:cstheme="majorBidi"/>
          <w:i/>
          <w:iCs/>
          <w:sz w:val="24"/>
          <w:szCs w:val="24"/>
        </w:rPr>
        <w:t>De facto regimes</w:t>
      </w:r>
      <w:r w:rsidRPr="00AE23C0">
        <w:rPr>
          <w:rFonts w:asciiTheme="majorBidi" w:hAnsiTheme="majorBidi" w:cstheme="majorBidi"/>
          <w:sz w:val="24"/>
          <w:szCs w:val="24"/>
        </w:rPr>
        <w:t xml:space="preserve"> (DFRs) are entities which exercise at least some effective authority over a territory within a State.</w:t>
      </w:r>
      <w:r w:rsidRPr="00AE23C0">
        <w:rPr>
          <w:rStyle w:val="FootnoteReference"/>
          <w:rFonts w:asciiTheme="majorBidi" w:hAnsiTheme="majorBidi"/>
          <w:sz w:val="24"/>
          <w:szCs w:val="24"/>
        </w:rPr>
        <w:footnoteReference w:id="71"/>
      </w:r>
      <w:r w:rsidRPr="00AE23C0">
        <w:rPr>
          <w:rFonts w:asciiTheme="majorBidi" w:hAnsiTheme="majorBidi" w:cstheme="majorBidi"/>
          <w:sz w:val="24"/>
          <w:szCs w:val="24"/>
        </w:rPr>
        <w:t xml:space="preserve"> Kelsen adds the subjective element of “the goal of being recognized by international community” as the official government of the State.</w:t>
      </w:r>
      <w:r w:rsidRPr="00AE23C0">
        <w:rPr>
          <w:rStyle w:val="FootnoteReference"/>
          <w:rFonts w:asciiTheme="majorBidi" w:hAnsiTheme="majorBidi"/>
          <w:sz w:val="24"/>
          <w:szCs w:val="24"/>
        </w:rPr>
        <w:footnoteReference w:id="72"/>
      </w:r>
      <w:r w:rsidRPr="00AE23C0">
        <w:rPr>
          <w:rFonts w:asciiTheme="majorBidi" w:hAnsiTheme="majorBidi" w:cstheme="majorBidi"/>
          <w:sz w:val="24"/>
          <w:szCs w:val="24"/>
        </w:rPr>
        <w:t xml:space="preserve"> Essen highlights that a DFR is an entity which is not recognized as “the official government </w:t>
      </w:r>
      <w:r w:rsidRPr="00AE23C0">
        <w:rPr>
          <w:rFonts w:asciiTheme="majorBidi" w:hAnsiTheme="majorBidi" w:cstheme="majorBidi"/>
          <w:sz w:val="24"/>
          <w:szCs w:val="24"/>
        </w:rPr>
        <w:lastRenderedPageBreak/>
        <w:t>of the State” by the international community yet.</w:t>
      </w:r>
      <w:r w:rsidRPr="00AE23C0">
        <w:rPr>
          <w:rStyle w:val="FootnoteReference"/>
          <w:rFonts w:asciiTheme="majorBidi" w:hAnsiTheme="majorBidi"/>
          <w:sz w:val="24"/>
          <w:szCs w:val="24"/>
        </w:rPr>
        <w:footnoteReference w:id="73"/>
      </w:r>
      <w:r w:rsidRPr="00AE23C0">
        <w:rPr>
          <w:rFonts w:asciiTheme="majorBidi" w:hAnsiTheme="majorBidi" w:cstheme="majorBidi"/>
          <w:sz w:val="24"/>
          <w:szCs w:val="24"/>
        </w:rPr>
        <w:t xml:space="preserve"> Curtis refers the objective element of DFRs and that is non-electoral basis of them. In his definition </w:t>
      </w:r>
      <w:r w:rsidRPr="00AE23C0">
        <w:rPr>
          <w:rFonts w:asciiTheme="majorBidi" w:hAnsiTheme="majorBidi" w:cstheme="majorBidi"/>
          <w:i/>
          <w:iCs/>
          <w:sz w:val="24"/>
          <w:szCs w:val="24"/>
        </w:rPr>
        <w:t>de facto governments are unauthorized forces which are constituted without the expressed consent of the governed people.</w:t>
      </w:r>
      <w:r w:rsidRPr="00AE23C0">
        <w:rPr>
          <w:rStyle w:val="FootnoteReference"/>
          <w:rFonts w:asciiTheme="majorBidi" w:hAnsiTheme="majorBidi"/>
          <w:sz w:val="24"/>
          <w:szCs w:val="24"/>
        </w:rPr>
        <w:footnoteReference w:id="74"/>
      </w:r>
    </w:p>
    <w:p w:rsidR="00EF4037" w:rsidRPr="00AE23C0" w:rsidRDefault="00EF4037" w:rsidP="00EF4037">
      <w:pPr>
        <w:tabs>
          <w:tab w:val="left" w:pos="2127"/>
        </w:tabs>
        <w:ind w:right="19"/>
        <w:jc w:val="both"/>
        <w:rPr>
          <w:rFonts w:asciiTheme="majorBidi" w:hAnsiTheme="majorBidi" w:cstheme="majorBidi"/>
          <w:sz w:val="24"/>
          <w:szCs w:val="24"/>
          <w:rtl/>
        </w:rPr>
      </w:pPr>
      <w:r w:rsidRPr="00AE23C0">
        <w:rPr>
          <w:rFonts w:asciiTheme="majorBidi" w:hAnsiTheme="majorBidi" w:cstheme="majorBidi"/>
          <w:sz w:val="24"/>
          <w:szCs w:val="24"/>
        </w:rPr>
        <w:t xml:space="preserve">One can conclude that DFRs are unauthorized organized forces which control some or all parts of the territory of a State with the goal of being recognized as the official government of that State, yet not recognized by the international community. </w:t>
      </w:r>
    </w:p>
    <w:p w:rsidR="00EF4037" w:rsidRPr="00AE23C0" w:rsidRDefault="00EF4037" w:rsidP="00EF4037">
      <w:pPr>
        <w:tabs>
          <w:tab w:val="left" w:pos="2127"/>
        </w:tabs>
        <w:ind w:right="19"/>
        <w:jc w:val="both"/>
        <w:rPr>
          <w:rFonts w:asciiTheme="majorBidi" w:hAnsiTheme="majorBidi" w:cstheme="majorBidi"/>
          <w:b/>
          <w:bCs/>
          <w:sz w:val="24"/>
          <w:szCs w:val="24"/>
        </w:rPr>
      </w:pPr>
      <w:r w:rsidRPr="00AE23C0">
        <w:rPr>
          <w:rFonts w:asciiTheme="majorBidi" w:hAnsiTheme="majorBidi" w:cstheme="majorBidi"/>
          <w:b/>
          <w:bCs/>
          <w:sz w:val="24"/>
          <w:szCs w:val="24"/>
        </w:rPr>
        <w:t>First element DFRs: Organized Armed Forces</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 xml:space="preserve">A rebel group in order to be recognized as the </w:t>
      </w:r>
      <w:r w:rsidRPr="00AE23C0">
        <w:rPr>
          <w:rFonts w:asciiTheme="majorBidi" w:hAnsiTheme="majorBidi" w:cstheme="majorBidi"/>
          <w:i/>
          <w:iCs/>
          <w:sz w:val="24"/>
          <w:szCs w:val="24"/>
        </w:rPr>
        <w:t>de facto</w:t>
      </w:r>
      <w:r w:rsidRPr="00AE23C0">
        <w:rPr>
          <w:rFonts w:asciiTheme="majorBidi" w:hAnsiTheme="majorBidi" w:cstheme="majorBidi"/>
          <w:sz w:val="24"/>
          <w:szCs w:val="24"/>
        </w:rPr>
        <w:t xml:space="preserve"> government of a State shall be organized</w:t>
      </w:r>
      <w:r w:rsidRPr="00AE23C0">
        <w:rPr>
          <w:rStyle w:val="FootnoteReference"/>
          <w:rFonts w:asciiTheme="majorBidi" w:hAnsiTheme="majorBidi"/>
          <w:sz w:val="24"/>
          <w:szCs w:val="24"/>
        </w:rPr>
        <w:footnoteReference w:id="75"/>
      </w:r>
      <w:r w:rsidRPr="00AE23C0">
        <w:rPr>
          <w:rFonts w:asciiTheme="majorBidi" w:hAnsiTheme="majorBidi" w:cstheme="majorBidi"/>
          <w:sz w:val="24"/>
          <w:szCs w:val="24"/>
        </w:rPr>
        <w:t xml:space="preserve"> because every armed group such as clans, sub-clans, factions and other unlawful combatants are not organized forces under IHL. Even if unlawful combatants occupy and control some parts of the land, they don’t have a chance to be recognized as de facto government of the State unless they are organized.</w:t>
      </w:r>
      <w:r>
        <w:rPr>
          <w:rStyle w:val="FootnoteReference"/>
          <w:rFonts w:asciiTheme="majorBidi" w:hAnsiTheme="majorBidi" w:cstheme="majorBidi"/>
          <w:sz w:val="24"/>
          <w:szCs w:val="24"/>
        </w:rPr>
        <w:footnoteReference w:id="76"/>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lastRenderedPageBreak/>
        <w:t xml:space="preserve">It is evident that any social </w:t>
      </w:r>
      <w:r w:rsidR="00DF6550" w:rsidRPr="00AE23C0">
        <w:rPr>
          <w:rFonts w:asciiTheme="majorBidi" w:hAnsiTheme="majorBidi" w:cstheme="majorBidi"/>
          <w:sz w:val="24"/>
          <w:szCs w:val="24"/>
        </w:rPr>
        <w:t>group,</w:t>
      </w:r>
      <w:r w:rsidRPr="00AE23C0">
        <w:rPr>
          <w:rFonts w:asciiTheme="majorBidi" w:hAnsiTheme="majorBidi" w:cstheme="majorBidi"/>
          <w:sz w:val="24"/>
          <w:szCs w:val="24"/>
        </w:rPr>
        <w:t xml:space="preserve"> official or non-official_ has some kind of organization and division of responsibilities among members. So exactly what is the meaning of “organized armed group” under IHL? Article 43 of the Protocol Additional I to the Geneva Conventions of 12 August 1949, refers to “organized armed group” as to be “under responsible command”.</w:t>
      </w:r>
      <w:r w:rsidRPr="00AE23C0">
        <w:rPr>
          <w:rStyle w:val="FootnoteReference"/>
          <w:rFonts w:asciiTheme="majorBidi" w:hAnsiTheme="majorBidi" w:cstheme="majorBidi"/>
          <w:sz w:val="24"/>
          <w:szCs w:val="24"/>
        </w:rPr>
        <w:footnoteReference w:id="77"/>
      </w:r>
      <w:r w:rsidRPr="00AE23C0">
        <w:rPr>
          <w:rFonts w:asciiTheme="majorBidi" w:hAnsiTheme="majorBidi" w:cstheme="majorBidi"/>
          <w:sz w:val="24"/>
          <w:szCs w:val="24"/>
        </w:rPr>
        <w:t xml:space="preserve"> </w:t>
      </w:r>
      <w:r>
        <w:rPr>
          <w:rFonts w:asciiTheme="majorBidi" w:hAnsiTheme="majorBidi" w:cstheme="majorBidi"/>
          <w:sz w:val="24"/>
          <w:szCs w:val="24"/>
        </w:rPr>
        <w:t>According to</w:t>
      </w:r>
      <w:r w:rsidRPr="00AE23C0">
        <w:rPr>
          <w:rFonts w:asciiTheme="majorBidi" w:hAnsiTheme="majorBidi" w:cstheme="majorBidi"/>
          <w:sz w:val="24"/>
          <w:szCs w:val="24"/>
        </w:rPr>
        <w:t xml:space="preserve"> ICRC “the existence of a responsible command implies some degree of organization”</w:t>
      </w:r>
      <w:r w:rsidRPr="00AE23C0">
        <w:rPr>
          <w:rStyle w:val="FootnoteReference"/>
          <w:rFonts w:asciiTheme="majorBidi" w:hAnsiTheme="majorBidi" w:cstheme="majorBidi"/>
          <w:sz w:val="24"/>
          <w:szCs w:val="24"/>
        </w:rPr>
        <w:footnoteReference w:id="78"/>
      </w:r>
      <w:r w:rsidRPr="00AE23C0">
        <w:rPr>
          <w:rFonts w:asciiTheme="majorBidi" w:hAnsiTheme="majorBidi" w:cstheme="majorBidi"/>
          <w:sz w:val="24"/>
          <w:szCs w:val="24"/>
        </w:rPr>
        <w:t xml:space="preserve"> … it means that the organization is capable of carrying out concerted military operations and “imposing discipline in the name of a de facto authority”.</w:t>
      </w:r>
      <w:r w:rsidRPr="00AE23C0">
        <w:rPr>
          <w:rStyle w:val="FootnoteReference"/>
          <w:rFonts w:asciiTheme="majorBidi" w:hAnsiTheme="majorBidi"/>
          <w:sz w:val="24"/>
          <w:szCs w:val="24"/>
        </w:rPr>
        <w:footnoteReference w:id="79"/>
      </w:r>
      <w:r w:rsidRPr="00AE23C0">
        <w:rPr>
          <w:rFonts w:asciiTheme="majorBidi" w:hAnsiTheme="majorBidi" w:cstheme="majorBidi"/>
          <w:sz w:val="24"/>
          <w:szCs w:val="24"/>
        </w:rPr>
        <w:t xml:space="preserve"> There is a point that this criterion cannot separate insurgents from terrorists because terrorist groups are sometimes highly organized. </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 xml:space="preserve">Article 4 of the Third Geneva Convention adds three criteria to the elements which distinguish organized groups of terrorists and other unlawful combatant. According to Article 4 an organized group shall: </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i. Be under the command of a person responsible for his subordinates</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ii.</w:t>
      </w:r>
      <w:r w:rsidR="00DF6550">
        <w:rPr>
          <w:rFonts w:asciiTheme="majorBidi" w:hAnsiTheme="majorBidi" w:cstheme="majorBidi"/>
          <w:sz w:val="24"/>
          <w:szCs w:val="24"/>
        </w:rPr>
        <w:t xml:space="preserve"> </w:t>
      </w:r>
      <w:r w:rsidRPr="00AE23C0">
        <w:rPr>
          <w:rFonts w:asciiTheme="majorBidi" w:hAnsiTheme="majorBidi" w:cstheme="majorBidi"/>
          <w:sz w:val="24"/>
          <w:szCs w:val="24"/>
        </w:rPr>
        <w:t>Carry arms openly</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lastRenderedPageBreak/>
        <w:t>iii.</w:t>
      </w:r>
      <w:r w:rsidR="00DF6550">
        <w:rPr>
          <w:rFonts w:asciiTheme="majorBidi" w:hAnsiTheme="majorBidi" w:cstheme="majorBidi"/>
          <w:sz w:val="24"/>
          <w:szCs w:val="24"/>
        </w:rPr>
        <w:t xml:space="preserve"> </w:t>
      </w:r>
      <w:r w:rsidRPr="00AE23C0">
        <w:rPr>
          <w:rFonts w:asciiTheme="majorBidi" w:hAnsiTheme="majorBidi" w:cstheme="majorBidi"/>
          <w:sz w:val="24"/>
          <w:szCs w:val="24"/>
        </w:rPr>
        <w:t xml:space="preserve">Have a fixed distinctive sign recognizable at a distance </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iv. To conduct their operations in accordance with the laws and customs of war</w:t>
      </w:r>
      <w:r>
        <w:rPr>
          <w:rFonts w:asciiTheme="majorBidi" w:hAnsiTheme="majorBidi" w:cstheme="majorBidi"/>
          <w:sz w:val="24"/>
          <w:szCs w:val="24"/>
        </w:rPr>
        <w:t xml:space="preserve">. </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In the case of Libya the rebel forces become organized in early stages of the conflict</w:t>
      </w:r>
      <w:r w:rsidRPr="00AE23C0">
        <w:rPr>
          <w:rStyle w:val="FootnoteReference"/>
          <w:rFonts w:asciiTheme="majorBidi" w:hAnsiTheme="majorBidi"/>
          <w:sz w:val="24"/>
          <w:szCs w:val="24"/>
        </w:rPr>
        <w:footnoteReference w:id="80"/>
      </w:r>
      <w:r w:rsidRPr="00AE23C0">
        <w:rPr>
          <w:rFonts w:asciiTheme="majorBidi" w:hAnsiTheme="majorBidi" w:cstheme="majorBidi"/>
          <w:sz w:val="24"/>
          <w:szCs w:val="24"/>
        </w:rPr>
        <w:t>. The former army officers who joined the revolution by 27</w:t>
      </w:r>
      <w:r w:rsidRPr="00AE23C0">
        <w:rPr>
          <w:rFonts w:asciiTheme="majorBidi" w:hAnsiTheme="majorBidi" w:cstheme="majorBidi"/>
          <w:sz w:val="24"/>
          <w:szCs w:val="24"/>
          <w:vertAlign w:val="superscript"/>
        </w:rPr>
        <w:t>th</w:t>
      </w:r>
      <w:r w:rsidRPr="00AE23C0">
        <w:rPr>
          <w:rFonts w:asciiTheme="majorBidi" w:hAnsiTheme="majorBidi" w:cstheme="majorBidi"/>
          <w:sz w:val="24"/>
          <w:szCs w:val="24"/>
        </w:rPr>
        <w:t xml:space="preserve"> of February 2011 </w:t>
      </w:r>
      <w:r w:rsidRPr="00AE23C0">
        <w:rPr>
          <w:rStyle w:val="FootnoteReference"/>
          <w:rFonts w:asciiTheme="majorBidi" w:hAnsiTheme="majorBidi"/>
          <w:sz w:val="24"/>
          <w:szCs w:val="24"/>
        </w:rPr>
        <w:footnoteReference w:id="81"/>
      </w:r>
      <w:r w:rsidRPr="00AE23C0">
        <w:rPr>
          <w:rFonts w:asciiTheme="majorBidi" w:hAnsiTheme="majorBidi" w:cstheme="majorBidi"/>
          <w:sz w:val="24"/>
          <w:szCs w:val="24"/>
        </w:rPr>
        <w:t xml:space="preserve"> played a great role in organizing the insurgents.</w:t>
      </w:r>
      <w:r w:rsidRPr="00AE23C0">
        <w:rPr>
          <w:rStyle w:val="FootnoteReference"/>
          <w:rFonts w:asciiTheme="majorBidi" w:hAnsiTheme="majorBidi"/>
          <w:sz w:val="24"/>
          <w:szCs w:val="24"/>
        </w:rPr>
        <w:footnoteReference w:id="82"/>
      </w:r>
      <w:r w:rsidRPr="00AE23C0">
        <w:rPr>
          <w:rFonts w:asciiTheme="majorBidi" w:hAnsiTheme="majorBidi" w:cstheme="majorBidi"/>
          <w:sz w:val="24"/>
          <w:szCs w:val="24"/>
        </w:rPr>
        <w:t xml:space="preserve"> Actually Libyan NTC itself is the symbol of organized armed forces and its formation provided a strong proof of the existence of ranking and discipline among Libyan insurgents.</w:t>
      </w:r>
    </w:p>
    <w:p w:rsidR="00EF4037" w:rsidRPr="00AE23C0" w:rsidRDefault="00EF4037" w:rsidP="00EF4037">
      <w:pPr>
        <w:ind w:right="19"/>
        <w:jc w:val="both"/>
        <w:rPr>
          <w:rFonts w:asciiTheme="majorBidi" w:hAnsiTheme="majorBidi" w:cstheme="majorBidi"/>
          <w:b/>
          <w:bCs/>
          <w:sz w:val="24"/>
          <w:szCs w:val="24"/>
        </w:rPr>
      </w:pPr>
      <w:r w:rsidRPr="00AE23C0">
        <w:rPr>
          <w:rFonts w:asciiTheme="majorBidi" w:hAnsiTheme="majorBidi" w:cstheme="majorBidi"/>
          <w:b/>
          <w:bCs/>
          <w:sz w:val="24"/>
          <w:szCs w:val="24"/>
        </w:rPr>
        <w:t>Second element: Effective Control</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 xml:space="preserve">An organized military group in order to be recognized as the </w:t>
      </w:r>
      <w:r w:rsidRPr="00AE23C0">
        <w:rPr>
          <w:rFonts w:asciiTheme="majorBidi" w:hAnsiTheme="majorBidi" w:cstheme="majorBidi"/>
          <w:i/>
          <w:iCs/>
          <w:sz w:val="24"/>
          <w:szCs w:val="24"/>
        </w:rPr>
        <w:t>de facto</w:t>
      </w:r>
      <w:r w:rsidRPr="00AE23C0">
        <w:rPr>
          <w:rFonts w:asciiTheme="majorBidi" w:hAnsiTheme="majorBidi" w:cstheme="majorBidi"/>
          <w:sz w:val="24"/>
          <w:szCs w:val="24"/>
        </w:rPr>
        <w:t xml:space="preserve"> government shall control the territory effectively. An exercise of “effective control” is the primary criterion for a de facto government.</w:t>
      </w:r>
      <w:r w:rsidRPr="00AE23C0">
        <w:rPr>
          <w:rStyle w:val="FootnoteReference"/>
          <w:rFonts w:asciiTheme="majorBidi" w:hAnsiTheme="majorBidi"/>
          <w:sz w:val="24"/>
          <w:szCs w:val="24"/>
        </w:rPr>
        <w:footnoteReference w:id="83"/>
      </w:r>
      <w:r w:rsidRPr="00AE23C0">
        <w:rPr>
          <w:rFonts w:asciiTheme="majorBidi" w:hAnsiTheme="majorBidi" w:cstheme="majorBidi"/>
          <w:sz w:val="24"/>
          <w:szCs w:val="24"/>
        </w:rPr>
        <w:t xml:space="preserve"> It is a fact that “recognition” is a political act and </w:t>
      </w:r>
      <w:r w:rsidRPr="00AE23C0">
        <w:rPr>
          <w:rFonts w:asciiTheme="majorBidi" w:hAnsiTheme="majorBidi" w:cstheme="majorBidi"/>
          <w:sz w:val="24"/>
          <w:szCs w:val="24"/>
        </w:rPr>
        <w:lastRenderedPageBreak/>
        <w:t xml:space="preserve">the recognizing authority itself assesses “effective control” but it does not mean there is no criterion for distinguishing it. </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Effective control requires permanent military or physical presence of insurgents in the territory. Wolfrum and Philipp reiterate that the physical presence shall not be “of a temporary nature”.</w:t>
      </w:r>
      <w:r w:rsidRPr="00AE23C0">
        <w:rPr>
          <w:rStyle w:val="FootnoteReference"/>
          <w:rFonts w:asciiTheme="majorBidi" w:hAnsiTheme="majorBidi"/>
          <w:sz w:val="24"/>
          <w:szCs w:val="24"/>
        </w:rPr>
        <w:footnoteReference w:id="84"/>
      </w:r>
      <w:r w:rsidRPr="00AE23C0">
        <w:rPr>
          <w:rFonts w:asciiTheme="majorBidi" w:hAnsiTheme="majorBidi" w:cstheme="majorBidi"/>
          <w:sz w:val="24"/>
          <w:szCs w:val="24"/>
        </w:rPr>
        <w:t xml:space="preserve"> In other words insurgents cannot claim their effective control over the areas which war is still going on. </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 xml:space="preserve">The level of control is different from case to case. In international law </w:t>
      </w:r>
      <w:r>
        <w:rPr>
          <w:rFonts w:asciiTheme="majorBidi" w:hAnsiTheme="majorBidi" w:cstheme="majorBidi"/>
          <w:sz w:val="24"/>
          <w:szCs w:val="24"/>
        </w:rPr>
        <w:t xml:space="preserve">, the Strasbourg Court has defined </w:t>
      </w:r>
      <w:r w:rsidRPr="00AE23C0">
        <w:rPr>
          <w:rFonts w:asciiTheme="majorBidi" w:hAnsiTheme="majorBidi" w:cstheme="majorBidi"/>
          <w:sz w:val="24"/>
          <w:szCs w:val="24"/>
        </w:rPr>
        <w:t>“effective control”</w:t>
      </w:r>
      <w:r>
        <w:rPr>
          <w:rFonts w:asciiTheme="majorBidi" w:hAnsiTheme="majorBidi" w:cstheme="majorBidi"/>
          <w:sz w:val="24"/>
          <w:szCs w:val="24"/>
        </w:rPr>
        <w:t xml:space="preserve"> as “ultimate authority and control”</w:t>
      </w:r>
      <w:r w:rsidRPr="00AE23C0">
        <w:rPr>
          <w:rFonts w:asciiTheme="majorBidi" w:hAnsiTheme="majorBidi" w:cstheme="majorBidi"/>
          <w:sz w:val="24"/>
          <w:szCs w:val="24"/>
        </w:rPr>
        <w:t>.</w:t>
      </w:r>
      <w:r w:rsidRPr="00AE23C0">
        <w:rPr>
          <w:rStyle w:val="FootnoteReference"/>
          <w:rFonts w:asciiTheme="majorBidi" w:hAnsiTheme="majorBidi"/>
          <w:sz w:val="24"/>
          <w:szCs w:val="24"/>
        </w:rPr>
        <w:footnoteReference w:id="85"/>
      </w:r>
      <w:r w:rsidRPr="00AE23C0">
        <w:rPr>
          <w:rFonts w:asciiTheme="majorBidi" w:hAnsiTheme="majorBidi" w:cstheme="majorBidi"/>
          <w:sz w:val="24"/>
          <w:szCs w:val="24"/>
        </w:rPr>
        <w:t xml:space="preserve"> The highest degree of control is the one which is conjugated with popular support. Malcom Shaw says the mere control over the territory is not enough for effective control and the rebels shall administer the people and properties within the land.</w:t>
      </w:r>
      <w:r w:rsidRPr="00AE23C0">
        <w:rPr>
          <w:rStyle w:val="FootnoteReference"/>
          <w:rFonts w:asciiTheme="majorBidi" w:hAnsiTheme="majorBidi"/>
          <w:sz w:val="24"/>
          <w:szCs w:val="24"/>
        </w:rPr>
        <w:footnoteReference w:id="86"/>
      </w:r>
      <w:r w:rsidRPr="00AE23C0">
        <w:rPr>
          <w:rFonts w:asciiTheme="majorBidi" w:hAnsiTheme="majorBidi" w:cstheme="majorBidi"/>
          <w:sz w:val="24"/>
          <w:szCs w:val="24"/>
        </w:rPr>
        <w:t xml:space="preserve"> Taft says effective control is not just having a permanent military presence in the territory but “popular support” is al</w:t>
      </w:r>
      <w:r>
        <w:rPr>
          <w:rFonts w:asciiTheme="majorBidi" w:hAnsiTheme="majorBidi" w:cstheme="majorBidi"/>
          <w:sz w:val="24"/>
          <w:szCs w:val="24"/>
        </w:rPr>
        <w:t>so a fundamental element.</w:t>
      </w:r>
      <w:r w:rsidRPr="00AE23C0">
        <w:rPr>
          <w:rStyle w:val="FootnoteReference"/>
          <w:rFonts w:asciiTheme="majorBidi" w:hAnsiTheme="majorBidi"/>
          <w:sz w:val="24"/>
          <w:szCs w:val="24"/>
        </w:rPr>
        <w:footnoteReference w:id="87"/>
      </w:r>
      <w:r w:rsidRPr="00AE23C0">
        <w:rPr>
          <w:rFonts w:asciiTheme="majorBidi" w:hAnsiTheme="majorBidi" w:cstheme="majorBidi"/>
          <w:sz w:val="24"/>
          <w:szCs w:val="24"/>
        </w:rPr>
        <w:t xml:space="preserve"> Here arises a question; concerning the fact that </w:t>
      </w:r>
      <w:r w:rsidRPr="00AE23C0">
        <w:rPr>
          <w:rFonts w:asciiTheme="majorBidi" w:hAnsiTheme="majorBidi" w:cstheme="majorBidi"/>
          <w:i/>
          <w:iCs/>
          <w:sz w:val="24"/>
          <w:szCs w:val="24"/>
        </w:rPr>
        <w:t>de facto</w:t>
      </w:r>
      <w:r w:rsidRPr="00AE23C0">
        <w:rPr>
          <w:rFonts w:asciiTheme="majorBidi" w:hAnsiTheme="majorBidi" w:cstheme="majorBidi"/>
          <w:sz w:val="24"/>
          <w:szCs w:val="24"/>
        </w:rPr>
        <w:t xml:space="preserve"> governments have no electoral mandate, </w:t>
      </w:r>
      <w:r w:rsidRPr="00AE23C0">
        <w:rPr>
          <w:rFonts w:asciiTheme="majorBidi" w:hAnsiTheme="majorBidi" w:cstheme="majorBidi"/>
          <w:sz w:val="24"/>
          <w:szCs w:val="24"/>
        </w:rPr>
        <w:lastRenderedPageBreak/>
        <w:t xml:space="preserve">how can one discern the existence of popular support? </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In an intra-State war, two main armed groups are fighting each other</w:t>
      </w:r>
      <w:r w:rsidRPr="00AE23C0">
        <w:rPr>
          <w:rStyle w:val="FootnoteReference"/>
          <w:rFonts w:asciiTheme="majorBidi" w:hAnsiTheme="majorBidi"/>
          <w:sz w:val="24"/>
          <w:szCs w:val="24"/>
        </w:rPr>
        <w:footnoteReference w:id="88"/>
      </w:r>
      <w:r w:rsidRPr="00AE23C0">
        <w:rPr>
          <w:rFonts w:asciiTheme="majorBidi" w:hAnsiTheme="majorBidi" w:cstheme="majorBidi"/>
          <w:sz w:val="24"/>
          <w:szCs w:val="24"/>
        </w:rPr>
        <w:t>. It is evident that the abuse of civilians by one side will increase the legitimacy of the other side</w:t>
      </w:r>
      <w:r w:rsidRPr="00AE23C0">
        <w:rPr>
          <w:rStyle w:val="FootnoteReference"/>
          <w:rFonts w:asciiTheme="majorBidi" w:hAnsiTheme="majorBidi"/>
          <w:sz w:val="24"/>
          <w:szCs w:val="24"/>
        </w:rPr>
        <w:footnoteReference w:id="89"/>
      </w:r>
      <w:r w:rsidRPr="00AE23C0">
        <w:rPr>
          <w:rFonts w:asciiTheme="majorBidi" w:hAnsiTheme="majorBidi" w:cstheme="majorBidi"/>
          <w:sz w:val="24"/>
          <w:szCs w:val="24"/>
        </w:rPr>
        <w:t xml:space="preserve">  because people have a natural tendency to avoid pain and suffering. </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 xml:space="preserve">In our opinion, the “popular support” is not an integral part of effective control. Of course the popular support of a rebel group increases the level of control but it is not a must. The sole permanent indisputable presence of insurgents in territory provides the bedrock of a de facto authority and it brings the rebels limited international personality and therefore international responsibility under IHL and IHRL. </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 xml:space="preserve">If we regard the element of “popular support” as a fundamental ingredient of “effective control” we have inadvertently excluded the majority of rebels from responsibility and allowed them to do whatever they want to do with the people under their control. As a principle of law, penal code shall be interpreted strictly based on the rule of “legality of crimes and punishments”. The strict interpretation of </w:t>
      </w:r>
      <w:r w:rsidRPr="00AE23C0">
        <w:rPr>
          <w:rFonts w:asciiTheme="majorBidi" w:hAnsiTheme="majorBidi" w:cstheme="majorBidi"/>
          <w:sz w:val="24"/>
          <w:szCs w:val="24"/>
        </w:rPr>
        <w:lastRenderedPageBreak/>
        <w:t xml:space="preserve">penal code shall not cause a gap in law in such a way that criminals find an opportunity to exclude themselves from legal jurisdiction. </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Military occupation of land accompanies control and power. With power comes responsibility. More power means more responsibilities. Occupation of land increases the power of rebel groups so their responsibility will also increase in parallel disregarding the existence of popular support. According to additional protocol of the Geneva Conventions 1977, IHL rule is applicable to intra-State wars but about the applicability of International Human Rights Law (IHRL) there are disputes. Occupation of land plus “exercising governmental functions”</w:t>
      </w:r>
      <w:r w:rsidRPr="00AE23C0">
        <w:rPr>
          <w:rStyle w:val="FootnoteReference"/>
          <w:rFonts w:asciiTheme="majorBidi" w:hAnsiTheme="majorBidi"/>
          <w:sz w:val="24"/>
          <w:szCs w:val="24"/>
        </w:rPr>
        <w:footnoteReference w:id="90"/>
      </w:r>
      <w:r w:rsidRPr="00AE23C0">
        <w:rPr>
          <w:rFonts w:asciiTheme="majorBidi" w:hAnsiTheme="majorBidi" w:cstheme="majorBidi"/>
          <w:sz w:val="24"/>
          <w:szCs w:val="24"/>
        </w:rPr>
        <w:t xml:space="preserve">, turns the armed group into “Governor”. The relationship between government and people is covered by human rights.  </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 xml:space="preserve">Back to the </w:t>
      </w:r>
      <w:r w:rsidR="00DF6550" w:rsidRPr="00AE23C0">
        <w:rPr>
          <w:rFonts w:asciiTheme="majorBidi" w:hAnsiTheme="majorBidi" w:cstheme="majorBidi"/>
          <w:sz w:val="24"/>
          <w:szCs w:val="24"/>
        </w:rPr>
        <w:t>Libyan</w:t>
      </w:r>
      <w:r w:rsidRPr="00AE23C0">
        <w:rPr>
          <w:rFonts w:asciiTheme="majorBidi" w:hAnsiTheme="majorBidi" w:cstheme="majorBidi"/>
          <w:sz w:val="24"/>
          <w:szCs w:val="24"/>
        </w:rPr>
        <w:t xml:space="preserve"> NTC, it never tried to exclude itself from responsibility and interestingly issued a statement and reiterated its obligations under IHL and IHRL rules</w:t>
      </w:r>
      <w:r w:rsidRPr="00AE23C0">
        <w:rPr>
          <w:rStyle w:val="FootnoteReference"/>
          <w:rFonts w:asciiTheme="majorBidi" w:hAnsiTheme="majorBidi"/>
          <w:sz w:val="24"/>
          <w:szCs w:val="24"/>
        </w:rPr>
        <w:footnoteReference w:id="91"/>
      </w:r>
      <w:r w:rsidRPr="00AE23C0">
        <w:rPr>
          <w:rFonts w:asciiTheme="majorBidi" w:hAnsiTheme="majorBidi" w:cstheme="majorBidi"/>
          <w:sz w:val="24"/>
          <w:szCs w:val="24"/>
        </w:rPr>
        <w:t xml:space="preserve">. Libyan NTC by declaring such a statement paved the way towards acquiring recognition as a </w:t>
      </w:r>
      <w:r w:rsidRPr="00AE23C0">
        <w:rPr>
          <w:rFonts w:asciiTheme="majorBidi" w:hAnsiTheme="majorBidi" w:cstheme="majorBidi"/>
          <w:i/>
          <w:iCs/>
          <w:sz w:val="24"/>
          <w:szCs w:val="24"/>
        </w:rPr>
        <w:t>de facto</w:t>
      </w:r>
      <w:r w:rsidRPr="00AE23C0">
        <w:rPr>
          <w:rFonts w:asciiTheme="majorBidi" w:hAnsiTheme="majorBidi" w:cstheme="majorBidi"/>
          <w:sz w:val="24"/>
          <w:szCs w:val="24"/>
        </w:rPr>
        <w:t xml:space="preserve"> government (at the first resort) and then de jure government of Libya. </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 xml:space="preserve">Anyhow, in the case of Libyan NTC, insurgents got limited control to the eastern </w:t>
      </w:r>
      <w:r w:rsidRPr="00AE23C0">
        <w:rPr>
          <w:rFonts w:asciiTheme="majorBidi" w:hAnsiTheme="majorBidi" w:cstheme="majorBidi"/>
          <w:sz w:val="24"/>
          <w:szCs w:val="24"/>
        </w:rPr>
        <w:lastRenderedPageBreak/>
        <w:t>parts of Libya at the early stages of the conflict.</w:t>
      </w:r>
      <w:r w:rsidRPr="00AE23C0">
        <w:rPr>
          <w:rStyle w:val="FootnoteReference"/>
          <w:rFonts w:asciiTheme="majorBidi" w:hAnsiTheme="majorBidi"/>
          <w:sz w:val="24"/>
          <w:szCs w:val="24"/>
        </w:rPr>
        <w:footnoteReference w:id="92"/>
      </w:r>
      <w:r w:rsidRPr="00AE23C0">
        <w:rPr>
          <w:rFonts w:asciiTheme="majorBidi" w:hAnsiTheme="majorBidi" w:cstheme="majorBidi"/>
          <w:sz w:val="24"/>
          <w:szCs w:val="24"/>
        </w:rPr>
        <w:t xml:space="preserve"> Thus, NTC had the primary condition of being recognized as a local </w:t>
      </w:r>
      <w:r w:rsidRPr="00AE23C0">
        <w:rPr>
          <w:rFonts w:asciiTheme="majorBidi" w:hAnsiTheme="majorBidi" w:cstheme="majorBidi"/>
          <w:i/>
          <w:iCs/>
          <w:sz w:val="24"/>
          <w:szCs w:val="24"/>
        </w:rPr>
        <w:t>de facto</w:t>
      </w:r>
      <w:r w:rsidRPr="00AE23C0">
        <w:rPr>
          <w:rFonts w:asciiTheme="majorBidi" w:hAnsiTheme="majorBidi" w:cstheme="majorBidi"/>
          <w:sz w:val="24"/>
          <w:szCs w:val="24"/>
        </w:rPr>
        <w:t xml:space="preserve"> government and it extended its control over all parts of the territory of Libya within eight months.</w:t>
      </w:r>
      <w:r w:rsidRPr="00AE23C0">
        <w:rPr>
          <w:rStyle w:val="FootnoteReference"/>
          <w:rFonts w:asciiTheme="majorBidi" w:hAnsiTheme="majorBidi"/>
          <w:sz w:val="24"/>
          <w:szCs w:val="24"/>
        </w:rPr>
        <w:footnoteReference w:id="93"/>
      </w:r>
      <w:r w:rsidRPr="00AE23C0">
        <w:rPr>
          <w:rFonts w:asciiTheme="majorBidi" w:hAnsiTheme="majorBidi" w:cstheme="majorBidi"/>
          <w:sz w:val="24"/>
          <w:szCs w:val="24"/>
        </w:rPr>
        <w:t xml:space="preserve"> NTC was formed by opposition forces which organized themselves after public demonstrations in February of 2011. Moreover, the </w:t>
      </w:r>
      <w:r w:rsidR="00DF6550" w:rsidRPr="00AE23C0">
        <w:rPr>
          <w:rFonts w:asciiTheme="majorBidi" w:hAnsiTheme="majorBidi" w:cstheme="majorBidi"/>
          <w:sz w:val="24"/>
          <w:szCs w:val="24"/>
        </w:rPr>
        <w:t>Gadhafi</w:t>
      </w:r>
      <w:r w:rsidRPr="00AE23C0">
        <w:rPr>
          <w:rFonts w:asciiTheme="majorBidi" w:hAnsiTheme="majorBidi" w:cstheme="majorBidi"/>
          <w:sz w:val="24"/>
          <w:szCs w:val="24"/>
        </w:rPr>
        <w:t xml:space="preserve"> forces abused the people of Libya so brutally that the League of Arab asked Security Council to create no fly zone areas in Libya.</w:t>
      </w:r>
      <w:r w:rsidRPr="00AE23C0">
        <w:rPr>
          <w:rStyle w:val="FootnoteReference"/>
          <w:rFonts w:asciiTheme="majorBidi" w:hAnsiTheme="majorBidi" w:cstheme="majorBidi"/>
          <w:sz w:val="24"/>
          <w:szCs w:val="24"/>
        </w:rPr>
        <w:footnoteReference w:id="94"/>
      </w:r>
      <w:r w:rsidRPr="00AE23C0">
        <w:rPr>
          <w:rFonts w:asciiTheme="majorBidi" w:hAnsiTheme="majorBidi" w:cstheme="majorBidi"/>
          <w:sz w:val="24"/>
          <w:szCs w:val="24"/>
        </w:rPr>
        <w:t xml:space="preserve"> In conclusion, the NTC was highly supported by Libyan people and had a high level of “effective control” in Libya. </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 xml:space="preserve">Besides the above mentioned constitutive elements of </w:t>
      </w:r>
      <w:r w:rsidRPr="00AE23C0">
        <w:rPr>
          <w:rFonts w:asciiTheme="majorBidi" w:hAnsiTheme="majorBidi" w:cstheme="majorBidi"/>
          <w:i/>
          <w:iCs/>
          <w:sz w:val="24"/>
          <w:szCs w:val="24"/>
        </w:rPr>
        <w:t>de facto</w:t>
      </w:r>
      <w:r w:rsidRPr="00AE23C0">
        <w:rPr>
          <w:rFonts w:asciiTheme="majorBidi" w:hAnsiTheme="majorBidi" w:cstheme="majorBidi"/>
          <w:sz w:val="24"/>
          <w:szCs w:val="24"/>
        </w:rPr>
        <w:t xml:space="preserve"> governments there are some emblems of the formation and existence of </w:t>
      </w:r>
      <w:r w:rsidRPr="00AE23C0">
        <w:rPr>
          <w:rFonts w:asciiTheme="majorBidi" w:hAnsiTheme="majorBidi" w:cstheme="majorBidi"/>
          <w:i/>
          <w:iCs/>
          <w:sz w:val="24"/>
          <w:szCs w:val="24"/>
        </w:rPr>
        <w:t>de facto</w:t>
      </w:r>
      <w:r w:rsidRPr="00AE23C0">
        <w:rPr>
          <w:rFonts w:asciiTheme="majorBidi" w:hAnsiTheme="majorBidi" w:cstheme="majorBidi"/>
          <w:sz w:val="24"/>
          <w:szCs w:val="24"/>
        </w:rPr>
        <w:t xml:space="preserve"> governments. In Dix case, US-Venezuela Commission</w:t>
      </w:r>
      <w:r w:rsidRPr="00AE23C0">
        <w:rPr>
          <w:rStyle w:val="FootnoteReference"/>
          <w:rFonts w:asciiTheme="majorBidi" w:hAnsiTheme="majorBidi"/>
          <w:sz w:val="24"/>
          <w:szCs w:val="24"/>
        </w:rPr>
        <w:footnoteReference w:id="95"/>
      </w:r>
      <w:r w:rsidRPr="00AE23C0">
        <w:rPr>
          <w:rFonts w:asciiTheme="majorBidi" w:hAnsiTheme="majorBidi" w:cstheme="majorBidi"/>
          <w:sz w:val="24"/>
          <w:szCs w:val="24"/>
        </w:rPr>
        <w:t xml:space="preserve"> </w:t>
      </w:r>
      <w:r w:rsidRPr="00AE23C0">
        <w:rPr>
          <w:rFonts w:asciiTheme="majorBidi" w:hAnsiTheme="majorBidi" w:cstheme="majorBidi"/>
          <w:sz w:val="24"/>
          <w:szCs w:val="24"/>
        </w:rPr>
        <w:lastRenderedPageBreak/>
        <w:t xml:space="preserve">highlighted that the success of a revolution provides certain proof of the formation of a </w:t>
      </w:r>
      <w:r w:rsidRPr="00AE23C0">
        <w:rPr>
          <w:rFonts w:asciiTheme="majorBidi" w:hAnsiTheme="majorBidi" w:cstheme="majorBidi"/>
          <w:i/>
          <w:iCs/>
          <w:sz w:val="24"/>
          <w:szCs w:val="24"/>
        </w:rPr>
        <w:t>de facto</w:t>
      </w:r>
      <w:r w:rsidRPr="00AE23C0">
        <w:rPr>
          <w:rFonts w:asciiTheme="majorBidi" w:hAnsiTheme="majorBidi" w:cstheme="majorBidi"/>
          <w:sz w:val="24"/>
          <w:szCs w:val="24"/>
        </w:rPr>
        <w:t xml:space="preserve"> government and international responsibility is attributable to it. Another factor for distinguishing </w:t>
      </w:r>
      <w:r w:rsidRPr="00AE23C0">
        <w:rPr>
          <w:rFonts w:asciiTheme="majorBidi" w:hAnsiTheme="majorBidi" w:cstheme="majorBidi"/>
          <w:i/>
          <w:iCs/>
          <w:sz w:val="24"/>
          <w:szCs w:val="24"/>
        </w:rPr>
        <w:t>de facto</w:t>
      </w:r>
      <w:r w:rsidRPr="00AE23C0">
        <w:rPr>
          <w:rFonts w:asciiTheme="majorBidi" w:hAnsiTheme="majorBidi" w:cstheme="majorBidi"/>
          <w:sz w:val="24"/>
          <w:szCs w:val="24"/>
        </w:rPr>
        <w:t xml:space="preserve"> governments is exercising functions of governments such as legislating and maintaining courts and judicial system</w:t>
      </w:r>
      <w:r w:rsidRPr="00AE23C0">
        <w:rPr>
          <w:rStyle w:val="FootnoteReference"/>
          <w:rFonts w:asciiTheme="majorBidi" w:hAnsiTheme="majorBidi"/>
          <w:sz w:val="24"/>
          <w:szCs w:val="24"/>
        </w:rPr>
        <w:footnoteReference w:id="96"/>
      </w:r>
      <w:r w:rsidRPr="00AE23C0">
        <w:rPr>
          <w:rFonts w:asciiTheme="majorBidi" w:hAnsiTheme="majorBidi" w:cstheme="majorBidi"/>
          <w:sz w:val="24"/>
          <w:szCs w:val="24"/>
        </w:rPr>
        <w:t xml:space="preserve">. </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Further, the Libyan NTC exercised executive authority before the formation of its interim government</w:t>
      </w:r>
      <w:r w:rsidRPr="00AE23C0">
        <w:rPr>
          <w:rStyle w:val="FootnoteReference"/>
          <w:rFonts w:asciiTheme="majorBidi" w:hAnsiTheme="majorBidi"/>
          <w:sz w:val="24"/>
          <w:szCs w:val="24"/>
        </w:rPr>
        <w:footnoteReference w:id="97"/>
      </w:r>
      <w:r w:rsidRPr="00AE23C0">
        <w:rPr>
          <w:rFonts w:asciiTheme="majorBidi" w:hAnsiTheme="majorBidi" w:cstheme="majorBidi"/>
          <w:sz w:val="24"/>
          <w:szCs w:val="24"/>
        </w:rPr>
        <w:t xml:space="preserve"> and reformed justice and security sector. </w:t>
      </w:r>
    </w:p>
    <w:p w:rsidR="00EF4037" w:rsidRPr="00AE23C0" w:rsidRDefault="00EF4037" w:rsidP="00EF4037">
      <w:pPr>
        <w:ind w:right="19"/>
        <w:jc w:val="both"/>
        <w:rPr>
          <w:rFonts w:asciiTheme="majorBidi" w:hAnsiTheme="majorBidi" w:cstheme="majorBidi"/>
        </w:rPr>
      </w:pPr>
      <w:r w:rsidRPr="00AE23C0">
        <w:rPr>
          <w:rFonts w:asciiTheme="majorBidi" w:hAnsiTheme="majorBidi" w:cstheme="majorBidi"/>
          <w:sz w:val="24"/>
          <w:szCs w:val="24"/>
        </w:rPr>
        <w:t xml:space="preserve">According to the provided facts there is no doubt that NTC entitled all constitutive and emblems of </w:t>
      </w:r>
      <w:r w:rsidRPr="00AE23C0">
        <w:rPr>
          <w:rFonts w:asciiTheme="majorBidi" w:hAnsiTheme="majorBidi" w:cstheme="majorBidi"/>
          <w:i/>
          <w:iCs/>
          <w:sz w:val="24"/>
          <w:szCs w:val="24"/>
        </w:rPr>
        <w:t>de facto</w:t>
      </w:r>
      <w:r w:rsidRPr="00AE23C0">
        <w:rPr>
          <w:rFonts w:asciiTheme="majorBidi" w:hAnsiTheme="majorBidi" w:cstheme="majorBidi"/>
          <w:sz w:val="24"/>
          <w:szCs w:val="24"/>
        </w:rPr>
        <w:t xml:space="preserve"> governments as it was recognized by more than 40 countries as </w:t>
      </w:r>
      <w:r w:rsidRPr="00AE23C0">
        <w:rPr>
          <w:rFonts w:asciiTheme="majorBidi" w:hAnsiTheme="majorBidi" w:cstheme="majorBidi"/>
          <w:i/>
          <w:iCs/>
          <w:sz w:val="24"/>
          <w:szCs w:val="24"/>
        </w:rPr>
        <w:t>de facto</w:t>
      </w:r>
      <w:r w:rsidRPr="00AE23C0">
        <w:rPr>
          <w:rFonts w:asciiTheme="majorBidi" w:hAnsiTheme="majorBidi" w:cstheme="majorBidi"/>
          <w:sz w:val="24"/>
          <w:szCs w:val="24"/>
        </w:rPr>
        <w:t xml:space="preserve"> government of Libya.</w:t>
      </w:r>
      <w:r w:rsidRPr="00AE23C0">
        <w:rPr>
          <w:rStyle w:val="FootnoteReference"/>
          <w:rFonts w:asciiTheme="majorBidi" w:hAnsiTheme="majorBidi"/>
          <w:sz w:val="24"/>
          <w:szCs w:val="24"/>
        </w:rPr>
        <w:footnoteReference w:id="98"/>
      </w:r>
      <w:r w:rsidRPr="00AE23C0">
        <w:rPr>
          <w:rFonts w:asciiTheme="majorBidi" w:hAnsiTheme="majorBidi" w:cstheme="majorBidi"/>
          <w:sz w:val="24"/>
          <w:szCs w:val="24"/>
        </w:rPr>
        <w:t xml:space="preserve"> International organizations such as NATO, European Union, and the Organization of the Islamic Cooperation, the League of Arab States, and Gulf Cooperation Council</w:t>
      </w:r>
      <w:r w:rsidRPr="00AE23C0">
        <w:rPr>
          <w:rStyle w:val="FootnoteReference"/>
          <w:rFonts w:asciiTheme="majorBidi" w:hAnsiTheme="majorBidi"/>
          <w:sz w:val="24"/>
          <w:szCs w:val="24"/>
        </w:rPr>
        <w:footnoteReference w:id="99"/>
      </w:r>
      <w:r w:rsidRPr="00AE23C0">
        <w:rPr>
          <w:rFonts w:asciiTheme="majorBidi" w:hAnsiTheme="majorBidi" w:cstheme="majorBidi"/>
          <w:sz w:val="24"/>
          <w:szCs w:val="24"/>
        </w:rPr>
        <w:t xml:space="preserve"> also recognized NTC as the sole representative of the Libyan people which is a proof of external support for NTC and recognition as </w:t>
      </w:r>
      <w:r w:rsidRPr="00AE23C0">
        <w:rPr>
          <w:rFonts w:asciiTheme="majorBidi" w:hAnsiTheme="majorBidi" w:cstheme="majorBidi"/>
          <w:i/>
          <w:iCs/>
          <w:sz w:val="24"/>
          <w:szCs w:val="24"/>
        </w:rPr>
        <w:t>de facto</w:t>
      </w:r>
      <w:r w:rsidRPr="00AE23C0">
        <w:rPr>
          <w:rFonts w:asciiTheme="majorBidi" w:hAnsiTheme="majorBidi" w:cstheme="majorBidi"/>
          <w:sz w:val="24"/>
          <w:szCs w:val="24"/>
        </w:rPr>
        <w:t xml:space="preserve"> government.</w:t>
      </w:r>
    </w:p>
    <w:p w:rsidR="00EF4037" w:rsidRPr="00AE23C0" w:rsidRDefault="00EF4037" w:rsidP="00EF4037">
      <w:pPr>
        <w:ind w:right="19"/>
        <w:jc w:val="both"/>
        <w:rPr>
          <w:rFonts w:asciiTheme="majorBidi" w:hAnsiTheme="majorBidi" w:cstheme="majorBidi"/>
          <w:sz w:val="24"/>
          <w:szCs w:val="24"/>
        </w:rPr>
      </w:pPr>
      <w:r w:rsidRPr="00AE23C0">
        <w:rPr>
          <w:rFonts w:asciiTheme="majorBidi" w:hAnsiTheme="majorBidi" w:cstheme="majorBidi"/>
          <w:i/>
          <w:iCs/>
          <w:sz w:val="24"/>
          <w:szCs w:val="24"/>
        </w:rPr>
        <w:lastRenderedPageBreak/>
        <w:t>De jure</w:t>
      </w:r>
      <w:r w:rsidRPr="00AE23C0">
        <w:rPr>
          <w:rFonts w:asciiTheme="majorBidi" w:hAnsiTheme="majorBidi" w:cstheme="majorBidi"/>
          <w:sz w:val="24"/>
          <w:szCs w:val="24"/>
        </w:rPr>
        <w:t xml:space="preserve"> recognition usually succeeds </w:t>
      </w:r>
      <w:r w:rsidRPr="00AE23C0">
        <w:rPr>
          <w:rFonts w:asciiTheme="majorBidi" w:hAnsiTheme="majorBidi" w:cstheme="majorBidi"/>
          <w:i/>
          <w:iCs/>
          <w:sz w:val="24"/>
          <w:szCs w:val="24"/>
        </w:rPr>
        <w:t>de facto</w:t>
      </w:r>
      <w:r w:rsidRPr="00AE23C0">
        <w:rPr>
          <w:rFonts w:asciiTheme="majorBidi" w:hAnsiTheme="majorBidi" w:cstheme="majorBidi"/>
          <w:sz w:val="24"/>
          <w:szCs w:val="24"/>
        </w:rPr>
        <w:t xml:space="preserve"> recognition.</w:t>
      </w:r>
      <w:r w:rsidRPr="00AE23C0">
        <w:rPr>
          <w:rStyle w:val="FootnoteReference"/>
          <w:rFonts w:asciiTheme="majorBidi" w:hAnsiTheme="majorBidi"/>
          <w:sz w:val="24"/>
          <w:szCs w:val="24"/>
        </w:rPr>
        <w:footnoteReference w:id="100"/>
      </w:r>
      <w:r w:rsidRPr="00AE23C0">
        <w:rPr>
          <w:rFonts w:asciiTheme="majorBidi" w:hAnsiTheme="majorBidi" w:cstheme="majorBidi"/>
          <w:sz w:val="24"/>
          <w:szCs w:val="24"/>
        </w:rPr>
        <w:t xml:space="preserve"> The capacity of recognition of NTC increased by the League of Arab states members when on 27</w:t>
      </w:r>
      <w:r w:rsidRPr="00AE23C0">
        <w:rPr>
          <w:rFonts w:asciiTheme="majorBidi" w:hAnsiTheme="majorBidi" w:cstheme="majorBidi"/>
          <w:sz w:val="24"/>
          <w:szCs w:val="24"/>
          <w:vertAlign w:val="superscript"/>
        </w:rPr>
        <w:t>th</w:t>
      </w:r>
      <w:r w:rsidRPr="00AE23C0">
        <w:rPr>
          <w:rFonts w:asciiTheme="majorBidi" w:hAnsiTheme="majorBidi" w:cstheme="majorBidi"/>
          <w:sz w:val="24"/>
          <w:szCs w:val="24"/>
        </w:rPr>
        <w:t xml:space="preserve"> of August 2011 NTC delegates filled the seats of Libya at the organization.</w:t>
      </w:r>
      <w:r w:rsidRPr="00AE23C0">
        <w:rPr>
          <w:rStyle w:val="FootnoteReference"/>
          <w:rFonts w:asciiTheme="majorBidi" w:hAnsiTheme="majorBidi"/>
          <w:sz w:val="24"/>
          <w:szCs w:val="24"/>
        </w:rPr>
        <w:footnoteReference w:id="101"/>
      </w:r>
      <w:r w:rsidRPr="00AE23C0">
        <w:rPr>
          <w:rFonts w:asciiTheme="majorBidi" w:hAnsiTheme="majorBidi" w:cstheme="majorBidi"/>
          <w:sz w:val="24"/>
          <w:szCs w:val="24"/>
        </w:rPr>
        <w:t xml:space="preserve"> At 20</w:t>
      </w:r>
      <w:r w:rsidRPr="00AE23C0">
        <w:rPr>
          <w:rFonts w:asciiTheme="majorBidi" w:hAnsiTheme="majorBidi" w:cstheme="majorBidi"/>
          <w:sz w:val="24"/>
          <w:szCs w:val="24"/>
          <w:vertAlign w:val="superscript"/>
        </w:rPr>
        <w:t>th</w:t>
      </w:r>
      <w:r w:rsidRPr="00AE23C0">
        <w:rPr>
          <w:rFonts w:asciiTheme="majorBidi" w:hAnsiTheme="majorBidi" w:cstheme="majorBidi"/>
          <w:sz w:val="24"/>
          <w:szCs w:val="24"/>
        </w:rPr>
        <w:t xml:space="preserve"> of September 2011</w:t>
      </w:r>
      <w:r w:rsidRPr="00AE23C0">
        <w:rPr>
          <w:rStyle w:val="FootnoteReference"/>
          <w:rFonts w:asciiTheme="majorBidi" w:hAnsiTheme="majorBidi"/>
          <w:sz w:val="24"/>
          <w:szCs w:val="24"/>
        </w:rPr>
        <w:footnoteReference w:id="102"/>
      </w:r>
      <w:r w:rsidRPr="00AE23C0">
        <w:rPr>
          <w:rFonts w:asciiTheme="majorBidi" w:hAnsiTheme="majorBidi" w:cstheme="majorBidi"/>
          <w:sz w:val="24"/>
          <w:szCs w:val="24"/>
        </w:rPr>
        <w:t>, the General Assembly of the United Nations officially recognized NTC as the representative of Libya and voted to accept the credentials of delegates</w:t>
      </w:r>
      <w:r w:rsidRPr="00AE23C0">
        <w:rPr>
          <w:rStyle w:val="FootnoteReference"/>
          <w:rFonts w:asciiTheme="majorBidi" w:hAnsiTheme="majorBidi"/>
          <w:sz w:val="24"/>
          <w:szCs w:val="24"/>
        </w:rPr>
        <w:footnoteReference w:id="103"/>
      </w:r>
      <w:r w:rsidRPr="00AE23C0">
        <w:rPr>
          <w:rFonts w:asciiTheme="majorBidi" w:hAnsiTheme="majorBidi" w:cstheme="majorBidi"/>
          <w:sz w:val="24"/>
          <w:szCs w:val="24"/>
        </w:rPr>
        <w:t xml:space="preserve"> and since then NTC was recognized as a </w:t>
      </w:r>
      <w:r w:rsidRPr="00AE23C0">
        <w:rPr>
          <w:rFonts w:asciiTheme="majorBidi" w:hAnsiTheme="majorBidi" w:cstheme="majorBidi"/>
          <w:i/>
          <w:iCs/>
          <w:sz w:val="24"/>
          <w:szCs w:val="24"/>
        </w:rPr>
        <w:t>de jure</w:t>
      </w:r>
      <w:r w:rsidRPr="00AE23C0">
        <w:rPr>
          <w:rFonts w:asciiTheme="majorBidi" w:hAnsiTheme="majorBidi" w:cstheme="majorBidi"/>
          <w:sz w:val="24"/>
          <w:szCs w:val="24"/>
        </w:rPr>
        <w:t xml:space="preserve"> government of Libya.</w:t>
      </w:r>
      <w:r w:rsidRPr="00AE23C0">
        <w:rPr>
          <w:rStyle w:val="FootnoteReference"/>
          <w:rFonts w:asciiTheme="majorBidi" w:hAnsiTheme="majorBidi"/>
          <w:sz w:val="24"/>
          <w:szCs w:val="24"/>
        </w:rPr>
        <w:footnoteReference w:id="104"/>
      </w:r>
      <w:r w:rsidRPr="00AE23C0">
        <w:rPr>
          <w:rFonts w:asciiTheme="majorBidi" w:hAnsiTheme="majorBidi" w:cstheme="majorBidi"/>
          <w:sz w:val="24"/>
          <w:szCs w:val="24"/>
        </w:rPr>
        <w:t xml:space="preserve"> </w:t>
      </w:r>
    </w:p>
    <w:p w:rsidR="00EF4037" w:rsidRPr="00AE23C0" w:rsidRDefault="00EF4037" w:rsidP="00EF4037">
      <w:pPr>
        <w:ind w:right="19"/>
        <w:jc w:val="both"/>
        <w:rPr>
          <w:rFonts w:asciiTheme="majorBidi" w:hAnsiTheme="majorBidi" w:cstheme="majorBidi"/>
          <w:b/>
          <w:bCs/>
          <w:sz w:val="24"/>
          <w:szCs w:val="24"/>
        </w:rPr>
      </w:pPr>
      <w:r w:rsidRPr="00AE23C0">
        <w:rPr>
          <w:rFonts w:asciiTheme="majorBidi" w:hAnsiTheme="majorBidi" w:cstheme="majorBidi"/>
          <w:b/>
          <w:bCs/>
          <w:sz w:val="24"/>
          <w:szCs w:val="24"/>
        </w:rPr>
        <w:t>Conclusion</w:t>
      </w:r>
    </w:p>
    <w:p w:rsidR="00EF4037" w:rsidRPr="00AE23C0" w:rsidRDefault="00EF4037" w:rsidP="00EF4037">
      <w:pPr>
        <w:ind w:right="19"/>
        <w:jc w:val="both"/>
        <w:rPr>
          <w:rFonts w:asciiTheme="majorBidi" w:hAnsiTheme="majorBidi" w:cstheme="majorBidi"/>
          <w:sz w:val="24"/>
          <w:szCs w:val="24"/>
          <w:rtl/>
        </w:rPr>
      </w:pPr>
      <w:r w:rsidRPr="00AE23C0">
        <w:rPr>
          <w:rFonts w:asciiTheme="majorBidi" w:hAnsiTheme="majorBidi" w:cstheme="majorBidi"/>
          <w:sz w:val="24"/>
          <w:szCs w:val="24"/>
        </w:rPr>
        <w:t xml:space="preserve">From the above </w:t>
      </w:r>
      <w:r w:rsidR="00DF6550" w:rsidRPr="00AE23C0">
        <w:rPr>
          <w:rFonts w:asciiTheme="majorBidi" w:hAnsiTheme="majorBidi" w:cstheme="majorBidi"/>
          <w:sz w:val="24"/>
          <w:szCs w:val="24"/>
        </w:rPr>
        <w:t>analysis</w:t>
      </w:r>
      <w:r w:rsidRPr="00AE23C0">
        <w:rPr>
          <w:rFonts w:asciiTheme="majorBidi" w:hAnsiTheme="majorBidi" w:cstheme="majorBidi"/>
          <w:sz w:val="24"/>
          <w:szCs w:val="24"/>
        </w:rPr>
        <w:t xml:space="preserve"> we can now conclude that NTC started as an organized rebel group, increased its control on parts of Libya got capacity from belligerents and </w:t>
      </w:r>
      <w:r w:rsidRPr="00AE23C0">
        <w:rPr>
          <w:rFonts w:asciiTheme="majorBidi" w:hAnsiTheme="majorBidi" w:cstheme="majorBidi"/>
          <w:i/>
          <w:iCs/>
          <w:sz w:val="24"/>
          <w:szCs w:val="24"/>
        </w:rPr>
        <w:t>de facto</w:t>
      </w:r>
      <w:r w:rsidRPr="00AE23C0">
        <w:rPr>
          <w:rFonts w:asciiTheme="majorBidi" w:hAnsiTheme="majorBidi" w:cstheme="majorBidi"/>
          <w:sz w:val="24"/>
          <w:szCs w:val="24"/>
        </w:rPr>
        <w:t xml:space="preserve"> government</w:t>
      </w:r>
      <w:r w:rsidRPr="00AE23C0">
        <w:rPr>
          <w:rStyle w:val="FootnoteReference"/>
          <w:rFonts w:asciiTheme="majorBidi" w:hAnsiTheme="majorBidi"/>
          <w:sz w:val="24"/>
          <w:szCs w:val="24"/>
        </w:rPr>
        <w:footnoteReference w:id="105"/>
      </w:r>
      <w:r w:rsidRPr="00AE23C0">
        <w:rPr>
          <w:rFonts w:asciiTheme="majorBidi" w:hAnsiTheme="majorBidi" w:cstheme="majorBidi"/>
          <w:sz w:val="24"/>
          <w:szCs w:val="24"/>
        </w:rPr>
        <w:t xml:space="preserve"> to </w:t>
      </w:r>
      <w:r w:rsidRPr="00AE23C0">
        <w:rPr>
          <w:rFonts w:asciiTheme="majorBidi" w:hAnsiTheme="majorBidi" w:cstheme="majorBidi"/>
          <w:i/>
          <w:iCs/>
          <w:sz w:val="24"/>
          <w:szCs w:val="24"/>
        </w:rPr>
        <w:t>de jure</w:t>
      </w:r>
      <w:r w:rsidRPr="00AE23C0">
        <w:rPr>
          <w:rFonts w:asciiTheme="majorBidi" w:hAnsiTheme="majorBidi" w:cstheme="majorBidi"/>
          <w:sz w:val="24"/>
          <w:szCs w:val="24"/>
        </w:rPr>
        <w:t xml:space="preserve"> government of Libya. On 7th of July 2012 elections held in Libya and the NTC handed over power to Libyan General National Congress (GNC).</w:t>
      </w:r>
      <w:r w:rsidRPr="00AE23C0">
        <w:rPr>
          <w:rStyle w:val="FootnoteReference"/>
          <w:rFonts w:asciiTheme="majorBidi" w:hAnsiTheme="majorBidi"/>
          <w:sz w:val="24"/>
          <w:szCs w:val="24"/>
        </w:rPr>
        <w:footnoteReference w:id="106"/>
      </w:r>
      <w:r w:rsidRPr="00AE23C0">
        <w:rPr>
          <w:rFonts w:asciiTheme="majorBidi" w:hAnsiTheme="majorBidi" w:cstheme="majorBidi"/>
          <w:sz w:val="24"/>
          <w:szCs w:val="24"/>
        </w:rPr>
        <w:t xml:space="preserve"> </w:t>
      </w:r>
      <w:r w:rsidR="00DF6550" w:rsidRPr="00AE23C0">
        <w:rPr>
          <w:rFonts w:asciiTheme="majorBidi" w:hAnsiTheme="majorBidi" w:cstheme="majorBidi"/>
          <w:sz w:val="24"/>
          <w:szCs w:val="24"/>
        </w:rPr>
        <w:t>Analogically</w:t>
      </w:r>
      <w:r w:rsidRPr="00AE23C0">
        <w:rPr>
          <w:rFonts w:asciiTheme="majorBidi" w:hAnsiTheme="majorBidi" w:cstheme="majorBidi"/>
          <w:sz w:val="24"/>
          <w:szCs w:val="24"/>
        </w:rPr>
        <w:t xml:space="preserve">, NTC is like a living creature; it born, lived and died. </w:t>
      </w:r>
    </w:p>
    <w:p w:rsidR="00EF4037" w:rsidRPr="00AE23C0" w:rsidRDefault="00EF4037" w:rsidP="00EF4037">
      <w:pPr>
        <w:ind w:right="19"/>
        <w:jc w:val="both"/>
        <w:rPr>
          <w:rFonts w:asciiTheme="majorBidi" w:hAnsiTheme="majorBidi" w:cstheme="majorBidi"/>
          <w:sz w:val="24"/>
          <w:szCs w:val="24"/>
          <w:rtl/>
        </w:rPr>
      </w:pPr>
      <w:r w:rsidRPr="00AE23C0">
        <w:rPr>
          <w:rFonts w:asciiTheme="majorBidi" w:hAnsiTheme="majorBidi" w:cstheme="majorBidi"/>
          <w:sz w:val="24"/>
          <w:szCs w:val="24"/>
        </w:rPr>
        <w:lastRenderedPageBreak/>
        <w:t xml:space="preserve">The transition in Libya started from the early days of the revolution. NTC in transition acted as a </w:t>
      </w:r>
      <w:r w:rsidRPr="00AE23C0">
        <w:rPr>
          <w:rFonts w:asciiTheme="majorBidi" w:hAnsiTheme="majorBidi" w:cstheme="majorBidi"/>
          <w:i/>
          <w:iCs/>
          <w:sz w:val="24"/>
          <w:szCs w:val="24"/>
        </w:rPr>
        <w:t>de facto</w:t>
      </w:r>
      <w:r w:rsidRPr="00AE23C0">
        <w:rPr>
          <w:rFonts w:asciiTheme="majorBidi" w:hAnsiTheme="majorBidi" w:cstheme="majorBidi"/>
          <w:sz w:val="24"/>
          <w:szCs w:val="24"/>
        </w:rPr>
        <w:t xml:space="preserve"> legislative authority and its interim government that was formed on 23th of November</w:t>
      </w:r>
      <w:r w:rsidRPr="00AE23C0">
        <w:rPr>
          <w:rStyle w:val="FootnoteReference"/>
          <w:rFonts w:asciiTheme="majorBidi" w:hAnsiTheme="majorBidi"/>
          <w:sz w:val="24"/>
          <w:szCs w:val="24"/>
        </w:rPr>
        <w:footnoteReference w:id="107"/>
      </w:r>
      <w:r w:rsidRPr="00AE23C0">
        <w:rPr>
          <w:rFonts w:asciiTheme="majorBidi" w:hAnsiTheme="majorBidi" w:cstheme="majorBidi"/>
          <w:sz w:val="24"/>
          <w:szCs w:val="24"/>
        </w:rPr>
        <w:t xml:space="preserve"> exercised executive authority. NTC drew a clear timetable for the rest of transition in Libya in its declaration of liberation.</w:t>
      </w:r>
      <w:r w:rsidRPr="00AE23C0">
        <w:rPr>
          <w:rStyle w:val="FootnoteReference"/>
          <w:rFonts w:asciiTheme="majorBidi" w:hAnsiTheme="majorBidi"/>
          <w:sz w:val="24"/>
          <w:szCs w:val="24"/>
        </w:rPr>
        <w:footnoteReference w:id="108"/>
      </w:r>
      <w:r w:rsidRPr="00AE23C0">
        <w:rPr>
          <w:rFonts w:asciiTheme="majorBidi" w:hAnsiTheme="majorBidi" w:cstheme="majorBidi"/>
          <w:sz w:val="24"/>
          <w:szCs w:val="24"/>
        </w:rPr>
        <w:t xml:space="preserve"> In the declaration the point of transition was towards a “democratic Libya”</w:t>
      </w:r>
      <w:r w:rsidRPr="00AE23C0">
        <w:rPr>
          <w:rStyle w:val="FootnoteReference"/>
          <w:rFonts w:asciiTheme="majorBidi" w:hAnsiTheme="majorBidi"/>
          <w:sz w:val="24"/>
          <w:szCs w:val="24"/>
        </w:rPr>
        <w:footnoteReference w:id="109"/>
      </w:r>
      <w:r w:rsidRPr="00AE23C0">
        <w:rPr>
          <w:rFonts w:asciiTheme="majorBidi" w:hAnsiTheme="majorBidi" w:cstheme="majorBidi"/>
          <w:sz w:val="24"/>
          <w:szCs w:val="24"/>
        </w:rPr>
        <w:t>and the establishment of an interim government was the first step. Within 90 days of declaration an electoral commission was set up and the elections were held within 240 days, and a national congress established which gave democratic legitimacy to the government. The government drafted the new constitution and put it to popular referendum.</w:t>
      </w:r>
      <w:r w:rsidRPr="00AE23C0">
        <w:rPr>
          <w:rStyle w:val="FootnoteReference"/>
          <w:rFonts w:asciiTheme="majorBidi" w:hAnsiTheme="majorBidi"/>
          <w:sz w:val="24"/>
          <w:szCs w:val="24"/>
        </w:rPr>
        <w:footnoteReference w:id="110"/>
      </w:r>
      <w:r w:rsidRPr="00AE23C0">
        <w:rPr>
          <w:rFonts w:asciiTheme="majorBidi" w:hAnsiTheme="majorBidi" w:cstheme="majorBidi"/>
          <w:sz w:val="24"/>
          <w:szCs w:val="24"/>
        </w:rPr>
        <w:t xml:space="preserve">  NTC followed the transition roadmap at different levels. It formed the </w:t>
      </w:r>
      <w:r w:rsidRPr="00AE23C0">
        <w:rPr>
          <w:rFonts w:asciiTheme="majorBidi" w:hAnsiTheme="majorBidi" w:cstheme="majorBidi"/>
          <w:sz w:val="24"/>
          <w:szCs w:val="24"/>
        </w:rPr>
        <w:lastRenderedPageBreak/>
        <w:t>police forces, trained and rebuilt army</w:t>
      </w:r>
      <w:r w:rsidRPr="00AE23C0">
        <w:rPr>
          <w:rStyle w:val="FootnoteReference"/>
          <w:rFonts w:asciiTheme="majorBidi" w:hAnsiTheme="majorBidi"/>
          <w:sz w:val="24"/>
          <w:szCs w:val="24"/>
        </w:rPr>
        <w:footnoteReference w:id="111"/>
      </w:r>
      <w:r w:rsidRPr="00AE23C0">
        <w:rPr>
          <w:rFonts w:asciiTheme="majorBidi" w:hAnsiTheme="majorBidi" w:cstheme="majorBidi"/>
          <w:sz w:val="24"/>
          <w:szCs w:val="24"/>
        </w:rPr>
        <w:t xml:space="preserve"> to consolidate security and bring stability to the country, tried to recover Libyan assets frozen abroad, deal with transitional justice issues and revived oil production.</w:t>
      </w:r>
      <w:r w:rsidRPr="00AE23C0">
        <w:rPr>
          <w:rStyle w:val="FootnoteReference"/>
          <w:rFonts w:asciiTheme="majorBidi" w:hAnsiTheme="majorBidi"/>
          <w:sz w:val="24"/>
          <w:szCs w:val="24"/>
        </w:rPr>
        <w:footnoteReference w:id="112"/>
      </w:r>
      <w:r w:rsidRPr="00AE23C0">
        <w:rPr>
          <w:rFonts w:asciiTheme="majorBidi" w:hAnsiTheme="majorBidi" w:cstheme="majorBidi"/>
          <w:sz w:val="24"/>
          <w:szCs w:val="24"/>
        </w:rPr>
        <w:t xml:space="preserve"> </w:t>
      </w:r>
    </w:p>
    <w:p w:rsidR="00EF4037" w:rsidRDefault="00EF4037" w:rsidP="00EF4037">
      <w:pPr>
        <w:ind w:right="19"/>
        <w:jc w:val="both"/>
        <w:rPr>
          <w:rFonts w:asciiTheme="majorBidi" w:hAnsiTheme="majorBidi" w:cstheme="majorBidi"/>
          <w:sz w:val="24"/>
          <w:szCs w:val="24"/>
        </w:rPr>
      </w:pPr>
      <w:r w:rsidRPr="00AE23C0">
        <w:rPr>
          <w:rFonts w:asciiTheme="majorBidi" w:hAnsiTheme="majorBidi" w:cstheme="majorBidi"/>
          <w:sz w:val="24"/>
          <w:szCs w:val="24"/>
        </w:rPr>
        <w:t>Thus, NTC started its role as the leader of rebel groups, increased its capacity and turned into a “government”. The NTC leaders declined a clear plan for the future of Libya. They intended to create fundamental changes in the political and social system of Libya. NTC was formed around two weeks of popular eruption as one can suspect its formation even before the eruption of demonstrations. Movement of a rebel group to a de facto and the de jure government is a long journey with its perils.  Not every rebel group has the chance to be recognized as the only representative of the people. Taliban controlled most parts of the territory of Afghanistan but certain mistakes such as hijacking Indian Airlines airplane</w:t>
      </w:r>
      <w:r w:rsidRPr="00AE23C0">
        <w:rPr>
          <w:rStyle w:val="FootnoteReference"/>
          <w:rFonts w:asciiTheme="majorBidi" w:hAnsiTheme="majorBidi" w:cstheme="majorBidi"/>
          <w:sz w:val="24"/>
          <w:szCs w:val="24"/>
        </w:rPr>
        <w:footnoteReference w:id="113"/>
      </w:r>
      <w:r w:rsidRPr="00AE23C0">
        <w:rPr>
          <w:rFonts w:asciiTheme="majorBidi" w:hAnsiTheme="majorBidi" w:cstheme="majorBidi"/>
          <w:sz w:val="24"/>
          <w:szCs w:val="24"/>
        </w:rPr>
        <w:t>, playing a great role on 11</w:t>
      </w:r>
      <w:r w:rsidRPr="00AE23C0">
        <w:rPr>
          <w:rFonts w:asciiTheme="majorBidi" w:hAnsiTheme="majorBidi" w:cstheme="majorBidi"/>
          <w:sz w:val="24"/>
          <w:szCs w:val="24"/>
          <w:vertAlign w:val="superscript"/>
        </w:rPr>
        <w:t>th</w:t>
      </w:r>
      <w:r w:rsidRPr="00AE23C0">
        <w:rPr>
          <w:rFonts w:asciiTheme="majorBidi" w:hAnsiTheme="majorBidi" w:cstheme="majorBidi"/>
          <w:sz w:val="24"/>
          <w:szCs w:val="24"/>
        </w:rPr>
        <w:t xml:space="preserve"> of September attacks and refusing to extradite Bin Laden to US changed its position from a rebel group to  terrorists . On the other hand, NTC in its statement declared its respect for IHL and IHRL. There is no doubt that NTC formed a government which its interim government exercised executive power and itself acted as a legislative authority.</w:t>
      </w:r>
      <w:r w:rsidRPr="00AE23C0">
        <w:rPr>
          <w:rFonts w:asciiTheme="majorBidi" w:hAnsiTheme="majorBidi" w:cstheme="majorBidi" w:hint="cs"/>
          <w:sz w:val="24"/>
          <w:szCs w:val="24"/>
          <w:rtl/>
        </w:rPr>
        <w:t xml:space="preserve"> </w:t>
      </w:r>
      <w:r w:rsidRPr="00AE23C0">
        <w:rPr>
          <w:rStyle w:val="FootnoteReference"/>
          <w:rFonts w:asciiTheme="majorBidi" w:hAnsiTheme="majorBidi"/>
          <w:sz w:val="24"/>
          <w:szCs w:val="24"/>
          <w:rtl/>
        </w:rPr>
        <w:footnoteReference w:id="114"/>
      </w:r>
      <w:r w:rsidRPr="00AE23C0">
        <w:rPr>
          <w:rFonts w:asciiTheme="majorBidi" w:hAnsiTheme="majorBidi" w:cstheme="majorBidi"/>
          <w:sz w:val="24"/>
          <w:szCs w:val="24"/>
        </w:rPr>
        <w:t xml:space="preserve"> </w:t>
      </w:r>
      <w:r w:rsidRPr="00AE23C0">
        <w:rPr>
          <w:rFonts w:asciiTheme="majorBidi" w:hAnsiTheme="majorBidi" w:cstheme="majorBidi"/>
          <w:sz w:val="24"/>
          <w:szCs w:val="24"/>
        </w:rPr>
        <w:lastRenderedPageBreak/>
        <w:t>NTC was successful in both phases of transition i.e. peacemaking and peacekeeping.</w:t>
      </w:r>
    </w:p>
    <w:p w:rsidR="00EF4037" w:rsidRPr="00C12959" w:rsidRDefault="00EF4037" w:rsidP="00EF4037">
      <w:pPr>
        <w:ind w:right="19"/>
        <w:jc w:val="both"/>
        <w:rPr>
          <w:rFonts w:asciiTheme="majorBidi" w:hAnsiTheme="majorBidi" w:cstheme="majorBidi"/>
          <w:b/>
          <w:bCs/>
          <w:sz w:val="24"/>
          <w:szCs w:val="24"/>
        </w:rPr>
      </w:pPr>
      <w:r w:rsidRPr="00C12959">
        <w:rPr>
          <w:rFonts w:asciiTheme="majorBidi" w:hAnsiTheme="majorBidi" w:cstheme="majorBidi"/>
          <w:b/>
          <w:bCs/>
          <w:sz w:val="24"/>
          <w:szCs w:val="24"/>
        </w:rPr>
        <w:t>REFERENCES</w:t>
      </w:r>
    </w:p>
    <w:p w:rsidR="00EF4037" w:rsidRDefault="00EF4037" w:rsidP="00EF4037">
      <w:pPr>
        <w:jc w:val="both"/>
        <w:rPr>
          <w:rFonts w:asciiTheme="majorBidi" w:hAnsiTheme="majorBidi" w:cstheme="majorBidi"/>
          <w:sz w:val="20"/>
          <w:szCs w:val="20"/>
        </w:rPr>
      </w:pPr>
      <w:r w:rsidRPr="001B650D">
        <w:rPr>
          <w:rFonts w:asciiTheme="majorBidi" w:hAnsiTheme="majorBidi" w:cstheme="majorBidi"/>
          <w:sz w:val="20"/>
          <w:szCs w:val="20"/>
        </w:rPr>
        <w:t>African Commission on Human and Peoples’ Rights v. Great Socialist People's Libyan Arab Jamahiriya, Application No. 004/2011.</w:t>
      </w:r>
    </w:p>
    <w:p w:rsidR="00EF4037" w:rsidRPr="001B650D" w:rsidRDefault="00EF4037" w:rsidP="00EF4037">
      <w:pPr>
        <w:jc w:val="both"/>
        <w:rPr>
          <w:rFonts w:asciiTheme="majorBidi" w:hAnsiTheme="majorBidi" w:cstheme="majorBidi"/>
          <w:sz w:val="20"/>
          <w:szCs w:val="20"/>
        </w:rPr>
      </w:pPr>
      <w:r w:rsidRPr="00F30962">
        <w:rPr>
          <w:rFonts w:asciiTheme="majorBidi" w:hAnsiTheme="majorBidi" w:cstheme="majorBidi"/>
          <w:sz w:val="20"/>
          <w:szCs w:val="20"/>
        </w:rPr>
        <w:t>Ahmida,</w:t>
      </w:r>
      <w:r w:rsidRPr="00286A9A">
        <w:rPr>
          <w:rFonts w:asciiTheme="majorBidi" w:hAnsiTheme="majorBidi" w:cstheme="majorBidi"/>
          <w:sz w:val="20"/>
          <w:szCs w:val="20"/>
        </w:rPr>
        <w:t xml:space="preserve"> </w:t>
      </w:r>
      <w:r w:rsidRPr="00F30962">
        <w:rPr>
          <w:rFonts w:asciiTheme="majorBidi" w:hAnsiTheme="majorBidi" w:cstheme="majorBidi"/>
          <w:sz w:val="20"/>
          <w:szCs w:val="20"/>
        </w:rPr>
        <w:t>Ali Abdullatif</w:t>
      </w:r>
      <w:r>
        <w:rPr>
          <w:rFonts w:asciiTheme="majorBidi" w:hAnsiTheme="majorBidi" w:cstheme="majorBidi"/>
          <w:sz w:val="20"/>
          <w:szCs w:val="20"/>
        </w:rPr>
        <w:t xml:space="preserve">. </w:t>
      </w:r>
      <w:r w:rsidRPr="00F30962">
        <w:rPr>
          <w:rFonts w:asciiTheme="majorBidi" w:hAnsiTheme="majorBidi" w:cstheme="majorBidi"/>
          <w:sz w:val="20"/>
          <w:szCs w:val="20"/>
        </w:rPr>
        <w:t xml:space="preserve"> </w:t>
      </w:r>
      <w:r>
        <w:rPr>
          <w:rFonts w:asciiTheme="majorBidi" w:hAnsiTheme="majorBidi" w:cstheme="majorBidi"/>
          <w:sz w:val="20"/>
          <w:szCs w:val="20"/>
        </w:rPr>
        <w:t xml:space="preserve">2011. </w:t>
      </w:r>
      <w:r w:rsidRPr="00F30962">
        <w:rPr>
          <w:rFonts w:asciiTheme="majorBidi" w:hAnsiTheme="majorBidi" w:cstheme="majorBidi"/>
          <w:sz w:val="20"/>
          <w:szCs w:val="20"/>
        </w:rPr>
        <w:t xml:space="preserve">“The Libyan National Transitional Council: Social Bases, Membership and Political Trends,” </w:t>
      </w:r>
      <w:r w:rsidRPr="00F30962">
        <w:rPr>
          <w:rFonts w:asciiTheme="majorBidi" w:hAnsiTheme="majorBidi" w:cstheme="majorBidi"/>
          <w:i/>
          <w:iCs/>
          <w:sz w:val="20"/>
          <w:szCs w:val="20"/>
        </w:rPr>
        <w:t>AlJazeera Centre for Studies</w:t>
      </w:r>
      <w:r w:rsidRPr="00F30962">
        <w:rPr>
          <w:rFonts w:asciiTheme="majorBidi" w:hAnsiTheme="majorBidi" w:cstheme="majorBidi"/>
          <w:sz w:val="20"/>
          <w:szCs w:val="20"/>
        </w:rPr>
        <w:t>, October 20</w:t>
      </w:r>
      <w:r>
        <w:rPr>
          <w:rFonts w:asciiTheme="majorBidi" w:hAnsiTheme="majorBidi" w:cstheme="majorBidi"/>
          <w:sz w:val="20"/>
          <w:szCs w:val="20"/>
        </w:rPr>
        <w:t>11</w:t>
      </w:r>
      <w:r w:rsidRPr="00F30962">
        <w:rPr>
          <w:rFonts w:asciiTheme="majorBidi" w:hAnsiTheme="majorBidi" w:cstheme="majorBidi"/>
          <w:sz w:val="20"/>
          <w:szCs w:val="20"/>
        </w:rPr>
        <w:t>.</w:t>
      </w:r>
    </w:p>
    <w:p w:rsidR="00EF4037" w:rsidRDefault="00EF4037" w:rsidP="00EF4037">
      <w:pPr>
        <w:jc w:val="both"/>
        <w:rPr>
          <w:rFonts w:asciiTheme="majorBidi" w:hAnsiTheme="majorBidi" w:cstheme="majorBidi"/>
          <w:sz w:val="20"/>
          <w:szCs w:val="20"/>
        </w:rPr>
      </w:pPr>
      <w:r>
        <w:rPr>
          <w:rFonts w:asciiTheme="majorBidi" w:hAnsiTheme="majorBidi" w:cstheme="majorBidi"/>
          <w:sz w:val="20"/>
          <w:szCs w:val="20"/>
        </w:rPr>
        <w:t xml:space="preserve">Alunni, Alice and Karim Mezran. 2012. </w:t>
      </w:r>
      <w:r w:rsidRPr="00BA6BA2">
        <w:rPr>
          <w:rFonts w:asciiTheme="majorBidi" w:hAnsiTheme="majorBidi" w:cstheme="majorBidi"/>
          <w:sz w:val="20"/>
          <w:szCs w:val="20"/>
        </w:rPr>
        <w:t>“Post-Qadhafi Libya: the electoral dilemma,”</w:t>
      </w:r>
      <w:r w:rsidRPr="001B650D">
        <w:rPr>
          <w:rFonts w:asciiTheme="majorBidi" w:hAnsiTheme="majorBidi" w:cstheme="majorBidi"/>
          <w:sz w:val="20"/>
          <w:szCs w:val="20"/>
        </w:rPr>
        <w:t xml:space="preserve"> </w:t>
      </w:r>
      <w:r w:rsidRPr="00BA6BA2">
        <w:rPr>
          <w:rFonts w:asciiTheme="majorBidi" w:hAnsiTheme="majorBidi" w:cstheme="majorBidi"/>
          <w:i/>
          <w:iCs/>
          <w:sz w:val="20"/>
          <w:szCs w:val="20"/>
        </w:rPr>
        <w:t>Instituto per gli Studi di Politica Internazionale (ISPI),</w:t>
      </w:r>
      <w:r w:rsidRPr="001B650D">
        <w:rPr>
          <w:rFonts w:asciiTheme="majorBidi" w:hAnsiTheme="majorBidi" w:cstheme="majorBidi"/>
          <w:sz w:val="20"/>
          <w:szCs w:val="20"/>
        </w:rPr>
        <w:t xml:space="preserve"> </w:t>
      </w:r>
      <w:r w:rsidR="00DF6550">
        <w:rPr>
          <w:rFonts w:asciiTheme="majorBidi" w:hAnsiTheme="majorBidi" w:cstheme="majorBidi"/>
          <w:sz w:val="20"/>
          <w:szCs w:val="20"/>
        </w:rPr>
        <w:t>(</w:t>
      </w:r>
      <w:r w:rsidR="00DF6550" w:rsidRPr="001B650D">
        <w:rPr>
          <w:rFonts w:asciiTheme="majorBidi" w:hAnsiTheme="majorBidi" w:cstheme="majorBidi"/>
          <w:sz w:val="20"/>
          <w:szCs w:val="20"/>
        </w:rPr>
        <w:t>114</w:t>
      </w:r>
      <w:r>
        <w:rPr>
          <w:rFonts w:asciiTheme="majorBidi" w:hAnsiTheme="majorBidi" w:cstheme="majorBidi"/>
          <w:sz w:val="20"/>
          <w:szCs w:val="20"/>
        </w:rPr>
        <w:t>)</w:t>
      </w:r>
      <w:r w:rsidRPr="001B650D">
        <w:rPr>
          <w:rFonts w:asciiTheme="majorBidi" w:hAnsiTheme="majorBidi" w:cstheme="majorBidi"/>
          <w:sz w:val="20"/>
          <w:szCs w:val="20"/>
        </w:rPr>
        <w:t xml:space="preserve">. </w:t>
      </w:r>
    </w:p>
    <w:p w:rsidR="00EF4037" w:rsidRDefault="00EF4037" w:rsidP="00EF4037">
      <w:pPr>
        <w:jc w:val="both"/>
        <w:rPr>
          <w:rFonts w:asciiTheme="majorBidi" w:hAnsiTheme="majorBidi" w:cstheme="majorBidi"/>
          <w:color w:val="FF0000"/>
          <w:sz w:val="20"/>
          <w:szCs w:val="20"/>
        </w:rPr>
      </w:pPr>
      <w:r w:rsidRPr="00286A9A">
        <w:rPr>
          <w:rFonts w:asciiTheme="majorBidi" w:hAnsiTheme="majorBidi" w:cstheme="majorBidi"/>
          <w:sz w:val="20"/>
          <w:szCs w:val="20"/>
        </w:rPr>
        <w:t>Amnesty International</w:t>
      </w:r>
      <w:r>
        <w:rPr>
          <w:rFonts w:asciiTheme="majorBidi" w:hAnsiTheme="majorBidi" w:cstheme="majorBidi"/>
          <w:sz w:val="20"/>
          <w:szCs w:val="20"/>
        </w:rPr>
        <w:t xml:space="preserve">. 2011. </w:t>
      </w:r>
      <w:r w:rsidRPr="00286A9A">
        <w:rPr>
          <w:rFonts w:asciiTheme="majorBidi" w:hAnsiTheme="majorBidi" w:cstheme="majorBidi"/>
          <w:i/>
          <w:iCs/>
          <w:sz w:val="20"/>
          <w:szCs w:val="20"/>
        </w:rPr>
        <w:t>The Battle for Libya Killings, Disappearances and Torture</w:t>
      </w:r>
      <w:r>
        <w:rPr>
          <w:rFonts w:asciiTheme="majorBidi" w:hAnsiTheme="majorBidi" w:cstheme="majorBidi"/>
          <w:sz w:val="20"/>
          <w:szCs w:val="20"/>
        </w:rPr>
        <w:t>.</w:t>
      </w:r>
      <w:r w:rsidRPr="001B650D">
        <w:rPr>
          <w:rFonts w:asciiTheme="majorBidi" w:hAnsiTheme="majorBidi" w:cstheme="majorBidi"/>
          <w:sz w:val="20"/>
          <w:szCs w:val="20"/>
        </w:rPr>
        <w:t xml:space="preserve"> </w:t>
      </w:r>
      <w:r>
        <w:rPr>
          <w:rFonts w:asciiTheme="majorBidi" w:hAnsiTheme="majorBidi" w:cstheme="majorBidi"/>
          <w:sz w:val="20"/>
          <w:szCs w:val="20"/>
        </w:rPr>
        <w:t xml:space="preserve">Available from: </w:t>
      </w:r>
      <w:hyperlink r:id="rId9" w:history="1">
        <w:r w:rsidRPr="001C419E">
          <w:rPr>
            <w:rStyle w:val="Hyperlink"/>
            <w:rFonts w:asciiTheme="majorBidi" w:hAnsiTheme="majorBidi"/>
          </w:rPr>
          <w:t>www.amnesty.org/</w:t>
        </w:r>
      </w:hyperlink>
      <w:r>
        <w:rPr>
          <w:rFonts w:asciiTheme="majorBidi" w:hAnsiTheme="majorBidi" w:cstheme="majorBidi"/>
          <w:sz w:val="20"/>
          <w:szCs w:val="20"/>
        </w:rPr>
        <w:t xml:space="preserve"> [retrieved: September 2013]</w:t>
      </w:r>
      <w:r w:rsidRPr="001B650D">
        <w:rPr>
          <w:rFonts w:asciiTheme="majorBidi" w:hAnsiTheme="majorBidi" w:cstheme="majorBidi"/>
          <w:sz w:val="20"/>
          <w:szCs w:val="20"/>
        </w:rPr>
        <w:t xml:space="preserve">. </w:t>
      </w:r>
      <w:r w:rsidRPr="009B0253">
        <w:rPr>
          <w:rFonts w:asciiTheme="majorBidi" w:hAnsiTheme="majorBidi" w:cstheme="majorBidi"/>
          <w:color w:val="FF0000"/>
          <w:sz w:val="20"/>
          <w:szCs w:val="20"/>
        </w:rPr>
        <w:t xml:space="preserve"> </w:t>
      </w:r>
    </w:p>
    <w:p w:rsidR="00EF4037" w:rsidRDefault="00EF4037" w:rsidP="00EF4037">
      <w:pPr>
        <w:jc w:val="both"/>
        <w:rPr>
          <w:rFonts w:asciiTheme="majorBidi" w:hAnsiTheme="majorBidi" w:cstheme="majorBidi"/>
          <w:sz w:val="20"/>
          <w:szCs w:val="20"/>
        </w:rPr>
      </w:pPr>
      <w:r w:rsidRPr="00F30962">
        <w:rPr>
          <w:rFonts w:asciiTheme="majorBidi" w:hAnsiTheme="majorBidi" w:cstheme="majorBidi"/>
          <w:sz w:val="20"/>
          <w:szCs w:val="20"/>
        </w:rPr>
        <w:t>Atlantic Council</w:t>
      </w:r>
      <w:r>
        <w:rPr>
          <w:rFonts w:asciiTheme="majorBidi" w:hAnsiTheme="majorBidi" w:cstheme="majorBidi"/>
          <w:sz w:val="20"/>
          <w:szCs w:val="20"/>
        </w:rPr>
        <w:t xml:space="preserve">. 2012. </w:t>
      </w:r>
      <w:r w:rsidRPr="00286A9A">
        <w:rPr>
          <w:rFonts w:asciiTheme="majorBidi" w:hAnsiTheme="majorBidi" w:cstheme="majorBidi"/>
          <w:i/>
          <w:iCs/>
          <w:sz w:val="20"/>
          <w:szCs w:val="20"/>
        </w:rPr>
        <w:t>Libya’s Transition: Uncertain Trajectories</w:t>
      </w:r>
      <w:r>
        <w:rPr>
          <w:rFonts w:asciiTheme="majorBidi" w:hAnsiTheme="majorBidi" w:cstheme="majorBidi"/>
          <w:sz w:val="20"/>
          <w:szCs w:val="20"/>
        </w:rPr>
        <w:t xml:space="preserve">. </w:t>
      </w:r>
      <w:r w:rsidRPr="00F30962">
        <w:rPr>
          <w:rFonts w:asciiTheme="majorBidi" w:hAnsiTheme="majorBidi" w:cstheme="majorBidi"/>
          <w:sz w:val="20"/>
          <w:szCs w:val="20"/>
        </w:rPr>
        <w:t xml:space="preserve"> </w:t>
      </w:r>
      <w:r w:rsidRPr="00F30962">
        <w:rPr>
          <w:rFonts w:asciiTheme="majorBidi" w:hAnsiTheme="majorBidi" w:cstheme="majorBidi"/>
          <w:i/>
          <w:iCs/>
          <w:sz w:val="20"/>
          <w:szCs w:val="20"/>
        </w:rPr>
        <w:t xml:space="preserve">Rafik </w:t>
      </w:r>
      <w:r>
        <w:rPr>
          <w:rFonts w:asciiTheme="majorBidi" w:hAnsiTheme="majorBidi" w:cstheme="majorBidi"/>
          <w:i/>
          <w:iCs/>
          <w:sz w:val="20"/>
          <w:szCs w:val="20"/>
        </w:rPr>
        <w:t xml:space="preserve">Hariri Center for </w:t>
      </w:r>
      <w:r w:rsidR="00DF6550">
        <w:rPr>
          <w:rFonts w:asciiTheme="majorBidi" w:hAnsiTheme="majorBidi" w:cstheme="majorBidi"/>
          <w:i/>
          <w:iCs/>
          <w:sz w:val="20"/>
          <w:szCs w:val="20"/>
        </w:rPr>
        <w:t>the</w:t>
      </w:r>
      <w:r>
        <w:rPr>
          <w:rFonts w:asciiTheme="majorBidi" w:hAnsiTheme="majorBidi" w:cstheme="majorBidi"/>
          <w:i/>
          <w:iCs/>
          <w:sz w:val="20"/>
          <w:szCs w:val="20"/>
        </w:rPr>
        <w:t xml:space="preserve"> Middle eas</w:t>
      </w:r>
      <w:r w:rsidRPr="00F30962">
        <w:rPr>
          <w:rFonts w:asciiTheme="majorBidi" w:hAnsiTheme="majorBidi" w:cstheme="majorBidi"/>
          <w:i/>
          <w:iCs/>
          <w:sz w:val="20"/>
          <w:szCs w:val="20"/>
        </w:rPr>
        <w:t>t</w:t>
      </w:r>
      <w:r>
        <w:rPr>
          <w:rFonts w:asciiTheme="majorBidi" w:hAnsiTheme="majorBidi" w:cstheme="majorBidi"/>
          <w:sz w:val="20"/>
          <w:szCs w:val="20"/>
        </w:rPr>
        <w:t xml:space="preserve">. </w:t>
      </w:r>
      <w:r w:rsidRPr="00F30962">
        <w:rPr>
          <w:rFonts w:asciiTheme="majorBidi" w:hAnsiTheme="majorBidi" w:cstheme="majorBidi"/>
          <w:sz w:val="20"/>
          <w:szCs w:val="20"/>
        </w:rPr>
        <w:t xml:space="preserve">Available from: </w:t>
      </w:r>
      <w:hyperlink r:id="rId10" w:history="1">
        <w:r w:rsidRPr="001C419E">
          <w:rPr>
            <w:rStyle w:val="Hyperlink"/>
            <w:rFonts w:asciiTheme="majorBidi" w:hAnsiTheme="majorBidi"/>
            <w:sz w:val="20"/>
            <w:szCs w:val="20"/>
          </w:rPr>
          <w:t>http://www.acus.org/files/ME/020112_Libya_Country_Profile.pdf</w:t>
        </w:r>
      </w:hyperlink>
      <w:r>
        <w:rPr>
          <w:rFonts w:asciiTheme="majorBidi" w:hAnsiTheme="majorBidi" w:cstheme="majorBidi"/>
          <w:sz w:val="20"/>
          <w:szCs w:val="20"/>
        </w:rPr>
        <w:t>. [</w:t>
      </w:r>
      <w:r w:rsidR="00DF6550" w:rsidRPr="00F30962">
        <w:rPr>
          <w:rFonts w:asciiTheme="majorBidi" w:hAnsiTheme="majorBidi" w:cstheme="majorBidi"/>
          <w:sz w:val="20"/>
          <w:szCs w:val="20"/>
        </w:rPr>
        <w:t>Retrieved</w:t>
      </w:r>
      <w:r w:rsidRPr="00F30962">
        <w:rPr>
          <w:rFonts w:asciiTheme="majorBidi" w:hAnsiTheme="majorBidi" w:cstheme="majorBidi"/>
          <w:sz w:val="20"/>
          <w:szCs w:val="20"/>
        </w:rPr>
        <w:t>: September2013</w:t>
      </w:r>
      <w:r>
        <w:rPr>
          <w:rFonts w:asciiTheme="majorBidi" w:hAnsiTheme="majorBidi" w:cstheme="majorBidi"/>
          <w:sz w:val="20"/>
          <w:szCs w:val="20"/>
        </w:rPr>
        <w:t>]</w:t>
      </w:r>
      <w:r w:rsidRPr="00F30962">
        <w:rPr>
          <w:rFonts w:asciiTheme="majorBidi" w:hAnsiTheme="majorBidi" w:cstheme="majorBidi"/>
          <w:sz w:val="20"/>
          <w:szCs w:val="20"/>
        </w:rPr>
        <w:t xml:space="preserve">. </w:t>
      </w:r>
    </w:p>
    <w:p w:rsidR="00EF4037" w:rsidRDefault="00EF4037" w:rsidP="00EF4037">
      <w:pPr>
        <w:jc w:val="both"/>
        <w:rPr>
          <w:rFonts w:asciiTheme="majorBidi" w:hAnsiTheme="majorBidi" w:cstheme="majorBidi"/>
          <w:sz w:val="20"/>
          <w:szCs w:val="20"/>
        </w:rPr>
      </w:pPr>
      <w:r>
        <w:rPr>
          <w:rFonts w:asciiTheme="majorBidi" w:hAnsiTheme="majorBidi" w:cstheme="majorBidi"/>
          <w:sz w:val="20"/>
          <w:szCs w:val="20"/>
        </w:rPr>
        <w:t xml:space="preserve">Cali,Basak. 2010.  </w:t>
      </w:r>
      <w:r w:rsidRPr="00FC1A9C">
        <w:rPr>
          <w:rFonts w:asciiTheme="majorBidi" w:hAnsiTheme="majorBidi" w:cstheme="majorBidi"/>
          <w:i/>
          <w:iCs/>
          <w:sz w:val="20"/>
          <w:szCs w:val="20"/>
        </w:rPr>
        <w:t>International Law for International Relations</w:t>
      </w:r>
      <w:r>
        <w:rPr>
          <w:rFonts w:asciiTheme="majorBidi" w:hAnsiTheme="majorBidi" w:cstheme="majorBidi"/>
          <w:sz w:val="20"/>
          <w:szCs w:val="20"/>
        </w:rPr>
        <w:t xml:space="preserve">. Oxford: OUP Oxford. </w:t>
      </w:r>
    </w:p>
    <w:p w:rsidR="00EF4037" w:rsidRDefault="00EF4037" w:rsidP="00EF4037">
      <w:pPr>
        <w:pStyle w:val="FootnoteText"/>
        <w:jc w:val="both"/>
        <w:rPr>
          <w:rFonts w:asciiTheme="majorBidi" w:hAnsiTheme="majorBidi" w:cstheme="majorBidi"/>
        </w:rPr>
      </w:pPr>
      <w:r w:rsidRPr="00470A19">
        <w:rPr>
          <w:rFonts w:asciiTheme="majorBidi" w:hAnsiTheme="majorBidi" w:cstheme="majorBidi"/>
        </w:rPr>
        <w:t xml:space="preserve">Cameron, </w:t>
      </w:r>
      <w:r>
        <w:rPr>
          <w:rFonts w:asciiTheme="majorBidi" w:hAnsiTheme="majorBidi" w:cstheme="majorBidi"/>
        </w:rPr>
        <w:t>Lindsey. 2013.</w:t>
      </w:r>
      <w:r w:rsidRPr="00470A19">
        <w:rPr>
          <w:rFonts w:asciiTheme="majorBidi" w:hAnsiTheme="majorBidi" w:cstheme="majorBidi"/>
        </w:rPr>
        <w:t xml:space="preserve"> </w:t>
      </w:r>
      <w:r w:rsidRPr="00470A19">
        <w:rPr>
          <w:rFonts w:asciiTheme="majorBidi" w:hAnsiTheme="majorBidi" w:cstheme="majorBidi"/>
          <w:i/>
          <w:iCs/>
        </w:rPr>
        <w:t>Privatizing War: Private Military and Security Companies under Public International Law</w:t>
      </w:r>
      <w:r>
        <w:rPr>
          <w:rFonts w:asciiTheme="majorBidi" w:hAnsiTheme="majorBidi" w:cstheme="majorBidi"/>
        </w:rPr>
        <w:t xml:space="preserve">. </w:t>
      </w:r>
      <w:r w:rsidRPr="001B650D">
        <w:rPr>
          <w:rFonts w:asciiTheme="majorBidi" w:hAnsiTheme="majorBidi" w:cstheme="majorBidi"/>
        </w:rPr>
        <w:t>Cambridge</w:t>
      </w:r>
      <w:r>
        <w:rPr>
          <w:rFonts w:asciiTheme="majorBidi" w:hAnsiTheme="majorBidi" w:cstheme="majorBidi"/>
        </w:rPr>
        <w:t xml:space="preserve">: </w:t>
      </w:r>
      <w:r w:rsidRPr="00470A19">
        <w:rPr>
          <w:rFonts w:asciiTheme="majorBidi" w:hAnsiTheme="majorBidi" w:cstheme="majorBidi"/>
        </w:rPr>
        <w:t>Cambri</w:t>
      </w:r>
      <w:r>
        <w:rPr>
          <w:rFonts w:asciiTheme="majorBidi" w:hAnsiTheme="majorBidi" w:cstheme="majorBidi"/>
        </w:rPr>
        <w:t>dge University Press.</w:t>
      </w:r>
    </w:p>
    <w:p w:rsidR="00EF4037" w:rsidRDefault="00EF4037" w:rsidP="00EF4037">
      <w:pPr>
        <w:jc w:val="both"/>
        <w:rPr>
          <w:rFonts w:asciiTheme="majorBidi" w:hAnsiTheme="majorBidi" w:cstheme="majorBidi"/>
          <w:sz w:val="20"/>
          <w:szCs w:val="20"/>
        </w:rPr>
      </w:pPr>
    </w:p>
    <w:p w:rsidR="00EF4037" w:rsidRDefault="00EF4037" w:rsidP="00EF4037">
      <w:pPr>
        <w:jc w:val="both"/>
        <w:rPr>
          <w:rFonts w:asciiTheme="majorBidi" w:hAnsiTheme="majorBidi" w:cstheme="majorBidi"/>
          <w:sz w:val="20"/>
          <w:szCs w:val="20"/>
        </w:rPr>
      </w:pPr>
      <w:r w:rsidRPr="001B650D">
        <w:rPr>
          <w:rFonts w:asciiTheme="majorBidi" w:hAnsiTheme="majorBidi" w:cstheme="majorBidi"/>
          <w:sz w:val="20"/>
          <w:szCs w:val="20"/>
        </w:rPr>
        <w:t>Clapham,</w:t>
      </w:r>
      <w:r w:rsidRPr="00286A9A">
        <w:rPr>
          <w:rFonts w:asciiTheme="majorBidi" w:hAnsiTheme="majorBidi" w:cstheme="majorBidi"/>
          <w:sz w:val="20"/>
          <w:szCs w:val="20"/>
        </w:rPr>
        <w:t xml:space="preserve"> </w:t>
      </w:r>
      <w:r w:rsidRPr="001B650D">
        <w:rPr>
          <w:rFonts w:asciiTheme="majorBidi" w:hAnsiTheme="majorBidi" w:cstheme="majorBidi"/>
          <w:sz w:val="20"/>
          <w:szCs w:val="20"/>
        </w:rPr>
        <w:t>Andrew</w:t>
      </w:r>
      <w:r>
        <w:rPr>
          <w:rFonts w:asciiTheme="majorBidi" w:hAnsiTheme="majorBidi" w:cstheme="majorBidi"/>
          <w:sz w:val="20"/>
          <w:szCs w:val="20"/>
        </w:rPr>
        <w:t xml:space="preserve">. 2010. </w:t>
      </w:r>
      <w:r w:rsidRPr="00286A9A">
        <w:rPr>
          <w:rFonts w:asciiTheme="majorBidi" w:hAnsiTheme="majorBidi" w:cstheme="majorBidi"/>
          <w:i/>
          <w:iCs/>
          <w:sz w:val="20"/>
          <w:szCs w:val="20"/>
        </w:rPr>
        <w:t>The Rights and Responsibilities of Armed Non-State Actors: The Legal Landscape &amp; Issues Surrounding Engagement.</w:t>
      </w:r>
      <w:r w:rsidRPr="001B650D">
        <w:rPr>
          <w:rFonts w:asciiTheme="majorBidi" w:hAnsiTheme="majorBidi" w:cstheme="majorBidi"/>
          <w:sz w:val="20"/>
          <w:szCs w:val="20"/>
        </w:rPr>
        <w:t xml:space="preserve"> </w:t>
      </w:r>
      <w:r w:rsidRPr="00FA0ACF">
        <w:rPr>
          <w:rFonts w:asciiTheme="majorBidi" w:hAnsiTheme="majorBidi" w:cstheme="majorBidi"/>
          <w:i/>
          <w:iCs/>
          <w:sz w:val="20"/>
          <w:szCs w:val="20"/>
        </w:rPr>
        <w:t>Geneva Academy of International Humanitarian Law and Human Rights</w:t>
      </w:r>
      <w:r>
        <w:rPr>
          <w:rFonts w:asciiTheme="majorBidi" w:hAnsiTheme="majorBidi" w:cstheme="majorBidi"/>
          <w:i/>
          <w:iCs/>
          <w:sz w:val="20"/>
          <w:szCs w:val="20"/>
        </w:rPr>
        <w:t xml:space="preserve">. </w:t>
      </w:r>
      <w:r w:rsidRPr="001B650D">
        <w:rPr>
          <w:rFonts w:asciiTheme="majorBidi" w:hAnsiTheme="majorBidi" w:cstheme="majorBidi"/>
          <w:sz w:val="20"/>
          <w:szCs w:val="20"/>
        </w:rPr>
        <w:t xml:space="preserve"> </w:t>
      </w:r>
      <w:r>
        <w:rPr>
          <w:rFonts w:asciiTheme="majorBidi" w:hAnsiTheme="majorBidi" w:cstheme="majorBidi"/>
          <w:sz w:val="20"/>
          <w:szCs w:val="20"/>
        </w:rPr>
        <w:t xml:space="preserve">Available from: http://ssrn.com/abstract=1569636. [Retrieved: 2013]. </w:t>
      </w:r>
    </w:p>
    <w:p w:rsidR="00EF4037" w:rsidRPr="001B650D" w:rsidRDefault="00EF4037" w:rsidP="00EF4037">
      <w:pPr>
        <w:jc w:val="both"/>
        <w:rPr>
          <w:rFonts w:asciiTheme="majorBidi" w:hAnsiTheme="majorBidi" w:cstheme="majorBidi"/>
          <w:sz w:val="20"/>
          <w:szCs w:val="20"/>
        </w:rPr>
      </w:pPr>
      <w:r>
        <w:rPr>
          <w:rFonts w:asciiTheme="majorBidi" w:hAnsiTheme="majorBidi" w:cstheme="majorBidi"/>
          <w:sz w:val="20"/>
          <w:szCs w:val="20"/>
        </w:rPr>
        <w:lastRenderedPageBreak/>
        <w:t xml:space="preserve">Crawford,James. 2002.  </w:t>
      </w:r>
      <w:r w:rsidRPr="00D55921">
        <w:rPr>
          <w:rFonts w:asciiTheme="majorBidi" w:hAnsiTheme="majorBidi" w:cstheme="majorBidi"/>
          <w:i/>
          <w:iCs/>
          <w:sz w:val="20"/>
          <w:szCs w:val="20"/>
        </w:rPr>
        <w:t>The International Law Commissions Articles on State Responsibility: Introduction, Text and Commentaries</w:t>
      </w:r>
      <w:r>
        <w:rPr>
          <w:rFonts w:asciiTheme="majorBidi" w:hAnsiTheme="majorBidi" w:cstheme="majorBidi"/>
          <w:sz w:val="20"/>
          <w:szCs w:val="20"/>
        </w:rPr>
        <w:t xml:space="preserve">. </w:t>
      </w:r>
      <w:r w:rsidRPr="001B650D">
        <w:rPr>
          <w:rFonts w:asciiTheme="majorBidi" w:hAnsiTheme="majorBidi" w:cstheme="majorBidi"/>
          <w:sz w:val="20"/>
          <w:szCs w:val="20"/>
        </w:rPr>
        <w:t>Cambridge</w:t>
      </w:r>
      <w:r>
        <w:rPr>
          <w:rFonts w:asciiTheme="majorBidi" w:hAnsiTheme="majorBidi" w:cstheme="majorBidi"/>
          <w:sz w:val="20"/>
          <w:szCs w:val="20"/>
        </w:rPr>
        <w:t>: Cambridge University Press..</w:t>
      </w:r>
    </w:p>
    <w:p w:rsidR="00EF4037" w:rsidRPr="00FA0ACF" w:rsidRDefault="00EF4037" w:rsidP="00EF4037">
      <w:pPr>
        <w:jc w:val="both"/>
        <w:rPr>
          <w:rFonts w:asciiTheme="majorBidi" w:hAnsiTheme="majorBidi" w:cstheme="majorBidi"/>
          <w:sz w:val="20"/>
          <w:szCs w:val="20"/>
        </w:rPr>
      </w:pPr>
      <w:r>
        <w:rPr>
          <w:rFonts w:asciiTheme="majorBidi" w:hAnsiTheme="majorBidi" w:cstheme="majorBidi"/>
          <w:sz w:val="20"/>
          <w:szCs w:val="20"/>
        </w:rPr>
        <w:t>D</w:t>
      </w:r>
      <w:r w:rsidRPr="00FA0ACF">
        <w:rPr>
          <w:rFonts w:asciiTheme="majorBidi" w:hAnsiTheme="majorBidi" w:cstheme="majorBidi"/>
          <w:sz w:val="20"/>
          <w:szCs w:val="20"/>
        </w:rPr>
        <w:t xml:space="preserve"> Aspremont</w:t>
      </w:r>
      <w:r>
        <w:rPr>
          <w:rFonts w:asciiTheme="majorBidi" w:hAnsiTheme="majorBidi" w:cstheme="majorBidi"/>
          <w:sz w:val="20"/>
          <w:szCs w:val="20"/>
        </w:rPr>
        <w:t>,</w:t>
      </w:r>
      <w:r w:rsidRPr="00FA0ACF">
        <w:rPr>
          <w:rFonts w:asciiTheme="majorBidi" w:hAnsiTheme="majorBidi" w:cstheme="majorBidi"/>
          <w:sz w:val="20"/>
          <w:szCs w:val="20"/>
        </w:rPr>
        <w:t xml:space="preserve"> Jean</w:t>
      </w:r>
      <w:r>
        <w:rPr>
          <w:rFonts w:asciiTheme="majorBidi" w:hAnsiTheme="majorBidi" w:cstheme="majorBidi"/>
          <w:sz w:val="20"/>
          <w:szCs w:val="20"/>
        </w:rPr>
        <w:t xml:space="preserve">. 2009. </w:t>
      </w:r>
      <w:r w:rsidRPr="00FA0ACF">
        <w:rPr>
          <w:rFonts w:asciiTheme="majorBidi" w:hAnsiTheme="majorBidi" w:cstheme="majorBidi"/>
          <w:sz w:val="20"/>
          <w:szCs w:val="20"/>
        </w:rPr>
        <w:t>“Rebellion and State Responsibility: Wrongdoing by Democratically Elected Insurgents</w:t>
      </w:r>
      <w:r>
        <w:rPr>
          <w:rFonts w:asciiTheme="majorBidi" w:hAnsiTheme="majorBidi" w:cstheme="majorBidi"/>
          <w:sz w:val="20"/>
          <w:szCs w:val="20"/>
        </w:rPr>
        <w:t>.</w:t>
      </w:r>
      <w:r w:rsidRPr="00FA0ACF">
        <w:rPr>
          <w:rFonts w:asciiTheme="majorBidi" w:hAnsiTheme="majorBidi" w:cstheme="majorBidi"/>
          <w:sz w:val="20"/>
          <w:szCs w:val="20"/>
        </w:rPr>
        <w:t xml:space="preserve">” </w:t>
      </w:r>
      <w:r w:rsidRPr="00FA0ACF">
        <w:rPr>
          <w:rFonts w:asciiTheme="majorBidi" w:hAnsiTheme="majorBidi" w:cstheme="majorBidi"/>
          <w:i/>
          <w:iCs/>
          <w:sz w:val="20"/>
          <w:szCs w:val="20"/>
        </w:rPr>
        <w:t>International and Comparative Law Quarterly</w:t>
      </w:r>
      <w:r>
        <w:rPr>
          <w:rFonts w:asciiTheme="majorBidi" w:hAnsiTheme="majorBidi" w:cstheme="majorBidi"/>
          <w:sz w:val="20"/>
          <w:szCs w:val="20"/>
        </w:rPr>
        <w:t>. 58</w:t>
      </w:r>
      <w:r w:rsidRPr="00FA0ACF">
        <w:rPr>
          <w:rFonts w:asciiTheme="majorBidi" w:hAnsiTheme="majorBidi" w:cstheme="majorBidi"/>
          <w:sz w:val="20"/>
          <w:szCs w:val="20"/>
        </w:rPr>
        <w:t>.</w:t>
      </w:r>
    </w:p>
    <w:p w:rsidR="00EF4037" w:rsidRDefault="00EF4037" w:rsidP="00EF4037">
      <w:pPr>
        <w:jc w:val="both"/>
        <w:rPr>
          <w:rFonts w:asciiTheme="majorBidi" w:hAnsiTheme="majorBidi" w:cstheme="majorBidi"/>
          <w:sz w:val="20"/>
          <w:szCs w:val="20"/>
        </w:rPr>
      </w:pPr>
      <w:r>
        <w:rPr>
          <w:rFonts w:asciiTheme="majorBidi" w:hAnsiTheme="majorBidi" w:cstheme="majorBidi"/>
          <w:sz w:val="20"/>
          <w:szCs w:val="20"/>
        </w:rPr>
        <w:t xml:space="preserve">Dumberry,Patrick . 2006. </w:t>
      </w:r>
      <w:r w:rsidRPr="003D7B63">
        <w:rPr>
          <w:rFonts w:asciiTheme="majorBidi" w:hAnsiTheme="majorBidi" w:cstheme="majorBidi"/>
          <w:sz w:val="20"/>
          <w:szCs w:val="20"/>
        </w:rPr>
        <w:t>“New State Responsibility for Internationally Wrongful Act</w:t>
      </w:r>
      <w:r>
        <w:rPr>
          <w:rFonts w:asciiTheme="majorBidi" w:hAnsiTheme="majorBidi" w:cstheme="majorBidi"/>
          <w:sz w:val="20"/>
          <w:szCs w:val="20"/>
        </w:rPr>
        <w:t>s by an Insurrectional Movement.</w:t>
      </w:r>
      <w:r w:rsidRPr="003D7B63">
        <w:rPr>
          <w:rFonts w:asciiTheme="majorBidi" w:hAnsiTheme="majorBidi" w:cstheme="majorBidi"/>
          <w:sz w:val="20"/>
          <w:szCs w:val="20"/>
        </w:rPr>
        <w:t>”</w:t>
      </w:r>
      <w:r w:rsidRPr="001B650D">
        <w:rPr>
          <w:rFonts w:asciiTheme="majorBidi" w:hAnsiTheme="majorBidi" w:cstheme="majorBidi"/>
          <w:sz w:val="20"/>
          <w:szCs w:val="20"/>
        </w:rPr>
        <w:t xml:space="preserve"> </w:t>
      </w:r>
      <w:r w:rsidRPr="003D7B63">
        <w:rPr>
          <w:rFonts w:asciiTheme="majorBidi" w:hAnsiTheme="majorBidi" w:cstheme="majorBidi"/>
          <w:i/>
          <w:iCs/>
          <w:sz w:val="20"/>
          <w:szCs w:val="20"/>
        </w:rPr>
        <w:t xml:space="preserve">The European Journal of International </w:t>
      </w:r>
      <w:r w:rsidR="00DF6550" w:rsidRPr="003D7B63">
        <w:rPr>
          <w:rFonts w:asciiTheme="majorBidi" w:hAnsiTheme="majorBidi" w:cstheme="majorBidi"/>
          <w:i/>
          <w:iCs/>
          <w:sz w:val="20"/>
          <w:szCs w:val="20"/>
        </w:rPr>
        <w:t>Law (</w:t>
      </w:r>
      <w:r w:rsidRPr="003D7B63">
        <w:rPr>
          <w:rFonts w:asciiTheme="majorBidi" w:hAnsiTheme="majorBidi" w:cstheme="majorBidi"/>
          <w:i/>
          <w:iCs/>
          <w:sz w:val="20"/>
          <w:szCs w:val="20"/>
        </w:rPr>
        <w:t>EJIL</w:t>
      </w:r>
      <w:r>
        <w:rPr>
          <w:rFonts w:asciiTheme="majorBidi" w:hAnsiTheme="majorBidi" w:cstheme="majorBidi"/>
          <w:sz w:val="20"/>
          <w:szCs w:val="20"/>
        </w:rPr>
        <w:t>).</w:t>
      </w:r>
      <w:r w:rsidRPr="001B650D">
        <w:rPr>
          <w:rFonts w:asciiTheme="majorBidi" w:hAnsiTheme="majorBidi" w:cstheme="majorBidi"/>
          <w:sz w:val="20"/>
          <w:szCs w:val="20"/>
        </w:rPr>
        <w:t xml:space="preserve"> 17</w:t>
      </w:r>
      <w:r>
        <w:rPr>
          <w:rFonts w:asciiTheme="majorBidi" w:hAnsiTheme="majorBidi" w:cstheme="majorBidi"/>
          <w:sz w:val="20"/>
          <w:szCs w:val="20"/>
        </w:rPr>
        <w:t xml:space="preserve"> (</w:t>
      </w:r>
      <w:r w:rsidRPr="001B650D">
        <w:rPr>
          <w:rFonts w:asciiTheme="majorBidi" w:hAnsiTheme="majorBidi" w:cstheme="majorBidi"/>
          <w:sz w:val="20"/>
          <w:szCs w:val="20"/>
        </w:rPr>
        <w:t>3</w:t>
      </w:r>
      <w:r>
        <w:rPr>
          <w:rFonts w:asciiTheme="majorBidi" w:hAnsiTheme="majorBidi" w:cstheme="majorBidi"/>
          <w:sz w:val="20"/>
          <w:szCs w:val="20"/>
        </w:rPr>
        <w:t>).</w:t>
      </w:r>
    </w:p>
    <w:p w:rsidR="00EF4037" w:rsidRDefault="00EF4037" w:rsidP="00EF4037">
      <w:pPr>
        <w:jc w:val="both"/>
        <w:rPr>
          <w:rFonts w:asciiTheme="majorBidi" w:hAnsiTheme="majorBidi" w:cstheme="majorBidi"/>
          <w:sz w:val="20"/>
          <w:szCs w:val="20"/>
        </w:rPr>
      </w:pPr>
      <w:r>
        <w:rPr>
          <w:rFonts w:asciiTheme="majorBidi" w:hAnsiTheme="majorBidi" w:cstheme="majorBidi"/>
          <w:sz w:val="20"/>
          <w:szCs w:val="20"/>
        </w:rPr>
        <w:t xml:space="preserve">Dudouet, Veronique. 2009. “From War to Politics: Resistance/Liberation Movements in Transition.” </w:t>
      </w:r>
      <w:r w:rsidR="00DF6550" w:rsidRPr="00141778">
        <w:rPr>
          <w:rFonts w:asciiTheme="majorBidi" w:hAnsiTheme="majorBidi" w:cstheme="majorBidi"/>
          <w:i/>
          <w:iCs/>
          <w:sz w:val="20"/>
          <w:szCs w:val="20"/>
        </w:rPr>
        <w:t>Bergof Report</w:t>
      </w:r>
      <w:r>
        <w:rPr>
          <w:rFonts w:asciiTheme="majorBidi" w:hAnsiTheme="majorBidi" w:cstheme="majorBidi"/>
          <w:i/>
          <w:iCs/>
          <w:sz w:val="20"/>
          <w:szCs w:val="20"/>
        </w:rPr>
        <w:t>.</w:t>
      </w:r>
      <w:r>
        <w:rPr>
          <w:rFonts w:asciiTheme="majorBidi" w:hAnsiTheme="majorBidi" w:cstheme="majorBidi"/>
          <w:sz w:val="20"/>
          <w:szCs w:val="20"/>
        </w:rPr>
        <w:t>, 17.</w:t>
      </w:r>
    </w:p>
    <w:p w:rsidR="00EF4037" w:rsidRPr="001B650D" w:rsidRDefault="00EF4037" w:rsidP="00EF4037">
      <w:pPr>
        <w:jc w:val="both"/>
        <w:rPr>
          <w:rFonts w:asciiTheme="majorBidi" w:hAnsiTheme="majorBidi" w:cstheme="majorBidi"/>
          <w:sz w:val="20"/>
          <w:szCs w:val="20"/>
        </w:rPr>
      </w:pPr>
      <w:r>
        <w:rPr>
          <w:rFonts w:asciiTheme="majorBidi" w:hAnsiTheme="majorBidi" w:cstheme="majorBidi"/>
          <w:sz w:val="20"/>
          <w:szCs w:val="20"/>
        </w:rPr>
        <w:t xml:space="preserve">Geiss,Robin. 2011. </w:t>
      </w:r>
      <w:r w:rsidRPr="00CD4F1B">
        <w:rPr>
          <w:rFonts w:asciiTheme="majorBidi" w:hAnsiTheme="majorBidi" w:cstheme="majorBidi"/>
          <w:i/>
          <w:iCs/>
          <w:sz w:val="20"/>
          <w:szCs w:val="20"/>
        </w:rPr>
        <w:t>Piracy and Armed Robbery at Sea: The Legal Framework for Counter-Piracy Operations in Somalia and the Gulf of Aden</w:t>
      </w:r>
      <w:r>
        <w:rPr>
          <w:rFonts w:asciiTheme="majorBidi" w:hAnsiTheme="majorBidi" w:cstheme="majorBidi"/>
          <w:sz w:val="20"/>
          <w:szCs w:val="20"/>
        </w:rPr>
        <w:t xml:space="preserve">. Oxford: OUP Oxford. </w:t>
      </w:r>
    </w:p>
    <w:p w:rsidR="00EF4037" w:rsidRDefault="00EF4037" w:rsidP="00EF4037">
      <w:pPr>
        <w:jc w:val="both"/>
        <w:rPr>
          <w:rStyle w:val="st"/>
          <w:rFonts w:asciiTheme="majorBidi" w:hAnsiTheme="majorBidi"/>
          <w:sz w:val="20"/>
          <w:szCs w:val="20"/>
        </w:rPr>
      </w:pPr>
      <w:r>
        <w:rPr>
          <w:rFonts w:asciiTheme="majorBidi" w:hAnsiTheme="majorBidi" w:cstheme="majorBidi"/>
          <w:sz w:val="20"/>
          <w:szCs w:val="20"/>
        </w:rPr>
        <w:t xml:space="preserve">General Assembly of the United Nations, sixty-sixth session, </w:t>
      </w:r>
      <w:r w:rsidRPr="000F717A">
        <w:rPr>
          <w:rFonts w:asciiTheme="majorBidi" w:hAnsiTheme="majorBidi" w:cstheme="majorBidi"/>
          <w:sz w:val="20"/>
          <w:szCs w:val="20"/>
        </w:rPr>
        <w:t>A/66/PV.2</w:t>
      </w:r>
      <w:r>
        <w:rPr>
          <w:rFonts w:asciiTheme="majorBidi" w:hAnsiTheme="majorBidi" w:cstheme="majorBidi"/>
          <w:sz w:val="20"/>
          <w:szCs w:val="20"/>
        </w:rPr>
        <w:t xml:space="preserve"> Zoe Howe, </w:t>
      </w:r>
      <w:r>
        <w:rPr>
          <w:rFonts w:asciiTheme="majorBidi" w:hAnsiTheme="majorBidi" w:cstheme="majorBidi"/>
          <w:i/>
          <w:iCs/>
          <w:sz w:val="20"/>
          <w:szCs w:val="20"/>
        </w:rPr>
        <w:t>Note 3</w:t>
      </w:r>
      <w:r w:rsidRPr="001B650D">
        <w:rPr>
          <w:rStyle w:val="st"/>
          <w:rFonts w:asciiTheme="majorBidi" w:hAnsiTheme="majorBidi"/>
          <w:sz w:val="20"/>
          <w:szCs w:val="20"/>
        </w:rPr>
        <w:t>, P423.</w:t>
      </w:r>
    </w:p>
    <w:p w:rsidR="00EF4037" w:rsidRDefault="00EF4037" w:rsidP="00EF4037">
      <w:pPr>
        <w:jc w:val="both"/>
        <w:rPr>
          <w:rFonts w:asciiTheme="majorBidi" w:hAnsiTheme="majorBidi" w:cstheme="majorBidi"/>
          <w:sz w:val="20"/>
          <w:szCs w:val="20"/>
        </w:rPr>
      </w:pPr>
      <w:r>
        <w:rPr>
          <w:rFonts w:asciiTheme="majorBidi" w:hAnsiTheme="majorBidi" w:cstheme="majorBidi"/>
          <w:sz w:val="20"/>
          <w:szCs w:val="20"/>
        </w:rPr>
        <w:t xml:space="preserve">Hauck, Pierre. 2006.  </w:t>
      </w:r>
      <w:r w:rsidRPr="003F60B5">
        <w:rPr>
          <w:rFonts w:asciiTheme="majorBidi" w:hAnsiTheme="majorBidi" w:cstheme="majorBidi"/>
          <w:i/>
          <w:iCs/>
          <w:sz w:val="20"/>
          <w:szCs w:val="20"/>
        </w:rPr>
        <w:t>International Law and Transnational Organized Crime</w:t>
      </w:r>
      <w:r>
        <w:rPr>
          <w:rFonts w:asciiTheme="majorBidi" w:hAnsiTheme="majorBidi" w:cstheme="majorBidi"/>
          <w:sz w:val="20"/>
          <w:szCs w:val="20"/>
        </w:rPr>
        <w:t>. Oxford: Oxford University Press.</w:t>
      </w:r>
    </w:p>
    <w:p w:rsidR="00EF4037" w:rsidRDefault="00EF4037" w:rsidP="00EF4037">
      <w:pPr>
        <w:jc w:val="both"/>
        <w:rPr>
          <w:rFonts w:asciiTheme="majorBidi" w:hAnsiTheme="majorBidi" w:cstheme="majorBidi"/>
          <w:sz w:val="20"/>
          <w:szCs w:val="20"/>
        </w:rPr>
      </w:pPr>
      <w:r w:rsidRPr="00F30962">
        <w:rPr>
          <w:rFonts w:asciiTheme="majorBidi" w:hAnsiTheme="majorBidi" w:cstheme="majorBidi"/>
          <w:sz w:val="20"/>
          <w:szCs w:val="20"/>
        </w:rPr>
        <w:t>Howe, Zoe</w:t>
      </w:r>
      <w:r>
        <w:rPr>
          <w:rFonts w:asciiTheme="majorBidi" w:hAnsiTheme="majorBidi" w:cstheme="majorBidi"/>
          <w:sz w:val="20"/>
          <w:szCs w:val="20"/>
        </w:rPr>
        <w:t>. 2012.</w:t>
      </w:r>
      <w:r w:rsidRPr="00F30962">
        <w:rPr>
          <w:rFonts w:asciiTheme="majorBidi" w:hAnsiTheme="majorBidi" w:cstheme="majorBidi"/>
          <w:sz w:val="20"/>
          <w:szCs w:val="20"/>
        </w:rPr>
        <w:t xml:space="preserve"> “Can the 1954 Hague Convention Apply to Non-state Actors</w:t>
      </w:r>
      <w:r w:rsidR="00B86BF0" w:rsidRPr="00F30962">
        <w:rPr>
          <w:rFonts w:asciiTheme="majorBidi" w:hAnsiTheme="majorBidi" w:cstheme="majorBidi"/>
          <w:sz w:val="20"/>
          <w:szCs w:val="20"/>
        </w:rPr>
        <w:t>?</w:t>
      </w:r>
      <w:r w:rsidRPr="00F30962">
        <w:rPr>
          <w:rFonts w:asciiTheme="majorBidi" w:hAnsiTheme="majorBidi" w:cstheme="majorBidi"/>
          <w:sz w:val="20"/>
          <w:szCs w:val="20"/>
        </w:rPr>
        <w:t xml:space="preserve"> A Study of I</w:t>
      </w:r>
      <w:r>
        <w:rPr>
          <w:rFonts w:asciiTheme="majorBidi" w:hAnsiTheme="majorBidi" w:cstheme="majorBidi"/>
          <w:sz w:val="20"/>
          <w:szCs w:val="20"/>
        </w:rPr>
        <w:t>raq and Libya.</w:t>
      </w:r>
      <w:r w:rsidRPr="00F30962">
        <w:rPr>
          <w:rFonts w:asciiTheme="majorBidi" w:hAnsiTheme="majorBidi" w:cstheme="majorBidi"/>
          <w:sz w:val="20"/>
          <w:szCs w:val="20"/>
        </w:rPr>
        <w:t xml:space="preserve">” </w:t>
      </w:r>
      <w:r w:rsidRPr="00F30962">
        <w:rPr>
          <w:rFonts w:asciiTheme="majorBidi" w:hAnsiTheme="majorBidi" w:cstheme="majorBidi"/>
          <w:i/>
          <w:iCs/>
          <w:sz w:val="20"/>
          <w:szCs w:val="20"/>
        </w:rPr>
        <w:t>Texas International Law Journal</w:t>
      </w:r>
      <w:r>
        <w:rPr>
          <w:rFonts w:asciiTheme="majorBidi" w:hAnsiTheme="majorBidi" w:cstheme="majorBidi"/>
          <w:sz w:val="20"/>
          <w:szCs w:val="20"/>
        </w:rPr>
        <w:t>.</w:t>
      </w:r>
      <w:r w:rsidRPr="00F30962">
        <w:rPr>
          <w:rFonts w:asciiTheme="majorBidi" w:hAnsiTheme="majorBidi" w:cstheme="majorBidi"/>
          <w:sz w:val="20"/>
          <w:szCs w:val="20"/>
        </w:rPr>
        <w:t xml:space="preserve"> 47</w:t>
      </w:r>
      <w:r w:rsidR="00B86BF0">
        <w:rPr>
          <w:rFonts w:asciiTheme="majorBidi" w:hAnsiTheme="majorBidi" w:cstheme="majorBidi"/>
          <w:sz w:val="20"/>
          <w:szCs w:val="20"/>
        </w:rPr>
        <w:t>(</w:t>
      </w:r>
      <w:r w:rsidR="00B86BF0" w:rsidRPr="00F30962">
        <w:rPr>
          <w:rFonts w:asciiTheme="majorBidi" w:hAnsiTheme="majorBidi" w:cstheme="majorBidi"/>
          <w:sz w:val="20"/>
          <w:szCs w:val="20"/>
        </w:rPr>
        <w:t>2</w:t>
      </w:r>
      <w:r>
        <w:rPr>
          <w:rFonts w:asciiTheme="majorBidi" w:hAnsiTheme="majorBidi" w:cstheme="majorBidi"/>
          <w:sz w:val="20"/>
          <w:szCs w:val="20"/>
        </w:rPr>
        <w:t xml:space="preserve">). </w:t>
      </w:r>
    </w:p>
    <w:p w:rsidR="00EF4037" w:rsidRPr="001B650D" w:rsidRDefault="00EF4037" w:rsidP="00EF4037">
      <w:pPr>
        <w:jc w:val="both"/>
        <w:rPr>
          <w:rFonts w:asciiTheme="majorBidi" w:hAnsiTheme="majorBidi" w:cstheme="majorBidi"/>
          <w:sz w:val="20"/>
          <w:szCs w:val="20"/>
        </w:rPr>
      </w:pPr>
      <w:r w:rsidRPr="001B650D">
        <w:rPr>
          <w:rFonts w:asciiTheme="majorBidi" w:hAnsiTheme="majorBidi" w:cstheme="majorBidi"/>
          <w:sz w:val="20"/>
          <w:szCs w:val="20"/>
        </w:rPr>
        <w:t xml:space="preserve">J. </w:t>
      </w:r>
      <w:r w:rsidR="00B86BF0" w:rsidRPr="001B650D">
        <w:rPr>
          <w:rFonts w:asciiTheme="majorBidi" w:hAnsiTheme="majorBidi" w:cstheme="majorBidi"/>
          <w:sz w:val="20"/>
          <w:szCs w:val="20"/>
        </w:rPr>
        <w:t>Curtis,</w:t>
      </w:r>
      <w:r w:rsidRPr="001B650D">
        <w:rPr>
          <w:rFonts w:asciiTheme="majorBidi" w:hAnsiTheme="majorBidi" w:cstheme="majorBidi"/>
          <w:sz w:val="20"/>
          <w:szCs w:val="20"/>
        </w:rPr>
        <w:t xml:space="preserve"> Vincent</w:t>
      </w:r>
      <w:r>
        <w:rPr>
          <w:rFonts w:asciiTheme="majorBidi" w:hAnsiTheme="majorBidi" w:cstheme="majorBidi"/>
          <w:sz w:val="20"/>
          <w:szCs w:val="20"/>
        </w:rPr>
        <w:t xml:space="preserve">. 2007. </w:t>
      </w:r>
      <w:r w:rsidRPr="001B650D">
        <w:rPr>
          <w:rFonts w:asciiTheme="majorBidi" w:hAnsiTheme="majorBidi" w:cstheme="majorBidi"/>
          <w:sz w:val="20"/>
          <w:szCs w:val="20"/>
        </w:rPr>
        <w:t xml:space="preserve"> </w:t>
      </w:r>
      <w:r w:rsidRPr="003D7B63">
        <w:rPr>
          <w:rFonts w:asciiTheme="majorBidi" w:hAnsiTheme="majorBidi" w:cstheme="majorBidi"/>
          <w:sz w:val="20"/>
          <w:szCs w:val="20"/>
        </w:rPr>
        <w:t>“The Three Block War:</w:t>
      </w:r>
      <w:r>
        <w:rPr>
          <w:rFonts w:asciiTheme="majorBidi" w:hAnsiTheme="majorBidi" w:cstheme="majorBidi"/>
          <w:sz w:val="20"/>
          <w:szCs w:val="20"/>
        </w:rPr>
        <w:t xml:space="preserve"> </w:t>
      </w:r>
      <w:r w:rsidRPr="003D7B63">
        <w:rPr>
          <w:rFonts w:asciiTheme="majorBidi" w:hAnsiTheme="majorBidi" w:cstheme="majorBidi"/>
          <w:sz w:val="20"/>
          <w:szCs w:val="20"/>
        </w:rPr>
        <w:t>Its Ca</w:t>
      </w:r>
      <w:r>
        <w:rPr>
          <w:rFonts w:asciiTheme="majorBidi" w:hAnsiTheme="majorBidi" w:cstheme="majorBidi"/>
          <w:sz w:val="20"/>
          <w:szCs w:val="20"/>
        </w:rPr>
        <w:t>uses and the Shape of the Peace.</w:t>
      </w:r>
      <w:r w:rsidRPr="003D7B63">
        <w:rPr>
          <w:rFonts w:asciiTheme="majorBidi" w:hAnsiTheme="majorBidi" w:cstheme="majorBidi"/>
          <w:sz w:val="20"/>
          <w:szCs w:val="20"/>
        </w:rPr>
        <w:t>”</w:t>
      </w:r>
      <w:r w:rsidRPr="001B650D">
        <w:rPr>
          <w:rFonts w:asciiTheme="majorBidi" w:hAnsiTheme="majorBidi" w:cstheme="majorBidi"/>
          <w:sz w:val="20"/>
          <w:szCs w:val="20"/>
        </w:rPr>
        <w:t xml:space="preserve"> </w:t>
      </w:r>
      <w:r w:rsidRPr="003D7B63">
        <w:rPr>
          <w:rFonts w:asciiTheme="majorBidi" w:hAnsiTheme="majorBidi" w:cstheme="majorBidi"/>
          <w:i/>
          <w:iCs/>
          <w:sz w:val="20"/>
          <w:szCs w:val="20"/>
        </w:rPr>
        <w:t>The Canadian Army Journal</w:t>
      </w:r>
      <w:r>
        <w:rPr>
          <w:rFonts w:asciiTheme="majorBidi" w:hAnsiTheme="majorBidi" w:cstheme="majorBidi"/>
          <w:sz w:val="20"/>
          <w:szCs w:val="20"/>
        </w:rPr>
        <w:t xml:space="preserve">. </w:t>
      </w:r>
      <w:r w:rsidRPr="001B650D">
        <w:rPr>
          <w:rFonts w:asciiTheme="majorBidi" w:hAnsiTheme="majorBidi" w:cstheme="majorBidi"/>
          <w:sz w:val="20"/>
          <w:szCs w:val="20"/>
        </w:rPr>
        <w:t>10</w:t>
      </w:r>
      <w:r>
        <w:rPr>
          <w:rFonts w:asciiTheme="majorBidi" w:hAnsiTheme="majorBidi" w:cstheme="majorBidi"/>
          <w:sz w:val="20"/>
          <w:szCs w:val="20"/>
        </w:rPr>
        <w:t xml:space="preserve"> (2).</w:t>
      </w:r>
    </w:p>
    <w:p w:rsidR="00EF4037" w:rsidRDefault="00EF4037" w:rsidP="00EF4037">
      <w:pPr>
        <w:jc w:val="both"/>
        <w:rPr>
          <w:rFonts w:asciiTheme="majorBidi" w:hAnsiTheme="majorBidi" w:cstheme="majorBidi"/>
          <w:i/>
          <w:iCs/>
          <w:sz w:val="20"/>
          <w:szCs w:val="20"/>
        </w:rPr>
      </w:pPr>
      <w:r w:rsidRPr="001B650D">
        <w:rPr>
          <w:rFonts w:asciiTheme="majorBidi" w:hAnsiTheme="majorBidi" w:cstheme="majorBidi"/>
          <w:sz w:val="20"/>
          <w:szCs w:val="20"/>
        </w:rPr>
        <w:t>Katzman</w:t>
      </w:r>
      <w:r>
        <w:rPr>
          <w:rFonts w:asciiTheme="majorBidi" w:hAnsiTheme="majorBidi" w:cstheme="majorBidi"/>
          <w:sz w:val="20"/>
          <w:szCs w:val="20"/>
        </w:rPr>
        <w:t xml:space="preserve">, </w:t>
      </w:r>
      <w:r w:rsidRPr="001B650D">
        <w:rPr>
          <w:rFonts w:asciiTheme="majorBidi" w:hAnsiTheme="majorBidi" w:cstheme="majorBidi"/>
          <w:sz w:val="20"/>
          <w:szCs w:val="20"/>
        </w:rPr>
        <w:t xml:space="preserve">Kenneth </w:t>
      </w:r>
      <w:r>
        <w:rPr>
          <w:rFonts w:asciiTheme="majorBidi" w:hAnsiTheme="majorBidi" w:cstheme="majorBidi"/>
          <w:sz w:val="20"/>
          <w:szCs w:val="20"/>
        </w:rPr>
        <w:t xml:space="preserve">and Jennifer Elsea. 2004. </w:t>
      </w:r>
      <w:r w:rsidRPr="001B650D">
        <w:rPr>
          <w:rFonts w:asciiTheme="majorBidi" w:hAnsiTheme="majorBidi" w:cstheme="majorBidi"/>
          <w:sz w:val="20"/>
          <w:szCs w:val="20"/>
        </w:rPr>
        <w:t xml:space="preserve"> </w:t>
      </w:r>
      <w:r w:rsidRPr="009B0253">
        <w:rPr>
          <w:rFonts w:asciiTheme="majorBidi" w:hAnsiTheme="majorBidi" w:cstheme="majorBidi"/>
          <w:sz w:val="20"/>
          <w:szCs w:val="20"/>
        </w:rPr>
        <w:t>“Iraq: Transition to Sovereignty.</w:t>
      </w:r>
      <w:r>
        <w:rPr>
          <w:rFonts w:asciiTheme="majorBidi" w:hAnsiTheme="majorBidi" w:cstheme="majorBidi"/>
          <w:sz w:val="20"/>
          <w:szCs w:val="20"/>
        </w:rPr>
        <w:t>”</w:t>
      </w:r>
      <w:r w:rsidRPr="001B650D">
        <w:rPr>
          <w:rFonts w:asciiTheme="majorBidi" w:hAnsiTheme="majorBidi" w:cstheme="majorBidi"/>
          <w:sz w:val="20"/>
          <w:szCs w:val="20"/>
        </w:rPr>
        <w:t xml:space="preserve"> </w:t>
      </w:r>
      <w:r w:rsidRPr="009B0253">
        <w:rPr>
          <w:rFonts w:asciiTheme="majorBidi" w:hAnsiTheme="majorBidi" w:cstheme="majorBidi"/>
          <w:i/>
          <w:iCs/>
          <w:sz w:val="20"/>
          <w:szCs w:val="20"/>
        </w:rPr>
        <w:t>CRS Report for Congress</w:t>
      </w:r>
      <w:r w:rsidRPr="001B650D">
        <w:rPr>
          <w:rFonts w:asciiTheme="majorBidi" w:hAnsiTheme="majorBidi" w:cstheme="majorBidi"/>
          <w:sz w:val="20"/>
          <w:szCs w:val="20"/>
        </w:rPr>
        <w:t xml:space="preserve">, </w:t>
      </w:r>
      <w:r w:rsidR="00B86BF0">
        <w:rPr>
          <w:rFonts w:asciiTheme="majorBidi" w:hAnsiTheme="majorBidi" w:cstheme="majorBidi"/>
          <w:i/>
          <w:iCs/>
          <w:sz w:val="20"/>
          <w:szCs w:val="20"/>
        </w:rPr>
        <w:t>the</w:t>
      </w:r>
      <w:r>
        <w:rPr>
          <w:rFonts w:asciiTheme="majorBidi" w:hAnsiTheme="majorBidi" w:cstheme="majorBidi"/>
          <w:i/>
          <w:iCs/>
          <w:sz w:val="20"/>
          <w:szCs w:val="20"/>
        </w:rPr>
        <w:t xml:space="preserve"> Library of Congress. </w:t>
      </w:r>
    </w:p>
    <w:p w:rsidR="00EF4037" w:rsidRPr="001B650D" w:rsidRDefault="00EF4037" w:rsidP="00EF4037">
      <w:pPr>
        <w:tabs>
          <w:tab w:val="left" w:pos="3064"/>
        </w:tabs>
        <w:jc w:val="both"/>
        <w:rPr>
          <w:rFonts w:asciiTheme="majorBidi" w:hAnsiTheme="majorBidi" w:cstheme="majorBidi"/>
          <w:sz w:val="20"/>
          <w:szCs w:val="20"/>
        </w:rPr>
      </w:pPr>
      <w:r>
        <w:rPr>
          <w:rFonts w:asciiTheme="majorBidi" w:hAnsiTheme="majorBidi" w:cstheme="majorBidi"/>
          <w:sz w:val="20"/>
          <w:szCs w:val="20"/>
        </w:rPr>
        <w:t xml:space="preserve">Kausch,Kristina. 2011. </w:t>
      </w:r>
      <w:r w:rsidRPr="00E110DC">
        <w:rPr>
          <w:rFonts w:asciiTheme="majorBidi" w:hAnsiTheme="majorBidi" w:cstheme="majorBidi"/>
          <w:sz w:val="20"/>
          <w:szCs w:val="20"/>
        </w:rPr>
        <w:t>“Constitutional Reform in Young Arab Democracies</w:t>
      </w:r>
      <w:r>
        <w:rPr>
          <w:rFonts w:asciiTheme="majorBidi" w:hAnsiTheme="majorBidi" w:cstheme="majorBidi"/>
          <w:sz w:val="20"/>
          <w:szCs w:val="20"/>
        </w:rPr>
        <w:t>.”</w:t>
      </w:r>
      <w:r w:rsidRPr="001B650D">
        <w:rPr>
          <w:rFonts w:asciiTheme="majorBidi" w:hAnsiTheme="majorBidi" w:cstheme="majorBidi"/>
          <w:sz w:val="20"/>
          <w:szCs w:val="20"/>
        </w:rPr>
        <w:t xml:space="preserve"> </w:t>
      </w:r>
      <w:r w:rsidRPr="00E110DC">
        <w:rPr>
          <w:rFonts w:asciiTheme="majorBidi" w:hAnsiTheme="majorBidi" w:cstheme="majorBidi"/>
          <w:i/>
          <w:iCs/>
          <w:sz w:val="20"/>
          <w:szCs w:val="20"/>
        </w:rPr>
        <w:t>Policy Brief</w:t>
      </w:r>
      <w:r>
        <w:rPr>
          <w:rFonts w:asciiTheme="majorBidi" w:hAnsiTheme="majorBidi" w:cstheme="majorBidi"/>
          <w:sz w:val="20"/>
          <w:szCs w:val="20"/>
        </w:rPr>
        <w:t>.</w:t>
      </w:r>
      <w:r w:rsidRPr="001B650D">
        <w:rPr>
          <w:rFonts w:asciiTheme="majorBidi" w:hAnsiTheme="majorBidi" w:cstheme="majorBidi"/>
          <w:sz w:val="20"/>
          <w:szCs w:val="20"/>
        </w:rPr>
        <w:t xml:space="preserve"> </w:t>
      </w:r>
      <w:r>
        <w:rPr>
          <w:rFonts w:asciiTheme="majorBidi" w:hAnsiTheme="majorBidi" w:cstheme="majorBidi"/>
          <w:sz w:val="20"/>
          <w:szCs w:val="20"/>
        </w:rPr>
        <w:t>101.</w:t>
      </w:r>
    </w:p>
    <w:p w:rsidR="00EF4037" w:rsidRDefault="00EF4037" w:rsidP="00EF4037">
      <w:pPr>
        <w:jc w:val="both"/>
        <w:rPr>
          <w:rFonts w:asciiTheme="majorBidi" w:hAnsiTheme="majorBidi" w:cstheme="majorBidi"/>
          <w:sz w:val="20"/>
          <w:szCs w:val="20"/>
        </w:rPr>
      </w:pPr>
    </w:p>
    <w:p w:rsidR="00EF4037" w:rsidRPr="00194CD1" w:rsidRDefault="00EF4037" w:rsidP="00EF4037">
      <w:pPr>
        <w:pStyle w:val="Heading2"/>
        <w:rPr>
          <w:rFonts w:asciiTheme="majorBidi" w:hAnsiTheme="majorBidi"/>
          <w:b w:val="0"/>
          <w:bCs w:val="0"/>
          <w:color w:val="auto"/>
          <w:sz w:val="20"/>
          <w:szCs w:val="20"/>
        </w:rPr>
      </w:pPr>
      <w:r w:rsidRPr="00194CD1">
        <w:rPr>
          <w:rStyle w:val="Strong"/>
          <w:rFonts w:asciiTheme="majorBidi" w:hAnsiTheme="majorBidi"/>
          <w:color w:val="auto"/>
          <w:sz w:val="20"/>
          <w:szCs w:val="20"/>
        </w:rPr>
        <w:t>Lacher,</w:t>
      </w:r>
      <w:r>
        <w:rPr>
          <w:rStyle w:val="Strong"/>
          <w:rFonts w:asciiTheme="majorBidi" w:hAnsiTheme="majorBidi"/>
          <w:color w:val="auto"/>
          <w:sz w:val="20"/>
          <w:szCs w:val="20"/>
        </w:rPr>
        <w:t xml:space="preserve"> </w:t>
      </w:r>
      <w:r w:rsidRPr="00194CD1">
        <w:rPr>
          <w:rStyle w:val="Strong"/>
          <w:rFonts w:asciiTheme="majorBidi" w:hAnsiTheme="majorBidi"/>
          <w:color w:val="auto"/>
          <w:sz w:val="20"/>
          <w:szCs w:val="20"/>
        </w:rPr>
        <w:t>Wolfram</w:t>
      </w:r>
      <w:r>
        <w:rPr>
          <w:rStyle w:val="Strong"/>
          <w:rFonts w:asciiTheme="majorBidi" w:hAnsiTheme="majorBidi"/>
          <w:color w:val="auto"/>
          <w:sz w:val="20"/>
          <w:szCs w:val="20"/>
        </w:rPr>
        <w:t xml:space="preserve">. 2014. </w:t>
      </w:r>
      <w:r w:rsidRPr="00194CD1">
        <w:rPr>
          <w:rStyle w:val="Strong"/>
          <w:rFonts w:asciiTheme="majorBidi" w:hAnsiTheme="majorBidi"/>
          <w:color w:val="auto"/>
          <w:sz w:val="20"/>
          <w:szCs w:val="20"/>
        </w:rPr>
        <w:t xml:space="preserve"> “Libyas Transition: Towards Collapse</w:t>
      </w:r>
      <w:r>
        <w:rPr>
          <w:rStyle w:val="Strong"/>
          <w:rFonts w:asciiTheme="majorBidi" w:hAnsiTheme="majorBidi"/>
          <w:color w:val="auto"/>
          <w:sz w:val="20"/>
          <w:szCs w:val="20"/>
        </w:rPr>
        <w:t>.</w:t>
      </w:r>
      <w:r w:rsidRPr="00194CD1">
        <w:rPr>
          <w:rStyle w:val="Strong"/>
          <w:rFonts w:asciiTheme="majorBidi" w:hAnsiTheme="majorBidi"/>
          <w:color w:val="auto"/>
          <w:sz w:val="20"/>
          <w:szCs w:val="20"/>
        </w:rPr>
        <w:t xml:space="preserve">” </w:t>
      </w:r>
      <w:r w:rsidRPr="00194CD1">
        <w:rPr>
          <w:rStyle w:val="Strong"/>
          <w:rFonts w:asciiTheme="majorBidi" w:hAnsiTheme="majorBidi"/>
          <w:i/>
          <w:iCs/>
          <w:color w:val="auto"/>
          <w:sz w:val="20"/>
          <w:szCs w:val="20"/>
        </w:rPr>
        <w:t>German Institute for International and Security Affairs</w:t>
      </w:r>
      <w:r>
        <w:rPr>
          <w:rStyle w:val="Strong"/>
          <w:rFonts w:asciiTheme="majorBidi" w:hAnsiTheme="majorBidi"/>
          <w:color w:val="auto"/>
          <w:sz w:val="20"/>
          <w:szCs w:val="20"/>
        </w:rPr>
        <w:t>.</w:t>
      </w:r>
      <w:r w:rsidRPr="00194CD1">
        <w:rPr>
          <w:rStyle w:val="Strong"/>
          <w:rFonts w:asciiTheme="majorBidi" w:hAnsiTheme="majorBidi"/>
          <w:color w:val="auto"/>
          <w:sz w:val="20"/>
          <w:szCs w:val="20"/>
        </w:rPr>
        <w:t xml:space="preserve"> </w:t>
      </w:r>
      <w:r w:rsidRPr="00194CD1">
        <w:rPr>
          <w:rFonts w:asciiTheme="majorBidi" w:hAnsiTheme="majorBidi"/>
          <w:b w:val="0"/>
          <w:bCs w:val="0"/>
          <w:color w:val="auto"/>
          <w:sz w:val="20"/>
          <w:szCs w:val="20"/>
        </w:rPr>
        <w:t xml:space="preserve"> </w:t>
      </w:r>
    </w:p>
    <w:p w:rsidR="00EF4037" w:rsidRDefault="00EF4037" w:rsidP="00EF4037">
      <w:pPr>
        <w:jc w:val="both"/>
        <w:rPr>
          <w:rFonts w:asciiTheme="majorBidi" w:hAnsiTheme="majorBidi" w:cstheme="majorBidi"/>
          <w:sz w:val="20"/>
          <w:szCs w:val="20"/>
        </w:rPr>
      </w:pPr>
      <w:r w:rsidRPr="001B650D">
        <w:rPr>
          <w:rFonts w:asciiTheme="majorBidi" w:hAnsiTheme="majorBidi" w:cstheme="majorBidi"/>
          <w:sz w:val="20"/>
          <w:szCs w:val="20"/>
        </w:rPr>
        <w:t>Lienau,</w:t>
      </w:r>
      <w:r>
        <w:rPr>
          <w:rFonts w:asciiTheme="majorBidi" w:hAnsiTheme="majorBidi" w:cstheme="majorBidi"/>
          <w:sz w:val="20"/>
          <w:szCs w:val="20"/>
        </w:rPr>
        <w:t xml:space="preserve"> </w:t>
      </w:r>
      <w:r w:rsidRPr="001B650D">
        <w:rPr>
          <w:rFonts w:asciiTheme="majorBidi" w:hAnsiTheme="majorBidi" w:cstheme="majorBidi"/>
          <w:sz w:val="20"/>
          <w:szCs w:val="20"/>
        </w:rPr>
        <w:t>Odette</w:t>
      </w:r>
      <w:r>
        <w:rPr>
          <w:rFonts w:asciiTheme="majorBidi" w:hAnsiTheme="majorBidi" w:cstheme="majorBidi"/>
          <w:sz w:val="20"/>
          <w:szCs w:val="20"/>
        </w:rPr>
        <w:t>. 2007.</w:t>
      </w:r>
      <w:r w:rsidRPr="001B650D">
        <w:rPr>
          <w:rFonts w:asciiTheme="majorBidi" w:hAnsiTheme="majorBidi" w:cstheme="majorBidi"/>
          <w:sz w:val="20"/>
          <w:szCs w:val="20"/>
        </w:rPr>
        <w:t xml:space="preserve"> </w:t>
      </w:r>
      <w:r w:rsidRPr="007E53E8">
        <w:rPr>
          <w:rFonts w:asciiTheme="majorBidi" w:hAnsiTheme="majorBidi" w:cstheme="majorBidi"/>
          <w:sz w:val="20"/>
          <w:szCs w:val="20"/>
        </w:rPr>
        <w:t>“Who Is the ‘Sovereign’</w:t>
      </w:r>
      <w:r>
        <w:rPr>
          <w:rFonts w:asciiTheme="majorBidi" w:hAnsiTheme="majorBidi" w:cstheme="majorBidi"/>
          <w:sz w:val="20"/>
          <w:szCs w:val="20"/>
        </w:rPr>
        <w:t xml:space="preserve"> </w:t>
      </w:r>
      <w:r w:rsidRPr="007E53E8">
        <w:rPr>
          <w:rFonts w:asciiTheme="majorBidi" w:hAnsiTheme="majorBidi" w:cstheme="majorBidi"/>
          <w:sz w:val="20"/>
          <w:szCs w:val="20"/>
        </w:rPr>
        <w:t>in Sovereign Debt? Reinterpreting an Open</w:t>
      </w:r>
      <w:r w:rsidRPr="007E53E8">
        <w:rPr>
          <w:rFonts w:asciiTheme="majorBidi" w:hAnsiTheme="majorBidi" w:cstheme="majorBidi"/>
          <w:b/>
          <w:bCs/>
          <w:sz w:val="20"/>
          <w:szCs w:val="20"/>
        </w:rPr>
        <w:t xml:space="preserve"> </w:t>
      </w:r>
      <w:r w:rsidRPr="007E53E8">
        <w:rPr>
          <w:rFonts w:asciiTheme="majorBidi" w:hAnsiTheme="majorBidi" w:cstheme="majorBidi"/>
          <w:sz w:val="20"/>
          <w:szCs w:val="20"/>
        </w:rPr>
        <w:t>Moment in the Early 20</w:t>
      </w:r>
      <w:r w:rsidRPr="007E53E8">
        <w:rPr>
          <w:rFonts w:asciiTheme="majorBidi" w:hAnsiTheme="majorBidi" w:cstheme="majorBidi"/>
          <w:sz w:val="20"/>
          <w:szCs w:val="20"/>
          <w:vertAlign w:val="superscript"/>
        </w:rPr>
        <w:t>th</w:t>
      </w:r>
      <w:r w:rsidRPr="007E53E8">
        <w:rPr>
          <w:rFonts w:asciiTheme="majorBidi" w:hAnsiTheme="majorBidi" w:cstheme="majorBidi"/>
          <w:sz w:val="20"/>
          <w:szCs w:val="20"/>
        </w:rPr>
        <w:t xml:space="preserve"> Century</w:t>
      </w:r>
      <w:r>
        <w:rPr>
          <w:rFonts w:asciiTheme="majorBidi" w:hAnsiTheme="majorBidi" w:cstheme="majorBidi"/>
          <w:sz w:val="20"/>
          <w:szCs w:val="20"/>
        </w:rPr>
        <w:t>.</w:t>
      </w:r>
      <w:r w:rsidRPr="007E53E8">
        <w:rPr>
          <w:rFonts w:asciiTheme="majorBidi" w:hAnsiTheme="majorBidi" w:cstheme="majorBidi"/>
          <w:sz w:val="20"/>
          <w:szCs w:val="20"/>
        </w:rPr>
        <w:t>”</w:t>
      </w:r>
      <w:r w:rsidRPr="001B650D">
        <w:rPr>
          <w:rFonts w:asciiTheme="majorBidi" w:hAnsiTheme="majorBidi" w:cstheme="majorBidi"/>
          <w:sz w:val="20"/>
          <w:szCs w:val="20"/>
        </w:rPr>
        <w:t xml:space="preserve"> </w:t>
      </w:r>
      <w:r w:rsidRPr="007E53E8">
        <w:rPr>
          <w:rFonts w:asciiTheme="majorBidi" w:hAnsiTheme="majorBidi" w:cstheme="majorBidi"/>
          <w:i/>
          <w:iCs/>
          <w:sz w:val="20"/>
          <w:szCs w:val="20"/>
        </w:rPr>
        <w:t>International Law and Justice Working Papers, History and Theory of International Law Series</w:t>
      </w:r>
      <w:r>
        <w:rPr>
          <w:rFonts w:asciiTheme="majorBidi" w:hAnsiTheme="majorBidi" w:cstheme="majorBidi"/>
          <w:sz w:val="20"/>
          <w:szCs w:val="20"/>
        </w:rPr>
        <w:t xml:space="preserve">. </w:t>
      </w:r>
    </w:p>
    <w:p w:rsidR="00EF4037" w:rsidRDefault="00EF4037" w:rsidP="00EF4037">
      <w:pPr>
        <w:jc w:val="both"/>
        <w:rPr>
          <w:rFonts w:asciiTheme="majorBidi" w:hAnsiTheme="majorBidi" w:cstheme="majorBidi"/>
          <w:sz w:val="20"/>
          <w:szCs w:val="20"/>
        </w:rPr>
      </w:pPr>
      <w:r w:rsidRPr="00DD04AC">
        <w:rPr>
          <w:rFonts w:asciiTheme="majorBidi" w:hAnsiTheme="majorBidi" w:cstheme="majorBidi"/>
          <w:sz w:val="20"/>
          <w:szCs w:val="20"/>
        </w:rPr>
        <w:lastRenderedPageBreak/>
        <w:t>Loibl</w:t>
      </w:r>
      <w:r>
        <w:rPr>
          <w:rFonts w:asciiTheme="majorBidi" w:hAnsiTheme="majorBidi" w:cstheme="majorBidi"/>
          <w:sz w:val="20"/>
          <w:szCs w:val="20"/>
        </w:rPr>
        <w:t xml:space="preserve">, </w:t>
      </w:r>
      <w:r w:rsidRPr="00DD04AC">
        <w:rPr>
          <w:rFonts w:asciiTheme="majorBidi" w:hAnsiTheme="majorBidi" w:cstheme="majorBidi"/>
          <w:sz w:val="20"/>
          <w:szCs w:val="20"/>
        </w:rPr>
        <w:t>Gerhard</w:t>
      </w:r>
      <w:r>
        <w:rPr>
          <w:rFonts w:asciiTheme="majorBidi" w:hAnsiTheme="majorBidi" w:cstheme="majorBidi"/>
          <w:sz w:val="20"/>
          <w:szCs w:val="20"/>
        </w:rPr>
        <w:t xml:space="preserve">. 2003. </w:t>
      </w:r>
      <w:r w:rsidRPr="00DD04AC">
        <w:rPr>
          <w:rFonts w:asciiTheme="majorBidi" w:hAnsiTheme="majorBidi" w:cstheme="majorBidi"/>
          <w:sz w:val="20"/>
          <w:szCs w:val="20"/>
        </w:rPr>
        <w:t xml:space="preserve"> </w:t>
      </w:r>
      <w:r w:rsidRPr="00DD04AC">
        <w:rPr>
          <w:rFonts w:asciiTheme="majorBidi" w:hAnsiTheme="majorBidi" w:cstheme="majorBidi"/>
          <w:i/>
          <w:iCs/>
          <w:sz w:val="20"/>
          <w:szCs w:val="20"/>
        </w:rPr>
        <w:t>Austrian Review of International and European Law 2001</w:t>
      </w:r>
      <w:r w:rsidRPr="00DD04AC">
        <w:rPr>
          <w:rFonts w:asciiTheme="majorBidi" w:hAnsiTheme="majorBidi" w:cstheme="majorBidi"/>
          <w:sz w:val="20"/>
          <w:szCs w:val="20"/>
        </w:rPr>
        <w:t xml:space="preserve">, </w:t>
      </w:r>
      <w:r>
        <w:rPr>
          <w:rFonts w:asciiTheme="majorBidi" w:hAnsiTheme="majorBidi" w:cstheme="majorBidi"/>
          <w:sz w:val="20"/>
          <w:szCs w:val="20"/>
        </w:rPr>
        <w:t xml:space="preserve">Leiden: </w:t>
      </w:r>
      <w:r w:rsidRPr="00DD04AC">
        <w:rPr>
          <w:rFonts w:asciiTheme="majorBidi" w:hAnsiTheme="majorBidi" w:cstheme="majorBidi"/>
          <w:sz w:val="20"/>
          <w:szCs w:val="20"/>
        </w:rPr>
        <w:t xml:space="preserve">Martinus Nijhoff Publishers, 2003, P50. </w:t>
      </w:r>
    </w:p>
    <w:p w:rsidR="00EF4037" w:rsidRPr="001B650D" w:rsidRDefault="00EF4037" w:rsidP="00EF4037">
      <w:pPr>
        <w:jc w:val="both"/>
        <w:rPr>
          <w:rFonts w:asciiTheme="majorBidi" w:hAnsiTheme="majorBidi" w:cstheme="majorBidi"/>
          <w:sz w:val="20"/>
          <w:szCs w:val="20"/>
        </w:rPr>
      </w:pPr>
      <w:r>
        <w:rPr>
          <w:rFonts w:asciiTheme="majorBidi" w:hAnsiTheme="majorBidi" w:cstheme="majorBidi"/>
          <w:sz w:val="20"/>
          <w:szCs w:val="20"/>
        </w:rPr>
        <w:t xml:space="preserve">Mets, Steven. 2004. “Insurgency and Counterinsurgency in the 21th Century: Reconceptualising Threat and Response”. </w:t>
      </w:r>
      <w:r w:rsidRPr="00194CD1">
        <w:rPr>
          <w:rFonts w:asciiTheme="majorBidi" w:hAnsiTheme="majorBidi" w:cstheme="majorBidi"/>
          <w:i/>
          <w:iCs/>
          <w:sz w:val="20"/>
          <w:szCs w:val="20"/>
        </w:rPr>
        <w:t>Strategic Studies Institute</w:t>
      </w:r>
      <w:r>
        <w:rPr>
          <w:rFonts w:asciiTheme="majorBidi" w:hAnsiTheme="majorBidi" w:cstheme="majorBidi"/>
          <w:sz w:val="20"/>
          <w:szCs w:val="20"/>
        </w:rPr>
        <w:t>.</w:t>
      </w:r>
    </w:p>
    <w:p w:rsidR="00EF4037" w:rsidRDefault="00EF4037" w:rsidP="00EF4037">
      <w:pPr>
        <w:jc w:val="both"/>
        <w:rPr>
          <w:rFonts w:asciiTheme="majorBidi" w:hAnsiTheme="majorBidi" w:cstheme="majorBidi"/>
          <w:sz w:val="20"/>
          <w:szCs w:val="20"/>
        </w:rPr>
      </w:pPr>
      <w:r w:rsidRPr="00FB01CA">
        <w:rPr>
          <w:rFonts w:asciiTheme="majorBidi" w:hAnsiTheme="majorBidi" w:cstheme="majorBidi"/>
          <w:sz w:val="20"/>
          <w:szCs w:val="20"/>
        </w:rPr>
        <w:t>Miri</w:t>
      </w:r>
      <w:r>
        <w:rPr>
          <w:rFonts w:asciiTheme="majorBidi" w:hAnsiTheme="majorBidi" w:cstheme="majorBidi"/>
          <w:sz w:val="20"/>
          <w:szCs w:val="20"/>
        </w:rPr>
        <w:t>,</w:t>
      </w:r>
      <w:r w:rsidRPr="00FB01CA">
        <w:rPr>
          <w:rFonts w:asciiTheme="majorBidi" w:hAnsiTheme="majorBidi" w:cstheme="majorBidi"/>
          <w:sz w:val="20"/>
          <w:szCs w:val="20"/>
        </w:rPr>
        <w:t>Hosein</w:t>
      </w:r>
      <w:r>
        <w:rPr>
          <w:rFonts w:asciiTheme="majorBidi" w:hAnsiTheme="majorBidi" w:cstheme="majorBidi"/>
          <w:sz w:val="20"/>
          <w:szCs w:val="20"/>
        </w:rPr>
        <w:t xml:space="preserve">. 2012. </w:t>
      </w:r>
      <w:r w:rsidRPr="005315D0">
        <w:rPr>
          <w:rFonts w:asciiTheme="majorBidi" w:hAnsiTheme="majorBidi" w:cstheme="majorBidi"/>
          <w:sz w:val="20"/>
          <w:szCs w:val="20"/>
        </w:rPr>
        <w:t>“The Authentication of Countries’ Unilateral Acts as a Source in International Law</w:t>
      </w:r>
      <w:r>
        <w:rPr>
          <w:rFonts w:asciiTheme="majorBidi" w:hAnsiTheme="majorBidi" w:cstheme="majorBidi"/>
          <w:sz w:val="20"/>
          <w:szCs w:val="20"/>
        </w:rPr>
        <w:t>.</w:t>
      </w:r>
      <w:r w:rsidRPr="005315D0">
        <w:rPr>
          <w:rFonts w:asciiTheme="majorBidi" w:hAnsiTheme="majorBidi" w:cstheme="majorBidi"/>
          <w:sz w:val="20"/>
          <w:szCs w:val="20"/>
        </w:rPr>
        <w:t xml:space="preserve">” </w:t>
      </w:r>
      <w:r w:rsidRPr="005315D0">
        <w:rPr>
          <w:rFonts w:asciiTheme="majorBidi" w:hAnsiTheme="majorBidi" w:cstheme="majorBidi"/>
          <w:i/>
          <w:iCs/>
          <w:sz w:val="20"/>
          <w:szCs w:val="20"/>
        </w:rPr>
        <w:t>Journal of Basic and Applied Scientific Research</w:t>
      </w:r>
      <w:r>
        <w:rPr>
          <w:rFonts w:asciiTheme="majorBidi" w:hAnsiTheme="majorBidi" w:cstheme="majorBidi"/>
          <w:sz w:val="20"/>
          <w:szCs w:val="20"/>
        </w:rPr>
        <w:t xml:space="preserve"> 2(3). </w:t>
      </w:r>
    </w:p>
    <w:p w:rsidR="00EF4037" w:rsidRPr="00CA5CAE" w:rsidRDefault="00EF4037" w:rsidP="00EF4037">
      <w:pPr>
        <w:pStyle w:val="FootnoteText"/>
        <w:jc w:val="both"/>
        <w:rPr>
          <w:rFonts w:asciiTheme="majorBidi" w:hAnsiTheme="majorBidi" w:cstheme="majorBidi"/>
        </w:rPr>
      </w:pPr>
      <w:r w:rsidRPr="00CA5CAE">
        <w:rPr>
          <w:rFonts w:asciiTheme="majorBidi" w:hAnsiTheme="majorBidi" w:cstheme="majorBidi"/>
        </w:rPr>
        <w:t xml:space="preserve">Morris, Kieran. 2012. </w:t>
      </w:r>
      <w:r w:rsidRPr="00CA5CAE">
        <w:rPr>
          <w:rFonts w:asciiTheme="majorBidi" w:hAnsiTheme="majorBidi" w:cstheme="majorBidi"/>
          <w:i/>
          <w:iCs/>
        </w:rPr>
        <w:t>The Arab Spring: The Rise of Human Security and the fall of Dictatorship</w:t>
      </w:r>
      <w:r w:rsidRPr="00CA5CAE">
        <w:rPr>
          <w:rFonts w:asciiTheme="majorBidi" w:hAnsiTheme="majorBidi" w:cstheme="majorBidi"/>
        </w:rPr>
        <w:t xml:space="preserve">.   </w:t>
      </w:r>
      <w:r w:rsidRPr="00CA5CAE">
        <w:rPr>
          <w:rFonts w:asciiTheme="majorBidi" w:hAnsiTheme="majorBidi" w:cstheme="majorBidi"/>
          <w:i/>
          <w:iCs/>
        </w:rPr>
        <w:t>Internet Journal of Criminology</w:t>
      </w:r>
      <w:r w:rsidRPr="00CA5CAE">
        <w:rPr>
          <w:rFonts w:asciiTheme="majorBidi" w:hAnsiTheme="majorBidi" w:cstheme="majorBidi"/>
        </w:rPr>
        <w:t xml:space="preserve">, ISSN 2045-6743 Available from: </w:t>
      </w:r>
    </w:p>
    <w:p w:rsidR="00EF4037" w:rsidRPr="00CA5CAE" w:rsidRDefault="00EF4037" w:rsidP="00EF4037">
      <w:pPr>
        <w:pStyle w:val="FootnoteText"/>
        <w:jc w:val="both"/>
        <w:rPr>
          <w:rFonts w:asciiTheme="majorBidi" w:hAnsiTheme="majorBidi" w:cstheme="majorBidi"/>
        </w:rPr>
      </w:pPr>
      <w:r w:rsidRPr="00CA5CAE">
        <w:rPr>
          <w:rFonts w:asciiTheme="majorBidi" w:hAnsiTheme="majorBidi" w:cstheme="majorBidi"/>
        </w:rPr>
        <w:t>http://www.internetjournalofcriminology.com/Morris_The_Arab_Spring_IJC_July_2012.pdf/. [Retrieved: 2013].</w:t>
      </w:r>
    </w:p>
    <w:p w:rsidR="00EF4037" w:rsidRDefault="00EF4037" w:rsidP="00EF4037">
      <w:pPr>
        <w:jc w:val="both"/>
        <w:rPr>
          <w:rFonts w:asciiTheme="majorBidi" w:hAnsiTheme="majorBidi" w:cstheme="majorBidi"/>
          <w:sz w:val="20"/>
          <w:szCs w:val="20"/>
        </w:rPr>
      </w:pPr>
    </w:p>
    <w:p w:rsidR="00EF4037" w:rsidRPr="001B650D" w:rsidRDefault="00EF4037" w:rsidP="00EF4037">
      <w:pPr>
        <w:jc w:val="both"/>
        <w:rPr>
          <w:rFonts w:asciiTheme="majorBidi" w:hAnsiTheme="majorBidi" w:cstheme="majorBidi"/>
          <w:sz w:val="20"/>
          <w:szCs w:val="20"/>
        </w:rPr>
      </w:pPr>
      <w:r>
        <w:rPr>
          <w:rFonts w:asciiTheme="majorBidi" w:hAnsiTheme="majorBidi" w:cstheme="majorBidi"/>
          <w:sz w:val="20"/>
          <w:szCs w:val="20"/>
        </w:rPr>
        <w:t xml:space="preserve">N. </w:t>
      </w:r>
      <w:r w:rsidR="00B86BF0">
        <w:rPr>
          <w:rFonts w:asciiTheme="majorBidi" w:hAnsiTheme="majorBidi" w:cstheme="majorBidi"/>
          <w:sz w:val="20"/>
          <w:szCs w:val="20"/>
        </w:rPr>
        <w:t>Shaw</w:t>
      </w:r>
      <w:r>
        <w:rPr>
          <w:rFonts w:asciiTheme="majorBidi" w:hAnsiTheme="majorBidi" w:cstheme="majorBidi"/>
          <w:sz w:val="20"/>
          <w:szCs w:val="20"/>
        </w:rPr>
        <w:t xml:space="preserve">, </w:t>
      </w:r>
      <w:r w:rsidRPr="001B650D">
        <w:rPr>
          <w:rFonts w:asciiTheme="majorBidi" w:hAnsiTheme="majorBidi" w:cstheme="majorBidi"/>
          <w:sz w:val="20"/>
          <w:szCs w:val="20"/>
        </w:rPr>
        <w:t>Ma</w:t>
      </w:r>
      <w:r>
        <w:rPr>
          <w:rFonts w:asciiTheme="majorBidi" w:hAnsiTheme="majorBidi" w:cstheme="majorBidi"/>
          <w:sz w:val="20"/>
          <w:szCs w:val="20"/>
        </w:rPr>
        <w:t xml:space="preserve">lkom.2008. </w:t>
      </w:r>
      <w:r w:rsidRPr="00C0275A">
        <w:rPr>
          <w:rFonts w:asciiTheme="majorBidi" w:hAnsiTheme="majorBidi" w:cstheme="majorBidi"/>
          <w:i/>
          <w:iCs/>
          <w:sz w:val="20"/>
          <w:szCs w:val="20"/>
        </w:rPr>
        <w:t>International law</w:t>
      </w:r>
      <w:r>
        <w:rPr>
          <w:rFonts w:asciiTheme="majorBidi" w:hAnsiTheme="majorBidi" w:cstheme="majorBidi"/>
          <w:sz w:val="20"/>
          <w:szCs w:val="20"/>
        </w:rPr>
        <w:t>.</w:t>
      </w:r>
      <w:r w:rsidRPr="001B650D">
        <w:rPr>
          <w:rFonts w:asciiTheme="majorBidi" w:hAnsiTheme="majorBidi" w:cstheme="majorBidi"/>
          <w:sz w:val="20"/>
          <w:szCs w:val="20"/>
        </w:rPr>
        <w:t xml:space="preserve"> Cambridge</w:t>
      </w:r>
      <w:r>
        <w:rPr>
          <w:rFonts w:asciiTheme="majorBidi" w:hAnsiTheme="majorBidi" w:cstheme="majorBidi"/>
          <w:sz w:val="20"/>
          <w:szCs w:val="20"/>
        </w:rPr>
        <w:t xml:space="preserve">: </w:t>
      </w:r>
      <w:r w:rsidRPr="001B650D">
        <w:rPr>
          <w:rFonts w:asciiTheme="majorBidi" w:hAnsiTheme="majorBidi" w:cstheme="majorBidi"/>
          <w:sz w:val="20"/>
          <w:szCs w:val="20"/>
        </w:rPr>
        <w:t>Cambridge University Press</w:t>
      </w:r>
      <w:r w:rsidR="00B86BF0">
        <w:rPr>
          <w:rFonts w:asciiTheme="majorBidi" w:hAnsiTheme="majorBidi" w:cstheme="majorBidi"/>
          <w:sz w:val="20"/>
          <w:szCs w:val="20"/>
        </w:rPr>
        <w:t>.</w:t>
      </w:r>
    </w:p>
    <w:p w:rsidR="00EF4037" w:rsidRPr="00286A9A" w:rsidRDefault="00EF4037" w:rsidP="00EF4037">
      <w:pPr>
        <w:jc w:val="both"/>
        <w:rPr>
          <w:rFonts w:asciiTheme="majorBidi" w:hAnsiTheme="majorBidi" w:cstheme="majorBidi"/>
          <w:sz w:val="20"/>
          <w:szCs w:val="20"/>
        </w:rPr>
      </w:pPr>
      <w:r w:rsidRPr="00286A9A">
        <w:rPr>
          <w:rFonts w:asciiTheme="majorBidi" w:hAnsiTheme="majorBidi" w:cstheme="majorBidi"/>
          <w:sz w:val="20"/>
          <w:szCs w:val="20"/>
        </w:rPr>
        <w:t xml:space="preserve">Olalia, Edre U. 2002. </w:t>
      </w:r>
      <w:r w:rsidRPr="00286A9A">
        <w:rPr>
          <w:rFonts w:asciiTheme="majorBidi" w:hAnsiTheme="majorBidi" w:cstheme="majorBidi"/>
          <w:i/>
          <w:iCs/>
          <w:sz w:val="20"/>
          <w:szCs w:val="20"/>
        </w:rPr>
        <w:t>The Status of International Law of National Liberation Movements and Their Use of Armed Force. International Association of People`s Lawyers.</w:t>
      </w:r>
      <w:r w:rsidRPr="00286A9A">
        <w:rPr>
          <w:rFonts w:asciiTheme="majorBidi" w:hAnsiTheme="majorBidi" w:cstheme="majorBidi"/>
          <w:sz w:val="20"/>
          <w:szCs w:val="20"/>
        </w:rPr>
        <w:t xml:space="preserve"> Available from: </w:t>
      </w:r>
      <w:hyperlink r:id="rId11" w:history="1">
        <w:r w:rsidRPr="00286A9A">
          <w:rPr>
            <w:rStyle w:val="Hyperlink"/>
            <w:rFonts w:asciiTheme="majorBidi" w:hAnsiTheme="majorBidi"/>
            <w:color w:val="auto"/>
          </w:rPr>
          <w:t>http://www.iadllaw.org</w:t>
        </w:r>
      </w:hyperlink>
      <w:r w:rsidRPr="00286A9A">
        <w:rPr>
          <w:rFonts w:asciiTheme="majorBidi" w:hAnsiTheme="majorBidi" w:cstheme="majorBidi"/>
          <w:sz w:val="20"/>
          <w:szCs w:val="20"/>
        </w:rPr>
        <w:t xml:space="preserve">. (Retrieved: April 2016). </w:t>
      </w:r>
    </w:p>
    <w:p w:rsidR="00EF4037" w:rsidRDefault="00EF4037" w:rsidP="00EF4037">
      <w:pPr>
        <w:jc w:val="both"/>
        <w:rPr>
          <w:rFonts w:asciiTheme="majorBidi" w:hAnsiTheme="majorBidi" w:cstheme="majorBidi"/>
          <w:i/>
          <w:iCs/>
          <w:sz w:val="20"/>
          <w:szCs w:val="20"/>
        </w:rPr>
      </w:pPr>
      <w:r>
        <w:rPr>
          <w:rFonts w:asciiTheme="majorBidi" w:hAnsiTheme="majorBidi" w:cstheme="majorBidi"/>
          <w:sz w:val="20"/>
          <w:szCs w:val="20"/>
        </w:rPr>
        <w:t>Paciello,Maria Cristina. 2011. “</w:t>
      </w:r>
      <w:r w:rsidRPr="009B0253">
        <w:rPr>
          <w:rFonts w:asciiTheme="majorBidi" w:hAnsiTheme="majorBidi" w:cstheme="majorBidi"/>
          <w:sz w:val="20"/>
          <w:szCs w:val="20"/>
        </w:rPr>
        <w:t>Tunisia: Changes and Cha</w:t>
      </w:r>
      <w:r>
        <w:rPr>
          <w:rFonts w:asciiTheme="majorBidi" w:hAnsiTheme="majorBidi" w:cstheme="majorBidi"/>
          <w:sz w:val="20"/>
          <w:szCs w:val="20"/>
        </w:rPr>
        <w:t>llenges of Political Transition.</w:t>
      </w:r>
      <w:r w:rsidRPr="009B0253">
        <w:rPr>
          <w:rFonts w:asciiTheme="majorBidi" w:hAnsiTheme="majorBidi" w:cstheme="majorBidi"/>
          <w:sz w:val="20"/>
          <w:szCs w:val="20"/>
        </w:rPr>
        <w:t>”</w:t>
      </w:r>
      <w:r w:rsidRPr="001B650D">
        <w:rPr>
          <w:rFonts w:asciiTheme="majorBidi" w:hAnsiTheme="majorBidi" w:cstheme="majorBidi"/>
          <w:sz w:val="20"/>
          <w:szCs w:val="20"/>
        </w:rPr>
        <w:t xml:space="preserve"> </w:t>
      </w:r>
      <w:r>
        <w:rPr>
          <w:rFonts w:asciiTheme="majorBidi" w:hAnsiTheme="majorBidi" w:cstheme="majorBidi"/>
          <w:i/>
          <w:iCs/>
          <w:sz w:val="20"/>
          <w:szCs w:val="20"/>
        </w:rPr>
        <w:t>MEDPRO Technical Report. (3).</w:t>
      </w:r>
    </w:p>
    <w:p w:rsidR="00EF4037" w:rsidRPr="001B650D" w:rsidRDefault="00EF4037" w:rsidP="00EF4037">
      <w:pPr>
        <w:pStyle w:val="FootnoteText"/>
        <w:jc w:val="both"/>
        <w:rPr>
          <w:rFonts w:asciiTheme="majorBidi" w:hAnsiTheme="majorBidi" w:cstheme="majorBidi"/>
          <w:rtl/>
        </w:rPr>
      </w:pPr>
      <w:r>
        <w:rPr>
          <w:rFonts w:asciiTheme="majorBidi" w:hAnsiTheme="majorBidi" w:cstheme="majorBidi"/>
        </w:rPr>
        <w:t xml:space="preserve">Peterson, M. 1997. </w:t>
      </w:r>
      <w:r w:rsidRPr="00667187">
        <w:rPr>
          <w:rFonts w:asciiTheme="majorBidi" w:hAnsiTheme="majorBidi" w:cstheme="majorBidi"/>
          <w:i/>
          <w:iCs/>
        </w:rPr>
        <w:t>Recognition of Governments: Legal Doctrine and State Practice, 1815-1995</w:t>
      </w:r>
      <w:r>
        <w:rPr>
          <w:rFonts w:asciiTheme="majorBidi" w:hAnsiTheme="majorBidi" w:cstheme="majorBidi"/>
        </w:rPr>
        <w:t xml:space="preserve">. England: </w:t>
      </w:r>
      <w:r w:rsidRPr="001B650D">
        <w:rPr>
          <w:rFonts w:asciiTheme="majorBidi" w:hAnsiTheme="majorBidi" w:cstheme="majorBidi"/>
        </w:rPr>
        <w:t>Palgrave Mac</w:t>
      </w:r>
      <w:r>
        <w:rPr>
          <w:rFonts w:asciiTheme="majorBidi" w:hAnsiTheme="majorBidi" w:cstheme="majorBidi"/>
        </w:rPr>
        <w:t>mill</w:t>
      </w:r>
      <w:r w:rsidRPr="001B650D">
        <w:rPr>
          <w:rFonts w:asciiTheme="majorBidi" w:hAnsiTheme="majorBidi" w:cstheme="majorBidi"/>
        </w:rPr>
        <w:t>an</w:t>
      </w:r>
      <w:r>
        <w:rPr>
          <w:rFonts w:asciiTheme="majorBidi" w:hAnsiTheme="majorBidi" w:cstheme="majorBidi"/>
        </w:rPr>
        <w:t>.</w:t>
      </w:r>
    </w:p>
    <w:p w:rsidR="00EF4037" w:rsidRDefault="00EF4037" w:rsidP="00EF4037">
      <w:pPr>
        <w:jc w:val="both"/>
        <w:rPr>
          <w:rFonts w:asciiTheme="majorBidi" w:hAnsiTheme="majorBidi" w:cstheme="majorBidi"/>
          <w:i/>
          <w:iCs/>
          <w:sz w:val="20"/>
          <w:szCs w:val="20"/>
        </w:rPr>
      </w:pPr>
    </w:p>
    <w:p w:rsidR="00EF4037" w:rsidRDefault="00EF4037" w:rsidP="00EF4037">
      <w:pPr>
        <w:pStyle w:val="FootnoteText"/>
        <w:jc w:val="both"/>
        <w:rPr>
          <w:rFonts w:asciiTheme="majorBidi" w:hAnsiTheme="majorBidi" w:cstheme="majorBidi"/>
        </w:rPr>
      </w:pPr>
      <w:r w:rsidRPr="00CA5CAE">
        <w:rPr>
          <w:rFonts w:asciiTheme="majorBidi" w:hAnsiTheme="majorBidi" w:cstheme="majorBidi"/>
        </w:rPr>
        <w:t xml:space="preserve">Pingua,Raja.  “Role of the United Nations in India-Kazakhstan Cooperation on Afghanistan: Challenges and </w:t>
      </w:r>
      <w:r w:rsidR="00B86BF0" w:rsidRPr="00CA5CAE">
        <w:rPr>
          <w:rFonts w:asciiTheme="majorBidi" w:hAnsiTheme="majorBidi" w:cstheme="majorBidi"/>
        </w:rPr>
        <w:t>Opportunities</w:t>
      </w:r>
      <w:r w:rsidRPr="00CA5CAE">
        <w:rPr>
          <w:rFonts w:asciiTheme="majorBidi" w:hAnsiTheme="majorBidi" w:cstheme="majorBidi"/>
        </w:rPr>
        <w:t xml:space="preserve">.” </w:t>
      </w:r>
      <w:r w:rsidRPr="00CA5CAE">
        <w:rPr>
          <w:rFonts w:asciiTheme="majorBidi" w:hAnsiTheme="majorBidi" w:cstheme="majorBidi"/>
          <w:i/>
          <w:iCs/>
        </w:rPr>
        <w:t>The International Journal of Humanities &amp; Social Studies</w:t>
      </w:r>
      <w:r w:rsidRPr="00CA5CAE">
        <w:rPr>
          <w:rFonts w:asciiTheme="majorBidi" w:hAnsiTheme="majorBidi" w:cstheme="majorBidi"/>
        </w:rPr>
        <w:t>. 4 (3).</w:t>
      </w:r>
    </w:p>
    <w:p w:rsidR="00EF4037" w:rsidRPr="001B650D" w:rsidRDefault="00EF4037" w:rsidP="00EF4037">
      <w:pPr>
        <w:jc w:val="both"/>
        <w:rPr>
          <w:rFonts w:asciiTheme="majorBidi" w:hAnsiTheme="majorBidi" w:cstheme="majorBidi"/>
          <w:sz w:val="20"/>
          <w:szCs w:val="20"/>
        </w:rPr>
      </w:pPr>
      <w:r>
        <w:rPr>
          <w:rFonts w:asciiTheme="majorBidi" w:hAnsiTheme="majorBidi" w:cstheme="majorBidi"/>
          <w:sz w:val="20"/>
          <w:szCs w:val="20"/>
        </w:rPr>
        <w:t xml:space="preserve">Pomper,Stephen. 2012. </w:t>
      </w:r>
      <w:r w:rsidRPr="007E53E8">
        <w:rPr>
          <w:rFonts w:asciiTheme="majorBidi" w:hAnsiTheme="majorBidi" w:cstheme="majorBidi"/>
          <w:sz w:val="20"/>
          <w:szCs w:val="20"/>
        </w:rPr>
        <w:t>“Toward a Limited Consensus on the Loss of Civilian Immunity in Non-International Armed Conflict: M</w:t>
      </w:r>
      <w:r>
        <w:rPr>
          <w:rFonts w:asciiTheme="majorBidi" w:hAnsiTheme="majorBidi" w:cstheme="majorBidi"/>
          <w:sz w:val="20"/>
          <w:szCs w:val="20"/>
        </w:rPr>
        <w:t>aking Progress through Practice.</w:t>
      </w:r>
      <w:r w:rsidRPr="007E53E8">
        <w:rPr>
          <w:rFonts w:asciiTheme="majorBidi" w:hAnsiTheme="majorBidi" w:cstheme="majorBidi"/>
          <w:sz w:val="20"/>
          <w:szCs w:val="20"/>
        </w:rPr>
        <w:t>”</w:t>
      </w:r>
      <w:r w:rsidRPr="001B650D">
        <w:rPr>
          <w:rFonts w:asciiTheme="majorBidi" w:hAnsiTheme="majorBidi" w:cstheme="majorBidi"/>
          <w:sz w:val="20"/>
          <w:szCs w:val="20"/>
        </w:rPr>
        <w:t xml:space="preserve"> </w:t>
      </w:r>
      <w:r w:rsidRPr="007E53E8">
        <w:rPr>
          <w:rFonts w:asciiTheme="majorBidi" w:hAnsiTheme="majorBidi" w:cstheme="majorBidi"/>
          <w:i/>
          <w:iCs/>
          <w:sz w:val="20"/>
          <w:szCs w:val="20"/>
        </w:rPr>
        <w:t>International Law Studies</w:t>
      </w:r>
      <w:r>
        <w:rPr>
          <w:rFonts w:asciiTheme="majorBidi" w:hAnsiTheme="majorBidi" w:cstheme="majorBidi"/>
          <w:sz w:val="20"/>
          <w:szCs w:val="20"/>
        </w:rPr>
        <w:t>. 88</w:t>
      </w:r>
      <w:r w:rsidRPr="001B650D">
        <w:rPr>
          <w:rFonts w:asciiTheme="majorBidi" w:hAnsiTheme="majorBidi" w:cstheme="majorBidi"/>
          <w:sz w:val="20"/>
          <w:szCs w:val="20"/>
        </w:rPr>
        <w:t>.</w:t>
      </w:r>
    </w:p>
    <w:p w:rsidR="00EF4037" w:rsidRDefault="00EF4037" w:rsidP="00EF4037">
      <w:pPr>
        <w:spacing w:line="240" w:lineRule="auto"/>
        <w:jc w:val="both"/>
        <w:rPr>
          <w:rFonts w:asciiTheme="majorBidi" w:hAnsiTheme="majorBidi"/>
          <w:sz w:val="20"/>
          <w:szCs w:val="20"/>
        </w:rPr>
      </w:pPr>
      <w:r w:rsidRPr="000264DD">
        <w:rPr>
          <w:rFonts w:asciiTheme="majorBidi" w:hAnsiTheme="majorBidi"/>
          <w:sz w:val="20"/>
          <w:szCs w:val="20"/>
        </w:rPr>
        <w:t>Salem</w:t>
      </w:r>
      <w:r>
        <w:rPr>
          <w:rFonts w:asciiTheme="majorBidi" w:hAnsiTheme="majorBidi"/>
          <w:sz w:val="20"/>
          <w:szCs w:val="20"/>
        </w:rPr>
        <w:t xml:space="preserve">, </w:t>
      </w:r>
      <w:r w:rsidRPr="000264DD">
        <w:rPr>
          <w:rFonts w:asciiTheme="majorBidi" w:hAnsiTheme="majorBidi"/>
          <w:sz w:val="20"/>
          <w:szCs w:val="20"/>
        </w:rPr>
        <w:t xml:space="preserve">Paul </w:t>
      </w:r>
      <w:r>
        <w:rPr>
          <w:rFonts w:asciiTheme="majorBidi" w:hAnsiTheme="majorBidi"/>
          <w:sz w:val="20"/>
          <w:szCs w:val="20"/>
        </w:rPr>
        <w:t xml:space="preserve">and Amanda Kadlec.2012. </w:t>
      </w:r>
      <w:r w:rsidRPr="000264DD">
        <w:rPr>
          <w:rFonts w:asciiTheme="majorBidi" w:hAnsiTheme="majorBidi"/>
          <w:sz w:val="20"/>
          <w:szCs w:val="20"/>
        </w:rPr>
        <w:t xml:space="preserve"> “Libya’s Troubled Transition</w:t>
      </w:r>
      <w:r>
        <w:rPr>
          <w:rFonts w:asciiTheme="majorBidi" w:hAnsiTheme="majorBidi"/>
          <w:sz w:val="20"/>
          <w:szCs w:val="20"/>
        </w:rPr>
        <w:t>.</w:t>
      </w:r>
      <w:r w:rsidRPr="000264DD">
        <w:rPr>
          <w:rFonts w:asciiTheme="majorBidi" w:hAnsiTheme="majorBidi"/>
          <w:sz w:val="20"/>
          <w:szCs w:val="20"/>
        </w:rPr>
        <w:t xml:space="preserve">” </w:t>
      </w:r>
      <w:r w:rsidRPr="000264DD">
        <w:rPr>
          <w:rFonts w:asciiTheme="majorBidi" w:hAnsiTheme="majorBidi"/>
          <w:i/>
          <w:iCs/>
          <w:sz w:val="20"/>
          <w:szCs w:val="20"/>
        </w:rPr>
        <w:t>Carnegie Endowment for International Peace</w:t>
      </w:r>
      <w:r>
        <w:rPr>
          <w:rFonts w:asciiTheme="majorBidi" w:hAnsiTheme="majorBidi"/>
          <w:sz w:val="20"/>
          <w:szCs w:val="20"/>
        </w:rPr>
        <w:t>.</w:t>
      </w:r>
    </w:p>
    <w:p w:rsidR="00EF4037" w:rsidRPr="001B650D" w:rsidRDefault="00EF4037" w:rsidP="00EF4037">
      <w:pPr>
        <w:spacing w:line="240" w:lineRule="auto"/>
        <w:jc w:val="both"/>
        <w:rPr>
          <w:rFonts w:asciiTheme="majorBidi" w:hAnsiTheme="majorBidi" w:cstheme="majorBidi"/>
          <w:sz w:val="20"/>
          <w:szCs w:val="20"/>
        </w:rPr>
      </w:pPr>
      <w:r>
        <w:rPr>
          <w:rFonts w:asciiTheme="majorBidi" w:hAnsiTheme="majorBidi" w:cstheme="majorBidi"/>
          <w:sz w:val="20"/>
          <w:szCs w:val="20"/>
        </w:rPr>
        <w:lastRenderedPageBreak/>
        <w:t xml:space="preserve">Red Cross. 2011. </w:t>
      </w:r>
      <w:r w:rsidRPr="00094D47">
        <w:rPr>
          <w:rFonts w:asciiTheme="majorBidi" w:hAnsiTheme="majorBidi" w:cstheme="majorBidi"/>
          <w:sz w:val="20"/>
          <w:szCs w:val="20"/>
        </w:rPr>
        <w:t>“Understanding armed groups and the applicable law</w:t>
      </w:r>
      <w:r>
        <w:rPr>
          <w:rFonts w:asciiTheme="majorBidi" w:hAnsiTheme="majorBidi" w:cstheme="majorBidi"/>
          <w:sz w:val="20"/>
          <w:szCs w:val="20"/>
        </w:rPr>
        <w:t>.</w:t>
      </w:r>
      <w:r w:rsidRPr="00094D47">
        <w:rPr>
          <w:rFonts w:asciiTheme="majorBidi" w:hAnsiTheme="majorBidi" w:cstheme="majorBidi"/>
          <w:sz w:val="20"/>
          <w:szCs w:val="20"/>
        </w:rPr>
        <w:t>”</w:t>
      </w:r>
      <w:r w:rsidRPr="001B650D">
        <w:rPr>
          <w:rFonts w:asciiTheme="majorBidi" w:hAnsiTheme="majorBidi" w:cstheme="majorBidi"/>
          <w:sz w:val="20"/>
          <w:szCs w:val="20"/>
        </w:rPr>
        <w:t xml:space="preserve"> </w:t>
      </w:r>
      <w:r w:rsidRPr="00094D47">
        <w:rPr>
          <w:rFonts w:asciiTheme="majorBidi" w:hAnsiTheme="majorBidi" w:cstheme="majorBidi"/>
          <w:i/>
          <w:iCs/>
          <w:sz w:val="20"/>
          <w:szCs w:val="20"/>
        </w:rPr>
        <w:t>International Review of the Red Cross</w:t>
      </w:r>
      <w:r>
        <w:rPr>
          <w:rFonts w:asciiTheme="majorBidi" w:hAnsiTheme="majorBidi" w:cstheme="majorBidi"/>
          <w:sz w:val="20"/>
          <w:szCs w:val="20"/>
        </w:rPr>
        <w:t xml:space="preserve">. </w:t>
      </w:r>
      <w:r w:rsidRPr="001B650D">
        <w:rPr>
          <w:rFonts w:asciiTheme="majorBidi" w:hAnsiTheme="majorBidi" w:cstheme="majorBidi"/>
          <w:sz w:val="20"/>
          <w:szCs w:val="20"/>
        </w:rPr>
        <w:t xml:space="preserve">93 </w:t>
      </w:r>
      <w:r>
        <w:rPr>
          <w:rFonts w:asciiTheme="majorBidi" w:hAnsiTheme="majorBidi" w:cstheme="majorBidi"/>
          <w:sz w:val="20"/>
          <w:szCs w:val="20"/>
        </w:rPr>
        <w:t>(</w:t>
      </w:r>
      <w:r w:rsidRPr="001B650D">
        <w:rPr>
          <w:rFonts w:asciiTheme="majorBidi" w:hAnsiTheme="majorBidi" w:cstheme="majorBidi"/>
          <w:sz w:val="20"/>
          <w:szCs w:val="20"/>
        </w:rPr>
        <w:t>882</w:t>
      </w:r>
      <w:r>
        <w:rPr>
          <w:rFonts w:asciiTheme="majorBidi" w:hAnsiTheme="majorBidi" w:cstheme="majorBidi"/>
          <w:sz w:val="20"/>
          <w:szCs w:val="20"/>
        </w:rPr>
        <w:t>)</w:t>
      </w:r>
      <w:r w:rsidRPr="001B650D">
        <w:rPr>
          <w:rFonts w:asciiTheme="majorBidi" w:hAnsiTheme="majorBidi" w:cstheme="majorBidi"/>
          <w:sz w:val="20"/>
          <w:szCs w:val="20"/>
        </w:rPr>
        <w:t xml:space="preserve">. </w:t>
      </w:r>
    </w:p>
    <w:p w:rsidR="00EF4037" w:rsidRPr="00CA5CAE" w:rsidRDefault="00EF4037" w:rsidP="00EF4037">
      <w:pPr>
        <w:jc w:val="both"/>
        <w:rPr>
          <w:rFonts w:asciiTheme="majorBidi" w:hAnsiTheme="majorBidi" w:cstheme="majorBidi"/>
          <w:sz w:val="20"/>
          <w:szCs w:val="20"/>
        </w:rPr>
      </w:pPr>
      <w:r w:rsidRPr="00CA5CAE">
        <w:rPr>
          <w:rFonts w:asciiTheme="majorBidi" w:hAnsiTheme="majorBidi" w:cstheme="majorBidi"/>
          <w:sz w:val="20"/>
          <w:szCs w:val="20"/>
        </w:rPr>
        <w:t>Scherbich,</w:t>
      </w:r>
      <w:r>
        <w:rPr>
          <w:rFonts w:asciiTheme="majorBidi" w:hAnsiTheme="majorBidi" w:cstheme="majorBidi"/>
          <w:sz w:val="20"/>
          <w:szCs w:val="20"/>
        </w:rPr>
        <w:t xml:space="preserve">Yury. 2005. </w:t>
      </w:r>
      <w:r w:rsidRPr="00CA5CAE">
        <w:rPr>
          <w:rFonts w:asciiTheme="majorBidi" w:hAnsiTheme="majorBidi" w:cstheme="majorBidi"/>
          <w:sz w:val="20"/>
          <w:szCs w:val="20"/>
        </w:rPr>
        <w:t>“What Law Applies to the Conflict in Chechnya:</w:t>
      </w:r>
      <w:r>
        <w:rPr>
          <w:rFonts w:asciiTheme="majorBidi" w:hAnsiTheme="majorBidi" w:cstheme="majorBidi"/>
          <w:sz w:val="20"/>
          <w:szCs w:val="20"/>
        </w:rPr>
        <w:t xml:space="preserve"> </w:t>
      </w:r>
      <w:r w:rsidRPr="00CA5CAE">
        <w:rPr>
          <w:rFonts w:asciiTheme="majorBidi" w:hAnsiTheme="majorBidi" w:cstheme="majorBidi"/>
          <w:sz w:val="20"/>
          <w:szCs w:val="20"/>
        </w:rPr>
        <w:t>T</w:t>
      </w:r>
      <w:r>
        <w:rPr>
          <w:rFonts w:asciiTheme="majorBidi" w:hAnsiTheme="majorBidi" w:cstheme="majorBidi"/>
          <w:sz w:val="20"/>
          <w:szCs w:val="20"/>
        </w:rPr>
        <w:t>he</w:t>
      </w:r>
      <w:r w:rsidRPr="00CA5CAE">
        <w:rPr>
          <w:rFonts w:asciiTheme="majorBidi" w:hAnsiTheme="majorBidi" w:cstheme="majorBidi"/>
          <w:sz w:val="20"/>
          <w:szCs w:val="20"/>
        </w:rPr>
        <w:t xml:space="preserve"> Legal Gap of Contemporary International Humanitarian Law </w:t>
      </w:r>
      <w:r w:rsidR="00B86BF0" w:rsidRPr="00CA5CAE">
        <w:rPr>
          <w:rFonts w:asciiTheme="majorBidi" w:hAnsiTheme="majorBidi" w:cstheme="majorBidi"/>
          <w:sz w:val="20"/>
          <w:szCs w:val="20"/>
        </w:rPr>
        <w:t>of Non</w:t>
      </w:r>
      <w:r>
        <w:rPr>
          <w:rFonts w:asciiTheme="majorBidi" w:hAnsiTheme="majorBidi" w:cstheme="majorBidi"/>
          <w:sz w:val="20"/>
          <w:szCs w:val="20"/>
        </w:rPr>
        <w:t>-International Armed Conflicts.</w:t>
      </w:r>
      <w:r w:rsidRPr="00CA5CAE">
        <w:rPr>
          <w:rFonts w:asciiTheme="majorBidi" w:hAnsiTheme="majorBidi" w:cstheme="majorBidi"/>
          <w:sz w:val="20"/>
          <w:szCs w:val="20"/>
        </w:rPr>
        <w:t xml:space="preserve">” </w:t>
      </w:r>
      <w:r w:rsidRPr="00CA5CAE">
        <w:rPr>
          <w:rFonts w:asciiTheme="majorBidi" w:hAnsiTheme="majorBidi" w:cstheme="majorBidi"/>
          <w:i/>
          <w:iCs/>
          <w:sz w:val="20"/>
          <w:szCs w:val="20"/>
        </w:rPr>
        <w:t>Free Law Journal</w:t>
      </w:r>
      <w:r w:rsidRPr="00CA5CAE">
        <w:rPr>
          <w:rFonts w:asciiTheme="majorBidi" w:hAnsiTheme="majorBidi" w:cstheme="majorBidi"/>
          <w:sz w:val="20"/>
          <w:szCs w:val="20"/>
        </w:rPr>
        <w:t>, Special Issue</w:t>
      </w:r>
      <w:r>
        <w:rPr>
          <w:rFonts w:asciiTheme="majorBidi" w:hAnsiTheme="majorBidi" w:cstheme="majorBidi"/>
          <w:sz w:val="20"/>
          <w:szCs w:val="20"/>
        </w:rPr>
        <w:t>. 1 (1).</w:t>
      </w:r>
    </w:p>
    <w:p w:rsidR="00EF4037" w:rsidRDefault="00EF4037" w:rsidP="00EF4037">
      <w:pPr>
        <w:jc w:val="both"/>
        <w:rPr>
          <w:rFonts w:asciiTheme="majorBidi" w:hAnsiTheme="majorBidi" w:cstheme="majorBidi"/>
          <w:sz w:val="20"/>
          <w:szCs w:val="20"/>
        </w:rPr>
      </w:pPr>
      <w:r>
        <w:rPr>
          <w:rFonts w:asciiTheme="majorBidi" w:hAnsiTheme="majorBidi" w:cstheme="majorBidi"/>
          <w:sz w:val="20"/>
          <w:szCs w:val="20"/>
        </w:rPr>
        <w:t xml:space="preserve">Security Council. 2004.  Resolution 1546. </w:t>
      </w:r>
    </w:p>
    <w:p w:rsidR="00EF4037" w:rsidRPr="00F30962" w:rsidRDefault="00EF4037" w:rsidP="00EF4037">
      <w:pPr>
        <w:jc w:val="both"/>
        <w:rPr>
          <w:rFonts w:asciiTheme="majorBidi" w:hAnsiTheme="majorBidi" w:cstheme="majorBidi"/>
          <w:sz w:val="20"/>
          <w:szCs w:val="20"/>
        </w:rPr>
      </w:pPr>
      <w:r>
        <w:rPr>
          <w:rFonts w:asciiTheme="majorBidi" w:hAnsiTheme="majorBidi" w:cstheme="majorBidi"/>
          <w:sz w:val="20"/>
          <w:szCs w:val="20"/>
        </w:rPr>
        <w:t xml:space="preserve">Security Council. 2012. </w:t>
      </w:r>
      <w:r w:rsidRPr="00F30962">
        <w:rPr>
          <w:rFonts w:asciiTheme="majorBidi" w:hAnsiTheme="majorBidi" w:cstheme="majorBidi"/>
          <w:sz w:val="20"/>
          <w:szCs w:val="20"/>
        </w:rPr>
        <w:t xml:space="preserve"> Report of the Secretary-General on the United Nations Support Mission in Libya.</w:t>
      </w:r>
    </w:p>
    <w:p w:rsidR="00EF4037" w:rsidRDefault="00EF4037" w:rsidP="00EF4037">
      <w:pPr>
        <w:jc w:val="both"/>
        <w:rPr>
          <w:rFonts w:asciiTheme="majorBidi" w:hAnsiTheme="majorBidi" w:cstheme="majorBidi"/>
          <w:sz w:val="20"/>
          <w:szCs w:val="20"/>
        </w:rPr>
      </w:pPr>
      <w:r w:rsidRPr="001B650D">
        <w:rPr>
          <w:rFonts w:asciiTheme="majorBidi" w:hAnsiTheme="majorBidi" w:cstheme="majorBidi"/>
          <w:sz w:val="20"/>
          <w:szCs w:val="20"/>
        </w:rPr>
        <w:t>Sithole</w:t>
      </w:r>
      <w:r>
        <w:rPr>
          <w:rFonts w:asciiTheme="majorBidi" w:hAnsiTheme="majorBidi" w:cstheme="majorBidi"/>
          <w:sz w:val="20"/>
          <w:szCs w:val="20"/>
        </w:rPr>
        <w:t xml:space="preserve">, </w:t>
      </w:r>
      <w:r w:rsidRPr="001B650D">
        <w:rPr>
          <w:rFonts w:asciiTheme="majorBidi" w:hAnsiTheme="majorBidi" w:cstheme="majorBidi"/>
          <w:sz w:val="20"/>
          <w:szCs w:val="20"/>
        </w:rPr>
        <w:t>Anyway</w:t>
      </w:r>
      <w:r>
        <w:rPr>
          <w:rFonts w:asciiTheme="majorBidi" w:hAnsiTheme="majorBidi" w:cstheme="majorBidi"/>
          <w:sz w:val="20"/>
          <w:szCs w:val="20"/>
        </w:rPr>
        <w:t>. 2012.</w:t>
      </w:r>
      <w:r w:rsidRPr="001B650D">
        <w:rPr>
          <w:rFonts w:asciiTheme="majorBidi" w:hAnsiTheme="majorBidi" w:cstheme="majorBidi"/>
          <w:sz w:val="20"/>
          <w:szCs w:val="20"/>
        </w:rPr>
        <w:t xml:space="preserve">  </w:t>
      </w:r>
      <w:r w:rsidRPr="00AC00C1">
        <w:rPr>
          <w:rFonts w:asciiTheme="majorBidi" w:hAnsiTheme="majorBidi" w:cstheme="majorBidi"/>
          <w:sz w:val="20"/>
          <w:szCs w:val="20"/>
        </w:rPr>
        <w:t>“The African Union Peace and Security mechanism’s crawl from design to reality: Was the Libyan crisis a depiction of severe limitations?</w:t>
      </w:r>
      <w:r>
        <w:rPr>
          <w:rFonts w:asciiTheme="majorBidi" w:hAnsiTheme="majorBidi" w:cstheme="majorBidi"/>
          <w:sz w:val="20"/>
          <w:szCs w:val="20"/>
        </w:rPr>
        <w:t>.</w:t>
      </w:r>
      <w:r w:rsidRPr="001B650D">
        <w:rPr>
          <w:rFonts w:asciiTheme="majorBidi" w:hAnsiTheme="majorBidi" w:cstheme="majorBidi"/>
          <w:sz w:val="20"/>
          <w:szCs w:val="20"/>
        </w:rPr>
        <w:t xml:space="preserve"> </w:t>
      </w:r>
      <w:r w:rsidRPr="00E549F7">
        <w:rPr>
          <w:rFonts w:asciiTheme="majorBidi" w:hAnsiTheme="majorBidi" w:cstheme="majorBidi"/>
          <w:i/>
          <w:iCs/>
          <w:sz w:val="20"/>
          <w:szCs w:val="20"/>
        </w:rPr>
        <w:t>African Journal on Conflict Resolution</w:t>
      </w:r>
      <w:r>
        <w:rPr>
          <w:rFonts w:asciiTheme="majorBidi" w:hAnsiTheme="majorBidi" w:cstheme="majorBidi"/>
          <w:sz w:val="20"/>
          <w:szCs w:val="20"/>
        </w:rPr>
        <w:t>.</w:t>
      </w:r>
      <w:r w:rsidRPr="001B650D">
        <w:rPr>
          <w:rFonts w:asciiTheme="majorBidi" w:hAnsiTheme="majorBidi" w:cstheme="majorBidi"/>
          <w:sz w:val="20"/>
          <w:szCs w:val="20"/>
        </w:rPr>
        <w:t xml:space="preserve"> </w:t>
      </w:r>
      <w:r>
        <w:rPr>
          <w:rFonts w:asciiTheme="majorBidi" w:hAnsiTheme="majorBidi" w:cstheme="majorBidi"/>
          <w:sz w:val="20"/>
          <w:szCs w:val="20"/>
        </w:rPr>
        <w:t>(</w:t>
      </w:r>
      <w:r w:rsidRPr="001B650D">
        <w:rPr>
          <w:rFonts w:asciiTheme="majorBidi" w:hAnsiTheme="majorBidi" w:cstheme="majorBidi"/>
          <w:sz w:val="20"/>
          <w:szCs w:val="20"/>
        </w:rPr>
        <w:t>12</w:t>
      </w:r>
      <w:r>
        <w:rPr>
          <w:rFonts w:asciiTheme="majorBidi" w:hAnsiTheme="majorBidi" w:cstheme="majorBidi"/>
          <w:sz w:val="20"/>
          <w:szCs w:val="20"/>
        </w:rPr>
        <w:t>)</w:t>
      </w:r>
      <w:r w:rsidRPr="001B650D">
        <w:rPr>
          <w:rFonts w:asciiTheme="majorBidi" w:hAnsiTheme="majorBidi" w:cstheme="majorBidi"/>
          <w:sz w:val="20"/>
          <w:szCs w:val="20"/>
        </w:rPr>
        <w:t xml:space="preserve">.  </w:t>
      </w:r>
    </w:p>
    <w:p w:rsidR="00EF4037" w:rsidRDefault="00EF4037" w:rsidP="00EF4037">
      <w:pPr>
        <w:pStyle w:val="FootnoteText"/>
        <w:jc w:val="both"/>
        <w:rPr>
          <w:rFonts w:asciiTheme="majorBidi" w:hAnsiTheme="majorBidi" w:cstheme="majorBidi"/>
        </w:rPr>
      </w:pPr>
      <w:r w:rsidRPr="00470A19">
        <w:rPr>
          <w:rFonts w:asciiTheme="majorBidi" w:hAnsiTheme="majorBidi" w:cstheme="majorBidi"/>
        </w:rPr>
        <w:t>Sivakumaran,Sandesh</w:t>
      </w:r>
      <w:r>
        <w:rPr>
          <w:rFonts w:asciiTheme="majorBidi" w:hAnsiTheme="majorBidi" w:cstheme="majorBidi"/>
        </w:rPr>
        <w:t>. 2012.</w:t>
      </w:r>
      <w:r w:rsidRPr="00470A19">
        <w:rPr>
          <w:rFonts w:asciiTheme="majorBidi" w:hAnsiTheme="majorBidi" w:cstheme="majorBidi"/>
        </w:rPr>
        <w:t xml:space="preserve"> </w:t>
      </w:r>
      <w:r w:rsidRPr="00470A19">
        <w:rPr>
          <w:rFonts w:asciiTheme="majorBidi" w:hAnsiTheme="majorBidi" w:cstheme="majorBidi"/>
          <w:i/>
          <w:iCs/>
        </w:rPr>
        <w:t>The Law of Non-International Armed Conflict</w:t>
      </w:r>
      <w:r>
        <w:rPr>
          <w:rFonts w:asciiTheme="majorBidi" w:hAnsiTheme="majorBidi" w:cstheme="majorBidi"/>
        </w:rPr>
        <w:t>.</w:t>
      </w:r>
      <w:r w:rsidRPr="00470A19">
        <w:rPr>
          <w:rFonts w:asciiTheme="majorBidi" w:hAnsiTheme="majorBidi" w:cstheme="majorBidi"/>
        </w:rPr>
        <w:t xml:space="preserve"> OUP Oxford</w:t>
      </w:r>
      <w:r>
        <w:rPr>
          <w:rFonts w:asciiTheme="majorBidi" w:hAnsiTheme="majorBidi" w:cstheme="majorBidi"/>
        </w:rPr>
        <w:t>.</w:t>
      </w:r>
    </w:p>
    <w:p w:rsidR="00EF4037" w:rsidRDefault="00EF4037" w:rsidP="00EF4037">
      <w:pPr>
        <w:jc w:val="both"/>
        <w:rPr>
          <w:rFonts w:asciiTheme="majorBidi" w:hAnsiTheme="majorBidi" w:cstheme="majorBidi"/>
          <w:sz w:val="20"/>
          <w:szCs w:val="20"/>
        </w:rPr>
      </w:pPr>
    </w:p>
    <w:p w:rsidR="00EF4037" w:rsidRPr="001B650D" w:rsidRDefault="00EF4037" w:rsidP="00EF4037">
      <w:pPr>
        <w:jc w:val="both"/>
        <w:rPr>
          <w:rFonts w:asciiTheme="majorBidi" w:hAnsiTheme="majorBidi" w:cstheme="majorBidi"/>
          <w:sz w:val="20"/>
          <w:szCs w:val="20"/>
        </w:rPr>
      </w:pPr>
      <w:r w:rsidRPr="001B650D">
        <w:rPr>
          <w:rFonts w:asciiTheme="majorBidi" w:hAnsiTheme="majorBidi" w:cstheme="majorBidi"/>
          <w:sz w:val="20"/>
          <w:szCs w:val="20"/>
        </w:rPr>
        <w:t>Talmon,</w:t>
      </w:r>
      <w:r>
        <w:rPr>
          <w:rFonts w:asciiTheme="majorBidi" w:hAnsiTheme="majorBidi" w:cstheme="majorBidi"/>
          <w:sz w:val="20"/>
          <w:szCs w:val="20"/>
        </w:rPr>
        <w:t xml:space="preserve"> </w:t>
      </w:r>
      <w:r w:rsidRPr="001B650D">
        <w:rPr>
          <w:rFonts w:asciiTheme="majorBidi" w:hAnsiTheme="majorBidi" w:cstheme="majorBidi"/>
          <w:sz w:val="20"/>
          <w:szCs w:val="20"/>
        </w:rPr>
        <w:t>Stefan</w:t>
      </w:r>
      <w:r>
        <w:rPr>
          <w:rFonts w:asciiTheme="majorBidi" w:hAnsiTheme="majorBidi" w:cstheme="majorBidi"/>
          <w:sz w:val="20"/>
          <w:szCs w:val="20"/>
        </w:rPr>
        <w:t>. 2011.</w:t>
      </w:r>
      <w:r w:rsidRPr="001B650D">
        <w:rPr>
          <w:rFonts w:asciiTheme="majorBidi" w:hAnsiTheme="majorBidi" w:cstheme="majorBidi"/>
          <w:sz w:val="20"/>
          <w:szCs w:val="20"/>
        </w:rPr>
        <w:t xml:space="preserve"> </w:t>
      </w:r>
      <w:r w:rsidRPr="009B0253">
        <w:rPr>
          <w:rFonts w:asciiTheme="majorBidi" w:hAnsiTheme="majorBidi" w:cstheme="majorBidi"/>
          <w:sz w:val="20"/>
          <w:szCs w:val="20"/>
        </w:rPr>
        <w:t>“Recognition of the Libya</w:t>
      </w:r>
      <w:r>
        <w:rPr>
          <w:rFonts w:asciiTheme="majorBidi" w:hAnsiTheme="majorBidi" w:cstheme="majorBidi"/>
          <w:sz w:val="20"/>
          <w:szCs w:val="20"/>
        </w:rPr>
        <w:t>n National Transitional Council.</w:t>
      </w:r>
      <w:r w:rsidRPr="009B0253">
        <w:rPr>
          <w:rFonts w:asciiTheme="majorBidi" w:hAnsiTheme="majorBidi" w:cstheme="majorBidi"/>
          <w:sz w:val="20"/>
          <w:szCs w:val="20"/>
        </w:rPr>
        <w:t>”</w:t>
      </w:r>
      <w:r w:rsidRPr="001B650D">
        <w:rPr>
          <w:rFonts w:asciiTheme="majorBidi" w:hAnsiTheme="majorBidi" w:cstheme="majorBidi"/>
          <w:sz w:val="20"/>
          <w:szCs w:val="20"/>
        </w:rPr>
        <w:t xml:space="preserve"> </w:t>
      </w:r>
      <w:r w:rsidRPr="009B0253">
        <w:rPr>
          <w:rFonts w:asciiTheme="majorBidi" w:hAnsiTheme="majorBidi" w:cstheme="majorBidi"/>
          <w:i/>
          <w:iCs/>
          <w:sz w:val="20"/>
          <w:szCs w:val="20"/>
        </w:rPr>
        <w:t>American Society of International Law (ASIL)</w:t>
      </w:r>
      <w:r>
        <w:rPr>
          <w:rFonts w:asciiTheme="majorBidi" w:hAnsiTheme="majorBidi" w:cstheme="majorBidi"/>
          <w:sz w:val="20"/>
          <w:szCs w:val="20"/>
        </w:rPr>
        <w:t xml:space="preserve">. </w:t>
      </w:r>
      <w:r w:rsidRPr="001B650D">
        <w:rPr>
          <w:rFonts w:asciiTheme="majorBidi" w:hAnsiTheme="majorBidi" w:cstheme="majorBidi"/>
          <w:sz w:val="20"/>
          <w:szCs w:val="20"/>
        </w:rPr>
        <w:t>15</w:t>
      </w:r>
      <w:r>
        <w:rPr>
          <w:rFonts w:asciiTheme="majorBidi" w:hAnsiTheme="majorBidi" w:cstheme="majorBidi"/>
          <w:sz w:val="20"/>
          <w:szCs w:val="20"/>
        </w:rPr>
        <w:t xml:space="preserve"> (</w:t>
      </w:r>
      <w:r w:rsidRPr="001B650D">
        <w:rPr>
          <w:rFonts w:asciiTheme="majorBidi" w:hAnsiTheme="majorBidi" w:cstheme="majorBidi"/>
          <w:sz w:val="20"/>
          <w:szCs w:val="20"/>
        </w:rPr>
        <w:t>16</w:t>
      </w:r>
      <w:r>
        <w:rPr>
          <w:rFonts w:asciiTheme="majorBidi" w:hAnsiTheme="majorBidi" w:cstheme="majorBidi"/>
          <w:sz w:val="20"/>
          <w:szCs w:val="20"/>
        </w:rPr>
        <w:t>)</w:t>
      </w:r>
      <w:r w:rsidRPr="001B650D">
        <w:rPr>
          <w:rStyle w:val="st"/>
          <w:rFonts w:asciiTheme="majorBidi" w:hAnsiTheme="majorBidi"/>
          <w:sz w:val="20"/>
          <w:szCs w:val="20"/>
        </w:rPr>
        <w:t>.</w:t>
      </w:r>
    </w:p>
    <w:p w:rsidR="00EF4037" w:rsidRDefault="00EF4037" w:rsidP="00EF4037">
      <w:pPr>
        <w:jc w:val="both"/>
        <w:rPr>
          <w:rFonts w:asciiTheme="majorBidi" w:hAnsiTheme="majorBidi" w:cstheme="majorBidi"/>
          <w:sz w:val="20"/>
          <w:szCs w:val="20"/>
        </w:rPr>
      </w:pPr>
    </w:p>
    <w:p w:rsidR="00EF4037" w:rsidRDefault="00B86BF0" w:rsidP="00EF4037">
      <w:pPr>
        <w:jc w:val="both"/>
        <w:rPr>
          <w:rFonts w:asciiTheme="majorBidi" w:hAnsiTheme="majorBidi" w:cstheme="majorBidi"/>
          <w:sz w:val="20"/>
          <w:szCs w:val="20"/>
        </w:rPr>
      </w:pPr>
      <w:r>
        <w:rPr>
          <w:rFonts w:asciiTheme="majorBidi" w:hAnsiTheme="majorBidi" w:cstheme="majorBidi"/>
          <w:sz w:val="20"/>
          <w:szCs w:val="20"/>
        </w:rPr>
        <w:t>Van</w:t>
      </w:r>
      <w:r w:rsidR="00EF4037">
        <w:rPr>
          <w:rFonts w:asciiTheme="majorBidi" w:hAnsiTheme="majorBidi" w:cstheme="majorBidi"/>
          <w:sz w:val="20"/>
          <w:szCs w:val="20"/>
        </w:rPr>
        <w:t xml:space="preserve"> </w:t>
      </w:r>
      <w:r>
        <w:rPr>
          <w:rFonts w:asciiTheme="majorBidi" w:hAnsiTheme="majorBidi" w:cstheme="majorBidi"/>
          <w:sz w:val="20"/>
          <w:szCs w:val="20"/>
        </w:rPr>
        <w:t>Essen,</w:t>
      </w:r>
      <w:r w:rsidR="00EF4037">
        <w:rPr>
          <w:rFonts w:asciiTheme="majorBidi" w:hAnsiTheme="majorBidi" w:cstheme="majorBidi"/>
          <w:sz w:val="20"/>
          <w:szCs w:val="20"/>
        </w:rPr>
        <w:t xml:space="preserve"> Jonte.  2012. </w:t>
      </w:r>
      <w:r w:rsidR="00EF4037" w:rsidRPr="00E865DE">
        <w:rPr>
          <w:rFonts w:asciiTheme="majorBidi" w:hAnsiTheme="majorBidi" w:cstheme="majorBidi"/>
          <w:sz w:val="20"/>
          <w:szCs w:val="20"/>
        </w:rPr>
        <w:t>“De Fac</w:t>
      </w:r>
      <w:r w:rsidR="00EF4037">
        <w:rPr>
          <w:rFonts w:asciiTheme="majorBidi" w:hAnsiTheme="majorBidi" w:cstheme="majorBidi"/>
          <w:sz w:val="20"/>
          <w:szCs w:val="20"/>
        </w:rPr>
        <w:t>to Regimes in International Law.</w:t>
      </w:r>
      <w:r w:rsidR="00EF4037" w:rsidRPr="00E865DE">
        <w:rPr>
          <w:rFonts w:asciiTheme="majorBidi" w:hAnsiTheme="majorBidi" w:cstheme="majorBidi"/>
          <w:sz w:val="20"/>
          <w:szCs w:val="20"/>
        </w:rPr>
        <w:t>”</w:t>
      </w:r>
      <w:r w:rsidR="00EF4037" w:rsidRPr="001B650D">
        <w:rPr>
          <w:rFonts w:asciiTheme="majorBidi" w:hAnsiTheme="majorBidi" w:cstheme="majorBidi"/>
          <w:sz w:val="20"/>
          <w:szCs w:val="20"/>
        </w:rPr>
        <w:t xml:space="preserve"> </w:t>
      </w:r>
      <w:r w:rsidR="00EF4037" w:rsidRPr="00E865DE">
        <w:rPr>
          <w:rFonts w:asciiTheme="majorBidi" w:hAnsiTheme="majorBidi" w:cstheme="majorBidi"/>
          <w:i/>
          <w:iCs/>
          <w:sz w:val="20"/>
          <w:szCs w:val="20"/>
        </w:rPr>
        <w:t>Utrecht Journal of International and European law</w:t>
      </w:r>
      <w:r w:rsidR="00EF4037">
        <w:rPr>
          <w:rFonts w:asciiTheme="majorBidi" w:hAnsiTheme="majorBidi" w:cstheme="majorBidi"/>
          <w:i/>
          <w:iCs/>
          <w:sz w:val="20"/>
          <w:szCs w:val="20"/>
        </w:rPr>
        <w:t>.</w:t>
      </w:r>
      <w:r w:rsidR="00EF4037" w:rsidRPr="001B650D">
        <w:rPr>
          <w:rFonts w:asciiTheme="majorBidi" w:hAnsiTheme="majorBidi" w:cstheme="majorBidi"/>
          <w:sz w:val="20"/>
          <w:szCs w:val="20"/>
        </w:rPr>
        <w:t xml:space="preserve"> </w:t>
      </w:r>
      <w:r w:rsidR="00EF4037">
        <w:rPr>
          <w:rFonts w:asciiTheme="majorBidi" w:hAnsiTheme="majorBidi" w:cstheme="majorBidi"/>
          <w:sz w:val="20"/>
          <w:szCs w:val="20"/>
        </w:rPr>
        <w:t>28(</w:t>
      </w:r>
      <w:r w:rsidR="00EF4037" w:rsidRPr="001B650D">
        <w:rPr>
          <w:rFonts w:asciiTheme="majorBidi" w:hAnsiTheme="majorBidi" w:cstheme="majorBidi"/>
          <w:sz w:val="20"/>
          <w:szCs w:val="20"/>
        </w:rPr>
        <w:t>74</w:t>
      </w:r>
      <w:r w:rsidR="00EF4037">
        <w:rPr>
          <w:rFonts w:asciiTheme="majorBidi" w:hAnsiTheme="majorBidi" w:cstheme="majorBidi"/>
          <w:sz w:val="20"/>
          <w:szCs w:val="20"/>
        </w:rPr>
        <w:t>).</w:t>
      </w:r>
      <w:r w:rsidR="00EF4037" w:rsidRPr="001B650D">
        <w:rPr>
          <w:rFonts w:asciiTheme="majorBidi" w:hAnsiTheme="majorBidi" w:cstheme="majorBidi"/>
          <w:sz w:val="20"/>
          <w:szCs w:val="20"/>
        </w:rPr>
        <w:t xml:space="preserve"> </w:t>
      </w:r>
    </w:p>
    <w:p w:rsidR="00EF4037" w:rsidRDefault="00EF4037" w:rsidP="00EF4037">
      <w:pPr>
        <w:jc w:val="both"/>
        <w:rPr>
          <w:rStyle w:val="st"/>
          <w:rFonts w:asciiTheme="majorBidi" w:hAnsiTheme="majorBidi"/>
          <w:sz w:val="20"/>
          <w:szCs w:val="20"/>
        </w:rPr>
      </w:pPr>
      <w:r w:rsidRPr="001B650D">
        <w:rPr>
          <w:rStyle w:val="st"/>
          <w:rFonts w:asciiTheme="majorBidi" w:hAnsiTheme="majorBidi"/>
          <w:sz w:val="20"/>
          <w:szCs w:val="20"/>
        </w:rPr>
        <w:t>Varvelli,</w:t>
      </w:r>
      <w:r w:rsidRPr="00286A9A">
        <w:rPr>
          <w:rStyle w:val="st"/>
          <w:rFonts w:asciiTheme="majorBidi" w:hAnsiTheme="majorBidi"/>
          <w:sz w:val="20"/>
          <w:szCs w:val="20"/>
        </w:rPr>
        <w:t xml:space="preserve"> </w:t>
      </w:r>
      <w:r w:rsidRPr="001B650D">
        <w:rPr>
          <w:rStyle w:val="st"/>
          <w:rFonts w:asciiTheme="majorBidi" w:hAnsiTheme="majorBidi"/>
          <w:sz w:val="20"/>
          <w:szCs w:val="20"/>
        </w:rPr>
        <w:t>Arturo</w:t>
      </w:r>
      <w:r>
        <w:rPr>
          <w:rStyle w:val="st"/>
          <w:rFonts w:asciiTheme="majorBidi" w:hAnsiTheme="majorBidi"/>
          <w:sz w:val="20"/>
          <w:szCs w:val="20"/>
        </w:rPr>
        <w:t xml:space="preserve">. 2012. </w:t>
      </w:r>
      <w:r w:rsidRPr="003D7B63">
        <w:rPr>
          <w:rStyle w:val="st"/>
          <w:rFonts w:asciiTheme="majorBidi" w:hAnsiTheme="majorBidi"/>
          <w:sz w:val="20"/>
          <w:szCs w:val="20"/>
        </w:rPr>
        <w:t>“Italy and new Libya between continuity and change”</w:t>
      </w:r>
      <w:r>
        <w:rPr>
          <w:rStyle w:val="st"/>
          <w:rFonts w:asciiTheme="majorBidi" w:hAnsiTheme="majorBidi"/>
          <w:sz w:val="20"/>
          <w:szCs w:val="20"/>
        </w:rPr>
        <w:t>.</w:t>
      </w:r>
      <w:r w:rsidRPr="001B650D">
        <w:rPr>
          <w:rStyle w:val="st"/>
          <w:rFonts w:asciiTheme="majorBidi" w:hAnsiTheme="majorBidi"/>
          <w:sz w:val="20"/>
          <w:szCs w:val="20"/>
        </w:rPr>
        <w:t xml:space="preserve"> </w:t>
      </w:r>
      <w:r w:rsidRPr="003D7B63">
        <w:rPr>
          <w:rStyle w:val="st"/>
          <w:rFonts w:asciiTheme="majorBidi" w:hAnsiTheme="majorBidi"/>
          <w:i/>
          <w:iCs/>
          <w:sz w:val="20"/>
          <w:szCs w:val="20"/>
        </w:rPr>
        <w:t>ISPI</w:t>
      </w:r>
      <w:r w:rsidRPr="001B650D">
        <w:rPr>
          <w:rStyle w:val="st"/>
          <w:rFonts w:asciiTheme="majorBidi" w:hAnsiTheme="majorBidi"/>
          <w:sz w:val="20"/>
          <w:szCs w:val="20"/>
        </w:rPr>
        <w:t xml:space="preserve">, </w:t>
      </w:r>
      <w:r w:rsidR="00B86BF0">
        <w:rPr>
          <w:rStyle w:val="st"/>
          <w:rFonts w:asciiTheme="majorBidi" w:hAnsiTheme="majorBidi"/>
          <w:sz w:val="20"/>
          <w:szCs w:val="20"/>
        </w:rPr>
        <w:t>(</w:t>
      </w:r>
      <w:r w:rsidR="00B86BF0" w:rsidRPr="001B650D">
        <w:rPr>
          <w:rStyle w:val="st"/>
          <w:rFonts w:asciiTheme="majorBidi" w:hAnsiTheme="majorBidi"/>
          <w:sz w:val="20"/>
          <w:szCs w:val="20"/>
        </w:rPr>
        <w:t>219</w:t>
      </w:r>
      <w:r w:rsidRPr="001B650D">
        <w:rPr>
          <w:rStyle w:val="st"/>
          <w:rFonts w:asciiTheme="majorBidi" w:hAnsiTheme="majorBidi"/>
          <w:sz w:val="20"/>
          <w:szCs w:val="20"/>
        </w:rPr>
        <w:t xml:space="preserve"> </w:t>
      </w:r>
      <w:r>
        <w:rPr>
          <w:rStyle w:val="st"/>
          <w:rFonts w:asciiTheme="majorBidi" w:hAnsiTheme="majorBidi"/>
          <w:sz w:val="20"/>
          <w:szCs w:val="20"/>
        </w:rPr>
        <w:t>)</w:t>
      </w:r>
      <w:r w:rsidRPr="001B650D">
        <w:rPr>
          <w:rStyle w:val="st"/>
          <w:rFonts w:asciiTheme="majorBidi" w:hAnsiTheme="majorBidi"/>
          <w:sz w:val="20"/>
          <w:szCs w:val="20"/>
        </w:rPr>
        <w:t>.</w:t>
      </w:r>
    </w:p>
    <w:p w:rsidR="00EF4037" w:rsidRDefault="00EF4037" w:rsidP="00EF4037">
      <w:pPr>
        <w:jc w:val="both"/>
        <w:rPr>
          <w:rFonts w:asciiTheme="majorBidi" w:hAnsiTheme="majorBidi" w:cstheme="majorBidi"/>
          <w:sz w:val="20"/>
          <w:szCs w:val="20"/>
        </w:rPr>
      </w:pPr>
      <w:r>
        <w:rPr>
          <w:rFonts w:asciiTheme="majorBidi" w:hAnsiTheme="majorBidi" w:cstheme="majorBidi"/>
          <w:sz w:val="20"/>
          <w:szCs w:val="20"/>
        </w:rPr>
        <w:t xml:space="preserve">Von der Groeben, Constantin. 2014.  </w:t>
      </w:r>
      <w:r w:rsidRPr="00FC1A9C">
        <w:rPr>
          <w:rFonts w:asciiTheme="majorBidi" w:hAnsiTheme="majorBidi" w:cstheme="majorBidi"/>
          <w:i/>
          <w:iCs/>
          <w:sz w:val="20"/>
          <w:szCs w:val="20"/>
        </w:rPr>
        <w:t>Transnational Conflicts and International Law</w:t>
      </w:r>
      <w:r>
        <w:rPr>
          <w:rFonts w:asciiTheme="majorBidi" w:hAnsiTheme="majorBidi" w:cstheme="majorBidi"/>
          <w:sz w:val="20"/>
          <w:szCs w:val="20"/>
        </w:rPr>
        <w:t>. Osterreich: Bod-Books on Demand.</w:t>
      </w:r>
    </w:p>
    <w:p w:rsidR="00EF4037" w:rsidRPr="000257BE" w:rsidRDefault="00EF4037" w:rsidP="00EF4037">
      <w:pPr>
        <w:pStyle w:val="Default"/>
        <w:rPr>
          <w:rFonts w:asciiTheme="majorBidi" w:hAnsiTheme="majorBidi" w:cstheme="majorBidi"/>
          <w:color w:val="auto"/>
          <w:sz w:val="20"/>
          <w:szCs w:val="20"/>
        </w:rPr>
      </w:pPr>
      <w:r>
        <w:rPr>
          <w:rFonts w:asciiTheme="majorBidi" w:hAnsiTheme="majorBidi" w:cstheme="majorBidi"/>
          <w:color w:val="auto"/>
          <w:sz w:val="20"/>
          <w:szCs w:val="20"/>
        </w:rPr>
        <w:t xml:space="preserve">War Colledge, Nawal. 2012.  </w:t>
      </w:r>
      <w:r w:rsidRPr="000257BE">
        <w:rPr>
          <w:rFonts w:asciiTheme="majorBidi" w:hAnsiTheme="majorBidi" w:cstheme="majorBidi"/>
          <w:i/>
          <w:iCs/>
          <w:color w:val="auto"/>
          <w:sz w:val="20"/>
          <w:szCs w:val="20"/>
        </w:rPr>
        <w:t>Non-International Armed Conflict in the Twenty-First Century</w:t>
      </w:r>
      <w:r>
        <w:rPr>
          <w:rFonts w:asciiTheme="majorBidi" w:hAnsiTheme="majorBidi" w:cstheme="majorBidi"/>
          <w:color w:val="auto"/>
          <w:sz w:val="20"/>
          <w:szCs w:val="20"/>
        </w:rPr>
        <w:t xml:space="preserve">. Government Printing Office. </w:t>
      </w:r>
    </w:p>
    <w:p w:rsidR="00EF4037" w:rsidRPr="001B650D" w:rsidRDefault="00EF4037" w:rsidP="00EF4037">
      <w:pPr>
        <w:jc w:val="both"/>
        <w:rPr>
          <w:rFonts w:asciiTheme="majorBidi" w:hAnsiTheme="majorBidi" w:cstheme="majorBidi"/>
          <w:sz w:val="20"/>
          <w:szCs w:val="20"/>
        </w:rPr>
      </w:pPr>
    </w:p>
    <w:p w:rsidR="00EF4037" w:rsidRPr="001B650D" w:rsidRDefault="00EF4037" w:rsidP="00EF4037">
      <w:pPr>
        <w:jc w:val="both"/>
        <w:rPr>
          <w:rFonts w:asciiTheme="majorBidi" w:hAnsiTheme="majorBidi" w:cstheme="majorBidi"/>
          <w:sz w:val="20"/>
          <w:szCs w:val="20"/>
        </w:rPr>
      </w:pPr>
      <w:r w:rsidRPr="001B650D">
        <w:rPr>
          <w:rFonts w:asciiTheme="majorBidi" w:hAnsiTheme="majorBidi" w:cstheme="majorBidi"/>
          <w:sz w:val="20"/>
          <w:szCs w:val="20"/>
        </w:rPr>
        <w:t>Wolfr</w:t>
      </w:r>
      <w:r>
        <w:rPr>
          <w:rFonts w:asciiTheme="majorBidi" w:hAnsiTheme="majorBidi" w:cstheme="majorBidi"/>
          <w:sz w:val="20"/>
          <w:szCs w:val="20"/>
        </w:rPr>
        <w:t xml:space="preserve">um, </w:t>
      </w:r>
      <w:r w:rsidRPr="001B650D">
        <w:rPr>
          <w:rFonts w:asciiTheme="majorBidi" w:hAnsiTheme="majorBidi" w:cstheme="majorBidi"/>
          <w:sz w:val="20"/>
          <w:szCs w:val="20"/>
        </w:rPr>
        <w:t xml:space="preserve">Rudiger </w:t>
      </w:r>
      <w:r>
        <w:rPr>
          <w:rFonts w:asciiTheme="majorBidi" w:hAnsiTheme="majorBidi" w:cstheme="majorBidi"/>
          <w:sz w:val="20"/>
          <w:szCs w:val="20"/>
        </w:rPr>
        <w:t xml:space="preserve">and </w:t>
      </w:r>
      <w:r w:rsidR="00B86BF0">
        <w:rPr>
          <w:rFonts w:asciiTheme="majorBidi" w:hAnsiTheme="majorBidi" w:cstheme="majorBidi"/>
          <w:sz w:val="20"/>
          <w:szCs w:val="20"/>
        </w:rPr>
        <w:t>Christiane E</w:t>
      </w:r>
      <w:r>
        <w:rPr>
          <w:rFonts w:asciiTheme="majorBidi" w:hAnsiTheme="majorBidi" w:cstheme="majorBidi"/>
          <w:sz w:val="20"/>
          <w:szCs w:val="20"/>
        </w:rPr>
        <w:t xml:space="preserve">. Philipp. 2002. </w:t>
      </w:r>
      <w:r w:rsidRPr="00EF2059">
        <w:rPr>
          <w:rFonts w:asciiTheme="majorBidi" w:hAnsiTheme="majorBidi" w:cstheme="majorBidi"/>
          <w:i/>
          <w:iCs/>
          <w:sz w:val="20"/>
          <w:szCs w:val="20"/>
        </w:rPr>
        <w:t xml:space="preserve">The Status of the Taliban: Their Obligations and Rights </w:t>
      </w:r>
      <w:r w:rsidR="00B86BF0" w:rsidRPr="00EF2059">
        <w:rPr>
          <w:rFonts w:asciiTheme="majorBidi" w:hAnsiTheme="majorBidi" w:cstheme="majorBidi"/>
          <w:i/>
          <w:iCs/>
          <w:sz w:val="20"/>
          <w:szCs w:val="20"/>
        </w:rPr>
        <w:t>under</w:t>
      </w:r>
      <w:r w:rsidRPr="00EF2059">
        <w:rPr>
          <w:rFonts w:asciiTheme="majorBidi" w:hAnsiTheme="majorBidi" w:cstheme="majorBidi"/>
          <w:i/>
          <w:iCs/>
          <w:sz w:val="20"/>
          <w:szCs w:val="20"/>
        </w:rPr>
        <w:t xml:space="preserve"> International Law</w:t>
      </w:r>
      <w:r>
        <w:rPr>
          <w:rFonts w:asciiTheme="majorBidi" w:hAnsiTheme="majorBidi" w:cstheme="majorBidi"/>
          <w:i/>
          <w:iCs/>
          <w:sz w:val="20"/>
          <w:szCs w:val="20"/>
        </w:rPr>
        <w:t>.</w:t>
      </w:r>
      <w:r w:rsidRPr="001B650D">
        <w:rPr>
          <w:rFonts w:asciiTheme="majorBidi" w:hAnsiTheme="majorBidi" w:cstheme="majorBidi"/>
          <w:sz w:val="20"/>
          <w:szCs w:val="20"/>
        </w:rPr>
        <w:t xml:space="preserve"> Max Plank Yearbook of United Nations Law</w:t>
      </w:r>
      <w:r>
        <w:rPr>
          <w:rFonts w:asciiTheme="majorBidi" w:hAnsiTheme="majorBidi" w:cstheme="majorBidi"/>
          <w:sz w:val="20"/>
          <w:szCs w:val="20"/>
        </w:rPr>
        <w:t>. (6).</w:t>
      </w:r>
    </w:p>
    <w:p w:rsidR="00EF4037" w:rsidRDefault="00EF4037" w:rsidP="00283CF9">
      <w:pPr>
        <w:ind w:left="1620" w:right="206"/>
        <w:jc w:val="both"/>
        <w:rPr>
          <w:rFonts w:asciiTheme="majorBidi" w:hAnsiTheme="majorBidi" w:cstheme="majorBidi"/>
        </w:rPr>
        <w:sectPr w:rsidR="00EF4037" w:rsidSect="00EF4037">
          <w:type w:val="continuous"/>
          <w:pgSz w:w="12240" w:h="15840"/>
          <w:pgMar w:top="1440" w:right="1440" w:bottom="1440" w:left="1440" w:header="720" w:footer="720" w:gutter="0"/>
          <w:cols w:num="2" w:space="720"/>
          <w:docGrid w:linePitch="360"/>
        </w:sectPr>
      </w:pPr>
    </w:p>
    <w:p w:rsidR="00EF4037" w:rsidRPr="00283CF9" w:rsidRDefault="00EF4037" w:rsidP="00283CF9">
      <w:pPr>
        <w:ind w:left="1620" w:right="206"/>
        <w:jc w:val="both"/>
        <w:rPr>
          <w:rFonts w:asciiTheme="majorBidi" w:hAnsiTheme="majorBidi" w:cstheme="majorBidi"/>
        </w:rPr>
      </w:pPr>
    </w:p>
    <w:p w:rsidR="00FE7F19" w:rsidRDefault="00FE7F19"/>
    <w:sectPr w:rsidR="00FE7F19" w:rsidSect="00EF403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53" w:rsidRDefault="00074353" w:rsidP="00FE7F19">
      <w:pPr>
        <w:spacing w:after="0" w:line="240" w:lineRule="auto"/>
      </w:pPr>
      <w:r>
        <w:separator/>
      </w:r>
    </w:p>
  </w:endnote>
  <w:endnote w:type="continuationSeparator" w:id="0">
    <w:p w:rsidR="00074353" w:rsidRDefault="00074353" w:rsidP="00FE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53" w:rsidRDefault="00074353" w:rsidP="00FE7F19">
      <w:pPr>
        <w:spacing w:after="0" w:line="240" w:lineRule="auto"/>
      </w:pPr>
      <w:r>
        <w:separator/>
      </w:r>
    </w:p>
  </w:footnote>
  <w:footnote w:type="continuationSeparator" w:id="0">
    <w:p w:rsidR="00074353" w:rsidRDefault="00074353" w:rsidP="00FE7F19">
      <w:pPr>
        <w:spacing w:after="0" w:line="240" w:lineRule="auto"/>
      </w:pPr>
      <w:r>
        <w:continuationSeparator/>
      </w:r>
    </w:p>
  </w:footnote>
  <w:footnote w:id="1">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African Commission on Human and Peoples’ Rights v. Great Socialist People's Libyan Arab Jamahiriya, Application No. 004/2011.</w:t>
      </w:r>
    </w:p>
  </w:footnote>
  <w:footnote w:id="2">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Anyway Sithole,  </w:t>
      </w:r>
      <w:r w:rsidRPr="00AC00C1">
        <w:rPr>
          <w:rFonts w:asciiTheme="majorBidi" w:hAnsiTheme="majorBidi" w:cstheme="majorBidi"/>
          <w:sz w:val="20"/>
          <w:szCs w:val="20"/>
        </w:rPr>
        <w:t>“The African Union Peace and Security mechanism’s crawl from design to reality: Was the Libyan crisis a depiction of severe limitations?</w:t>
      </w:r>
      <w:r>
        <w:rPr>
          <w:rFonts w:asciiTheme="majorBidi" w:hAnsiTheme="majorBidi" w:cstheme="majorBidi"/>
          <w:sz w:val="20"/>
          <w:szCs w:val="20"/>
        </w:rPr>
        <w:t>,</w:t>
      </w:r>
      <w:r w:rsidRPr="00AC00C1">
        <w:rPr>
          <w:rFonts w:asciiTheme="majorBidi" w:hAnsiTheme="majorBidi" w:cstheme="majorBidi"/>
          <w:sz w:val="20"/>
          <w:szCs w:val="20"/>
        </w:rPr>
        <w:t>”</w:t>
      </w:r>
      <w:r w:rsidRPr="001B650D">
        <w:rPr>
          <w:rFonts w:asciiTheme="majorBidi" w:hAnsiTheme="majorBidi" w:cstheme="majorBidi"/>
          <w:sz w:val="20"/>
          <w:szCs w:val="20"/>
        </w:rPr>
        <w:t xml:space="preserve"> </w:t>
      </w:r>
      <w:r w:rsidRPr="00E549F7">
        <w:rPr>
          <w:rFonts w:asciiTheme="majorBidi" w:hAnsiTheme="majorBidi" w:cstheme="majorBidi"/>
          <w:i/>
          <w:iCs/>
          <w:sz w:val="20"/>
          <w:szCs w:val="20"/>
        </w:rPr>
        <w:t>African Journal on Conflict Resolution</w:t>
      </w:r>
      <w:r w:rsidRPr="001B650D">
        <w:rPr>
          <w:rFonts w:asciiTheme="majorBidi" w:hAnsiTheme="majorBidi" w:cstheme="majorBidi"/>
          <w:sz w:val="20"/>
          <w:szCs w:val="20"/>
        </w:rPr>
        <w:t xml:space="preserve">, volume12, 2012, P114.  </w:t>
      </w:r>
      <w:r w:rsidRPr="00267A75">
        <w:rPr>
          <w:rFonts w:asciiTheme="majorBidi" w:hAnsiTheme="majorBidi" w:cstheme="majorBidi"/>
          <w:sz w:val="20"/>
          <w:szCs w:val="20"/>
        </w:rPr>
        <w:t xml:space="preserve">Human Rights Watch, </w:t>
      </w:r>
      <w:r w:rsidRPr="00267A75">
        <w:rPr>
          <w:rFonts w:asciiTheme="majorBidi" w:hAnsiTheme="majorBidi" w:cstheme="majorBidi"/>
          <w:i/>
          <w:iCs/>
          <w:sz w:val="20"/>
          <w:szCs w:val="20"/>
        </w:rPr>
        <w:t>Death of a Dictator, Bloody Vengeance in</w:t>
      </w:r>
      <w:r w:rsidRPr="001B650D">
        <w:rPr>
          <w:rFonts w:asciiTheme="majorBidi" w:hAnsiTheme="majorBidi" w:cstheme="majorBidi"/>
          <w:b/>
          <w:bCs/>
          <w:sz w:val="20"/>
          <w:szCs w:val="20"/>
        </w:rPr>
        <w:t xml:space="preserve"> </w:t>
      </w:r>
      <w:r w:rsidRPr="00267A75">
        <w:rPr>
          <w:rFonts w:asciiTheme="majorBidi" w:hAnsiTheme="majorBidi" w:cstheme="majorBidi"/>
          <w:i/>
          <w:iCs/>
          <w:sz w:val="20"/>
          <w:szCs w:val="20"/>
        </w:rPr>
        <w:t>Sirte</w:t>
      </w:r>
      <w:r w:rsidRPr="001B650D">
        <w:rPr>
          <w:rFonts w:asciiTheme="majorBidi" w:hAnsiTheme="majorBidi" w:cstheme="majorBidi"/>
          <w:sz w:val="20"/>
          <w:szCs w:val="20"/>
        </w:rPr>
        <w:t>, October</w:t>
      </w:r>
      <w:r>
        <w:rPr>
          <w:rFonts w:asciiTheme="majorBidi" w:hAnsiTheme="majorBidi" w:cstheme="majorBidi"/>
          <w:sz w:val="20"/>
          <w:szCs w:val="20"/>
        </w:rPr>
        <w:t xml:space="preserve"> 2012, P16.</w:t>
      </w:r>
    </w:p>
  </w:footnote>
  <w:footnote w:id="3">
    <w:p w:rsidR="00EF4037" w:rsidRPr="00F30962" w:rsidRDefault="00EF4037" w:rsidP="00EF4037">
      <w:pPr>
        <w:ind w:left="270"/>
        <w:jc w:val="both"/>
        <w:rPr>
          <w:rFonts w:asciiTheme="majorBidi" w:hAnsiTheme="majorBidi" w:cstheme="majorBidi"/>
          <w:sz w:val="20"/>
          <w:szCs w:val="20"/>
        </w:rPr>
      </w:pPr>
      <w:r w:rsidRPr="00F30962">
        <w:rPr>
          <w:rStyle w:val="FootnoteReference"/>
          <w:rFonts w:asciiTheme="majorBidi" w:hAnsiTheme="majorBidi" w:cstheme="majorBidi"/>
        </w:rPr>
        <w:footnoteRef/>
      </w:r>
      <w:r w:rsidRPr="00F30962">
        <w:rPr>
          <w:rFonts w:asciiTheme="majorBidi" w:hAnsiTheme="majorBidi" w:cstheme="majorBidi"/>
          <w:sz w:val="20"/>
          <w:szCs w:val="20"/>
        </w:rPr>
        <w:t xml:space="preserve"> . Zoe Howe , “Can the 1954 Hague Convention Apply to Non-state Actors?: A Study of Iraq and Libya ,” </w:t>
      </w:r>
      <w:r w:rsidRPr="00F30962">
        <w:rPr>
          <w:rFonts w:asciiTheme="majorBidi" w:hAnsiTheme="majorBidi" w:cstheme="majorBidi"/>
          <w:i/>
          <w:iCs/>
          <w:sz w:val="20"/>
          <w:szCs w:val="20"/>
        </w:rPr>
        <w:t>Texas International Law Journal</w:t>
      </w:r>
      <w:r w:rsidRPr="00F30962">
        <w:rPr>
          <w:rFonts w:asciiTheme="majorBidi" w:hAnsiTheme="majorBidi" w:cstheme="majorBidi"/>
          <w:sz w:val="20"/>
          <w:szCs w:val="20"/>
        </w:rPr>
        <w:t xml:space="preserve">, 2012, Volume 47, Issue 2, </w:t>
      </w:r>
      <w:r w:rsidRPr="00F30962">
        <w:rPr>
          <w:rStyle w:val="st"/>
          <w:rFonts w:asciiTheme="majorBidi" w:hAnsiTheme="majorBidi" w:cstheme="majorBidi"/>
          <w:sz w:val="20"/>
          <w:szCs w:val="20"/>
        </w:rPr>
        <w:t>P12.</w:t>
      </w:r>
    </w:p>
  </w:footnote>
  <w:footnote w:id="4">
    <w:p w:rsidR="00EF4037" w:rsidRPr="001B650D" w:rsidRDefault="00EF4037" w:rsidP="00EF4037">
      <w:pPr>
        <w:pStyle w:val="FootnoteText"/>
        <w:ind w:left="270"/>
        <w:jc w:val="both"/>
        <w:rPr>
          <w:rFonts w:asciiTheme="majorBidi" w:hAnsiTheme="majorBidi" w:cstheme="majorBidi"/>
        </w:rPr>
      </w:pPr>
      <w:r w:rsidRPr="001B650D">
        <w:rPr>
          <w:rStyle w:val="FootnoteReference"/>
          <w:rFonts w:asciiTheme="majorBidi" w:hAnsiTheme="majorBidi" w:cstheme="majorBidi"/>
        </w:rPr>
        <w:footnoteRef/>
      </w:r>
      <w:r w:rsidRPr="001B650D">
        <w:rPr>
          <w:rFonts w:asciiTheme="majorBidi" w:hAnsiTheme="majorBidi" w:cstheme="majorBidi"/>
        </w:rPr>
        <w:t xml:space="preserve"> . such as Benghazi, Derna,Bayda and Tobruk.</w:t>
      </w:r>
    </w:p>
  </w:footnote>
  <w:footnote w:id="5">
    <w:p w:rsidR="00EF4037" w:rsidRPr="00E549F7" w:rsidRDefault="00EF4037" w:rsidP="00EF4037">
      <w:pPr>
        <w:pStyle w:val="Heading3"/>
        <w:ind w:left="270"/>
        <w:jc w:val="both"/>
        <w:rPr>
          <w:rFonts w:asciiTheme="majorBidi" w:hAnsiTheme="majorBidi"/>
          <w:b w:val="0"/>
          <w:bCs w:val="0"/>
          <w:color w:val="auto"/>
          <w:sz w:val="20"/>
          <w:szCs w:val="20"/>
          <w:lang w:val="en-US"/>
        </w:rPr>
      </w:pPr>
      <w:r w:rsidRPr="00E549F7">
        <w:rPr>
          <w:rStyle w:val="FootnoteReference"/>
          <w:rFonts w:asciiTheme="majorBidi" w:hAnsiTheme="majorBidi"/>
          <w:b w:val="0"/>
          <w:bCs w:val="0"/>
          <w:color w:val="auto"/>
        </w:rPr>
        <w:footnoteRef/>
      </w:r>
      <w:r w:rsidRPr="00E549F7">
        <w:rPr>
          <w:rFonts w:asciiTheme="majorBidi" w:hAnsiTheme="majorBidi"/>
          <w:b w:val="0"/>
          <w:bCs w:val="0"/>
          <w:color w:val="auto"/>
          <w:sz w:val="20"/>
          <w:szCs w:val="20"/>
        </w:rPr>
        <w:t xml:space="preserve"> . </w:t>
      </w:r>
      <w:r>
        <w:rPr>
          <w:rFonts w:asciiTheme="majorBidi" w:hAnsiTheme="majorBidi"/>
          <w:b w:val="0"/>
          <w:bCs w:val="0"/>
          <w:color w:val="auto"/>
          <w:sz w:val="20"/>
          <w:szCs w:val="20"/>
        </w:rPr>
        <w:t>Paul Salem and Amanda Kadlec, “</w:t>
      </w:r>
      <w:r w:rsidR="00DF6550">
        <w:rPr>
          <w:rFonts w:asciiTheme="majorBidi" w:hAnsiTheme="majorBidi"/>
          <w:b w:val="0"/>
          <w:bCs w:val="0"/>
          <w:color w:val="auto"/>
          <w:sz w:val="20"/>
          <w:szCs w:val="20"/>
        </w:rPr>
        <w:t>Libya’s</w:t>
      </w:r>
      <w:r>
        <w:rPr>
          <w:rFonts w:asciiTheme="majorBidi" w:hAnsiTheme="majorBidi"/>
          <w:b w:val="0"/>
          <w:bCs w:val="0"/>
          <w:color w:val="auto"/>
          <w:sz w:val="20"/>
          <w:szCs w:val="20"/>
        </w:rPr>
        <w:t xml:space="preserve"> Troubled Transition,” </w:t>
      </w:r>
      <w:r w:rsidRPr="00E503D5">
        <w:rPr>
          <w:rFonts w:asciiTheme="majorBidi" w:hAnsiTheme="majorBidi"/>
          <w:b w:val="0"/>
          <w:bCs w:val="0"/>
          <w:i/>
          <w:iCs/>
          <w:color w:val="auto"/>
          <w:sz w:val="20"/>
          <w:szCs w:val="20"/>
        </w:rPr>
        <w:t>Carnegie Endowment for International Peace</w:t>
      </w:r>
      <w:r>
        <w:rPr>
          <w:rFonts w:asciiTheme="majorBidi" w:hAnsiTheme="majorBidi"/>
          <w:b w:val="0"/>
          <w:bCs w:val="0"/>
          <w:color w:val="auto"/>
          <w:sz w:val="20"/>
          <w:szCs w:val="20"/>
        </w:rPr>
        <w:t xml:space="preserve">, June 2012, P3. </w:t>
      </w:r>
    </w:p>
  </w:footnote>
  <w:footnote w:id="6">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Emily </w:t>
      </w:r>
      <w:r>
        <w:rPr>
          <w:rFonts w:asciiTheme="majorBidi" w:hAnsiTheme="majorBidi" w:cstheme="majorBidi"/>
          <w:sz w:val="20"/>
          <w:szCs w:val="20"/>
        </w:rPr>
        <w:t xml:space="preserve">O </w:t>
      </w:r>
      <w:r w:rsidRPr="001B650D">
        <w:rPr>
          <w:rFonts w:asciiTheme="majorBidi" w:hAnsiTheme="majorBidi" w:cstheme="majorBidi"/>
          <w:sz w:val="20"/>
          <w:szCs w:val="20"/>
        </w:rPr>
        <w:t>Brien and Andrew Sinclair</w:t>
      </w:r>
      <w:r w:rsidRPr="00E865DE">
        <w:rPr>
          <w:rFonts w:asciiTheme="majorBidi" w:hAnsiTheme="majorBidi" w:cstheme="majorBidi"/>
          <w:i/>
          <w:iCs/>
          <w:sz w:val="20"/>
          <w:szCs w:val="20"/>
        </w:rPr>
        <w:t>, “The Libyan War: A Diplomatic History, Center on International Cooperation,”</w:t>
      </w:r>
      <w:r w:rsidRPr="001B650D">
        <w:rPr>
          <w:rFonts w:asciiTheme="majorBidi" w:hAnsiTheme="majorBidi" w:cstheme="majorBidi"/>
          <w:sz w:val="20"/>
          <w:szCs w:val="20"/>
        </w:rPr>
        <w:t xml:space="preserve"> </w:t>
      </w:r>
      <w:r w:rsidRPr="00E865DE">
        <w:rPr>
          <w:rFonts w:asciiTheme="majorBidi" w:hAnsiTheme="majorBidi" w:cstheme="majorBidi"/>
          <w:i/>
          <w:iCs/>
          <w:sz w:val="20"/>
          <w:szCs w:val="20"/>
        </w:rPr>
        <w:t>New York University</w:t>
      </w:r>
      <w:r w:rsidRPr="001B650D">
        <w:rPr>
          <w:rFonts w:asciiTheme="majorBidi" w:hAnsiTheme="majorBidi" w:cstheme="majorBidi"/>
          <w:sz w:val="20"/>
          <w:szCs w:val="20"/>
        </w:rPr>
        <w:t>, August</w:t>
      </w:r>
      <w:r>
        <w:rPr>
          <w:rFonts w:asciiTheme="majorBidi" w:hAnsiTheme="majorBidi" w:cstheme="majorBidi"/>
          <w:sz w:val="20"/>
          <w:szCs w:val="20"/>
        </w:rPr>
        <w:t xml:space="preserve"> 2011, p5 .  Jonte van Essen , </w:t>
      </w:r>
      <w:r w:rsidRPr="00E865DE">
        <w:rPr>
          <w:rFonts w:asciiTheme="majorBidi" w:hAnsiTheme="majorBidi" w:cstheme="majorBidi"/>
          <w:sz w:val="20"/>
          <w:szCs w:val="20"/>
        </w:rPr>
        <w:t>“De Facto Regimes in International Law ,”</w:t>
      </w:r>
      <w:r w:rsidRPr="001B650D">
        <w:rPr>
          <w:rFonts w:asciiTheme="majorBidi" w:hAnsiTheme="majorBidi" w:cstheme="majorBidi"/>
          <w:sz w:val="20"/>
          <w:szCs w:val="20"/>
        </w:rPr>
        <w:t xml:space="preserve"> </w:t>
      </w:r>
      <w:r w:rsidRPr="00E865DE">
        <w:rPr>
          <w:rFonts w:asciiTheme="majorBidi" w:hAnsiTheme="majorBidi" w:cstheme="majorBidi"/>
          <w:i/>
          <w:iCs/>
          <w:sz w:val="20"/>
          <w:szCs w:val="20"/>
        </w:rPr>
        <w:t>Utrecht Journal of International and European law,</w:t>
      </w:r>
      <w:r w:rsidRPr="001B650D">
        <w:rPr>
          <w:rFonts w:asciiTheme="majorBidi" w:hAnsiTheme="majorBidi" w:cstheme="majorBidi"/>
          <w:sz w:val="20"/>
          <w:szCs w:val="20"/>
        </w:rPr>
        <w:t xml:space="preserve"> Volume 28/Issue 74, ISSN: 0927-460X, P2. European</w:t>
      </w:r>
      <w:r>
        <w:rPr>
          <w:rFonts w:asciiTheme="majorBidi" w:hAnsiTheme="majorBidi" w:cstheme="majorBidi"/>
          <w:sz w:val="20"/>
          <w:szCs w:val="20"/>
        </w:rPr>
        <w:t xml:space="preserve"> Union Center of North Carolina</w:t>
      </w:r>
      <w:r w:rsidRPr="001B650D">
        <w:rPr>
          <w:rFonts w:asciiTheme="majorBidi" w:hAnsiTheme="majorBidi" w:cstheme="majorBidi"/>
          <w:sz w:val="20"/>
          <w:szCs w:val="20"/>
        </w:rPr>
        <w:t xml:space="preserve">, </w:t>
      </w:r>
      <w:r w:rsidRPr="009B0253">
        <w:rPr>
          <w:rFonts w:asciiTheme="majorBidi" w:hAnsiTheme="majorBidi" w:cstheme="majorBidi"/>
          <w:sz w:val="20"/>
          <w:szCs w:val="20"/>
        </w:rPr>
        <w:t>“Libya a European War?,”</w:t>
      </w:r>
      <w:r w:rsidRPr="001B650D">
        <w:rPr>
          <w:rFonts w:asciiTheme="majorBidi" w:hAnsiTheme="majorBidi" w:cstheme="majorBidi"/>
          <w:sz w:val="20"/>
          <w:szCs w:val="20"/>
        </w:rPr>
        <w:t xml:space="preserve"> </w:t>
      </w:r>
      <w:r w:rsidRPr="009B0253">
        <w:rPr>
          <w:rFonts w:asciiTheme="majorBidi" w:hAnsiTheme="majorBidi" w:cstheme="majorBidi"/>
          <w:i/>
          <w:iCs/>
          <w:sz w:val="20"/>
          <w:szCs w:val="20"/>
        </w:rPr>
        <w:t>EU Briefings</w:t>
      </w:r>
      <w:r w:rsidRPr="001B650D">
        <w:rPr>
          <w:rFonts w:asciiTheme="majorBidi" w:hAnsiTheme="majorBidi" w:cstheme="majorBidi"/>
          <w:sz w:val="20"/>
          <w:szCs w:val="20"/>
        </w:rPr>
        <w:t>, July 2011, P1</w:t>
      </w:r>
      <w:r>
        <w:rPr>
          <w:rFonts w:asciiTheme="majorBidi" w:hAnsiTheme="majorBidi" w:cstheme="majorBidi"/>
          <w:sz w:val="20"/>
          <w:szCs w:val="20"/>
        </w:rPr>
        <w:t xml:space="preserve">. </w:t>
      </w:r>
      <w:r w:rsidRPr="009B0253">
        <w:rPr>
          <w:rFonts w:asciiTheme="majorBidi" w:hAnsiTheme="majorBidi" w:cstheme="majorBidi"/>
          <w:i/>
          <w:iCs/>
          <w:sz w:val="20"/>
          <w:szCs w:val="20"/>
        </w:rPr>
        <w:t>Amnesty International</w:t>
      </w:r>
      <w:r w:rsidRPr="001B650D">
        <w:rPr>
          <w:rFonts w:asciiTheme="majorBidi" w:hAnsiTheme="majorBidi" w:cstheme="majorBidi"/>
          <w:sz w:val="20"/>
          <w:szCs w:val="20"/>
        </w:rPr>
        <w:t>,</w:t>
      </w:r>
      <w:r>
        <w:rPr>
          <w:rFonts w:asciiTheme="majorBidi" w:hAnsiTheme="majorBidi" w:cstheme="majorBidi"/>
          <w:sz w:val="20"/>
          <w:szCs w:val="20"/>
        </w:rPr>
        <w:t xml:space="preserve"> (2011) </w:t>
      </w:r>
      <w:r>
        <w:rPr>
          <w:rFonts w:asciiTheme="majorBidi" w:hAnsiTheme="majorBidi" w:cstheme="majorBidi"/>
          <w:sz w:val="20"/>
          <w:szCs w:val="20"/>
        </w:rPr>
        <w:tab/>
      </w:r>
      <w:r w:rsidRPr="009B0253">
        <w:rPr>
          <w:rFonts w:asciiTheme="majorBidi" w:hAnsiTheme="majorBidi" w:cstheme="majorBidi"/>
          <w:sz w:val="20"/>
          <w:szCs w:val="20"/>
        </w:rPr>
        <w:t>“The Battle for Libya Killings, Disappearances and Torture,”</w:t>
      </w:r>
      <w:r w:rsidRPr="001B650D">
        <w:rPr>
          <w:rFonts w:asciiTheme="majorBidi" w:hAnsiTheme="majorBidi" w:cstheme="majorBidi"/>
          <w:sz w:val="20"/>
          <w:szCs w:val="20"/>
        </w:rPr>
        <w:t xml:space="preserve"> </w:t>
      </w:r>
      <w:r>
        <w:rPr>
          <w:rFonts w:asciiTheme="majorBidi" w:hAnsiTheme="majorBidi" w:cstheme="majorBidi"/>
          <w:sz w:val="20"/>
          <w:szCs w:val="20"/>
        </w:rPr>
        <w:t xml:space="preserve">[online] </w:t>
      </w:r>
      <w:r w:rsidR="00DF6550">
        <w:rPr>
          <w:rFonts w:asciiTheme="majorBidi" w:hAnsiTheme="majorBidi" w:cstheme="majorBidi"/>
          <w:sz w:val="20"/>
          <w:szCs w:val="20"/>
        </w:rPr>
        <w:t>Available</w:t>
      </w:r>
      <w:r>
        <w:rPr>
          <w:rFonts w:asciiTheme="majorBidi" w:hAnsiTheme="majorBidi" w:cstheme="majorBidi"/>
          <w:sz w:val="20"/>
          <w:szCs w:val="20"/>
        </w:rPr>
        <w:t xml:space="preserve"> from: </w:t>
      </w:r>
      <w:hyperlink r:id="rId1" w:history="1">
        <w:r w:rsidRPr="001C419E">
          <w:rPr>
            <w:rStyle w:val="Hyperlink"/>
            <w:rFonts w:asciiTheme="majorBidi" w:hAnsiTheme="majorBidi" w:cstheme="majorBidi"/>
            <w:sz w:val="20"/>
            <w:szCs w:val="20"/>
          </w:rPr>
          <w:t>www.amnesty.org/</w:t>
        </w:r>
      </w:hyperlink>
      <w:r>
        <w:rPr>
          <w:rFonts w:asciiTheme="majorBidi" w:hAnsiTheme="majorBidi" w:cstheme="majorBidi"/>
          <w:sz w:val="20"/>
          <w:szCs w:val="20"/>
        </w:rPr>
        <w:t xml:space="preserve"> (retrieved: September 2013)</w:t>
      </w:r>
      <w:r w:rsidRPr="001B650D">
        <w:rPr>
          <w:rFonts w:asciiTheme="majorBidi" w:hAnsiTheme="majorBidi" w:cstheme="majorBidi"/>
          <w:sz w:val="20"/>
          <w:szCs w:val="20"/>
        </w:rPr>
        <w:t xml:space="preserve">. </w:t>
      </w:r>
      <w:r w:rsidRPr="009B0253">
        <w:rPr>
          <w:rFonts w:asciiTheme="majorBidi" w:hAnsiTheme="majorBidi" w:cstheme="majorBidi"/>
          <w:color w:val="FF0000"/>
          <w:sz w:val="20"/>
          <w:szCs w:val="20"/>
        </w:rPr>
        <w:t xml:space="preserve"> </w:t>
      </w:r>
      <w:r w:rsidRPr="00F30962">
        <w:rPr>
          <w:rFonts w:asciiTheme="majorBidi" w:hAnsiTheme="majorBidi" w:cstheme="majorBidi"/>
          <w:sz w:val="20"/>
          <w:szCs w:val="20"/>
        </w:rPr>
        <w:t xml:space="preserve">Atlantic Council,  “Libya’s Transition: Uncertain Trajectories,” </w:t>
      </w:r>
      <w:r w:rsidRPr="00F30962">
        <w:rPr>
          <w:rFonts w:asciiTheme="majorBidi" w:hAnsiTheme="majorBidi" w:cstheme="majorBidi"/>
          <w:i/>
          <w:iCs/>
          <w:sz w:val="20"/>
          <w:szCs w:val="20"/>
        </w:rPr>
        <w:t>Rafik Hariri Center for The Middle east</w:t>
      </w:r>
      <w:r w:rsidRPr="00F30962">
        <w:rPr>
          <w:rFonts w:asciiTheme="majorBidi" w:hAnsiTheme="majorBidi" w:cstheme="majorBidi"/>
          <w:sz w:val="20"/>
          <w:szCs w:val="20"/>
        </w:rPr>
        <w:t>, June 2012, P2,[On</w:t>
      </w:r>
      <w:r>
        <w:rPr>
          <w:rFonts w:asciiTheme="majorBidi" w:hAnsiTheme="majorBidi" w:cstheme="majorBidi"/>
          <w:sz w:val="20"/>
          <w:szCs w:val="20"/>
        </w:rPr>
        <w:t>l</w:t>
      </w:r>
      <w:r w:rsidRPr="00F30962">
        <w:rPr>
          <w:rFonts w:asciiTheme="majorBidi" w:hAnsiTheme="majorBidi" w:cstheme="majorBidi"/>
          <w:sz w:val="20"/>
          <w:szCs w:val="20"/>
        </w:rPr>
        <w:t xml:space="preserve">ine] Available from: </w:t>
      </w:r>
      <w:hyperlink r:id="rId2" w:history="1">
        <w:r w:rsidRPr="001C419E">
          <w:rPr>
            <w:rStyle w:val="Hyperlink"/>
            <w:rFonts w:asciiTheme="majorBidi" w:hAnsiTheme="majorBidi" w:cstheme="majorBidi"/>
            <w:sz w:val="20"/>
            <w:szCs w:val="20"/>
          </w:rPr>
          <w:t>http://www.acus.org/files/ME/020112_Libya_Country_Profile.pd/</w:t>
        </w:r>
      </w:hyperlink>
      <w:r>
        <w:rPr>
          <w:rFonts w:asciiTheme="majorBidi" w:hAnsiTheme="majorBidi" w:cstheme="majorBidi"/>
          <w:sz w:val="20"/>
          <w:szCs w:val="20"/>
        </w:rPr>
        <w:t xml:space="preserve"> </w:t>
      </w:r>
      <w:r w:rsidRPr="00F30962">
        <w:rPr>
          <w:rFonts w:asciiTheme="majorBidi" w:hAnsiTheme="majorBidi" w:cstheme="majorBidi"/>
          <w:sz w:val="20"/>
          <w:szCs w:val="20"/>
        </w:rPr>
        <w:t>(retriev</w:t>
      </w:r>
      <w:r>
        <w:rPr>
          <w:rFonts w:asciiTheme="majorBidi" w:hAnsiTheme="majorBidi" w:cstheme="majorBidi"/>
          <w:sz w:val="20"/>
          <w:szCs w:val="20"/>
        </w:rPr>
        <w:t>e</w:t>
      </w:r>
      <w:r w:rsidRPr="00F30962">
        <w:rPr>
          <w:rFonts w:asciiTheme="majorBidi" w:hAnsiTheme="majorBidi" w:cstheme="majorBidi"/>
          <w:sz w:val="20"/>
          <w:szCs w:val="20"/>
        </w:rPr>
        <w:t xml:space="preserve">d: September2013). Professor Ali Abdullatif Ahmida , “The Libyan National Transitional Council: Social Bases, Membership and Political Trends ,” </w:t>
      </w:r>
      <w:r w:rsidR="00DF6550" w:rsidRPr="00F30962">
        <w:rPr>
          <w:rFonts w:asciiTheme="majorBidi" w:hAnsiTheme="majorBidi" w:cstheme="majorBidi"/>
          <w:i/>
          <w:iCs/>
          <w:sz w:val="20"/>
          <w:szCs w:val="20"/>
        </w:rPr>
        <w:t>Aljazeera</w:t>
      </w:r>
      <w:r w:rsidRPr="00F30962">
        <w:rPr>
          <w:rFonts w:asciiTheme="majorBidi" w:hAnsiTheme="majorBidi" w:cstheme="majorBidi"/>
          <w:i/>
          <w:iCs/>
          <w:sz w:val="20"/>
          <w:szCs w:val="20"/>
        </w:rPr>
        <w:t xml:space="preserve"> Centre for Studies</w:t>
      </w:r>
      <w:r w:rsidRPr="00F30962">
        <w:rPr>
          <w:rFonts w:asciiTheme="majorBidi" w:hAnsiTheme="majorBidi" w:cstheme="majorBidi"/>
          <w:sz w:val="20"/>
          <w:szCs w:val="20"/>
        </w:rPr>
        <w:t>, October 2011, P4.</w:t>
      </w:r>
    </w:p>
  </w:footnote>
  <w:footnote w:id="7">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Anyway Sithole, </w:t>
      </w:r>
      <w:r>
        <w:rPr>
          <w:rFonts w:asciiTheme="majorBidi" w:hAnsiTheme="majorBidi" w:cstheme="majorBidi"/>
          <w:i/>
          <w:iCs/>
          <w:sz w:val="20"/>
          <w:szCs w:val="20"/>
        </w:rPr>
        <w:t>Note 2</w:t>
      </w:r>
      <w:r w:rsidRPr="001B650D">
        <w:rPr>
          <w:rFonts w:asciiTheme="majorBidi" w:hAnsiTheme="majorBidi" w:cstheme="majorBidi"/>
          <w:sz w:val="20"/>
          <w:szCs w:val="20"/>
        </w:rPr>
        <w:t xml:space="preserve">, P114. Amnesty International, </w:t>
      </w:r>
      <w:r>
        <w:rPr>
          <w:rFonts w:asciiTheme="majorBidi" w:hAnsiTheme="majorBidi" w:cstheme="majorBidi"/>
          <w:i/>
          <w:iCs/>
          <w:sz w:val="20"/>
          <w:szCs w:val="20"/>
        </w:rPr>
        <w:t>Note 6</w:t>
      </w:r>
      <w:r w:rsidRPr="001B650D">
        <w:rPr>
          <w:rFonts w:asciiTheme="majorBidi" w:hAnsiTheme="majorBidi" w:cstheme="majorBidi"/>
          <w:sz w:val="20"/>
          <w:szCs w:val="20"/>
        </w:rPr>
        <w:t>, P17</w:t>
      </w:r>
      <w:r>
        <w:rPr>
          <w:rFonts w:asciiTheme="majorBidi" w:hAnsiTheme="majorBidi" w:cstheme="majorBidi"/>
          <w:sz w:val="20"/>
          <w:szCs w:val="20"/>
        </w:rPr>
        <w:t>.</w:t>
      </w:r>
    </w:p>
  </w:footnote>
  <w:footnote w:id="8">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Pr>
          <w:rFonts w:asciiTheme="majorBidi" w:hAnsiTheme="majorBidi" w:cstheme="majorBidi"/>
          <w:sz w:val="20"/>
          <w:szCs w:val="20"/>
        </w:rPr>
        <w:t>. Maria Cristina Paciello, “</w:t>
      </w:r>
      <w:r w:rsidRPr="009B0253">
        <w:rPr>
          <w:rFonts w:asciiTheme="majorBidi" w:hAnsiTheme="majorBidi" w:cstheme="majorBidi"/>
          <w:sz w:val="20"/>
          <w:szCs w:val="20"/>
        </w:rPr>
        <w:t>Tunisia: Changes and Challenges of Political Transition,”</w:t>
      </w:r>
      <w:r w:rsidRPr="001B650D">
        <w:rPr>
          <w:rFonts w:asciiTheme="majorBidi" w:hAnsiTheme="majorBidi" w:cstheme="majorBidi"/>
          <w:sz w:val="20"/>
          <w:szCs w:val="20"/>
        </w:rPr>
        <w:t xml:space="preserve"> </w:t>
      </w:r>
      <w:r w:rsidRPr="009B0253">
        <w:rPr>
          <w:rFonts w:asciiTheme="majorBidi" w:hAnsiTheme="majorBidi" w:cstheme="majorBidi"/>
          <w:i/>
          <w:iCs/>
          <w:sz w:val="20"/>
          <w:szCs w:val="20"/>
        </w:rPr>
        <w:t>MEDPRO Technical Report No. 3</w:t>
      </w:r>
      <w:r w:rsidRPr="001B650D">
        <w:rPr>
          <w:rFonts w:asciiTheme="majorBidi" w:hAnsiTheme="majorBidi" w:cstheme="majorBidi"/>
          <w:sz w:val="20"/>
          <w:szCs w:val="20"/>
        </w:rPr>
        <w:t>/May 2011, ISBN 978-94-6138-100-2, P3,.</w:t>
      </w:r>
    </w:p>
  </w:footnote>
  <w:footnote w:id="9">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w:t>
      </w:r>
      <w:r>
        <w:rPr>
          <w:rFonts w:asciiTheme="majorBidi" w:hAnsiTheme="majorBidi" w:cstheme="majorBidi"/>
          <w:sz w:val="20"/>
          <w:szCs w:val="20"/>
        </w:rPr>
        <w:t xml:space="preserve">Atlantic Council, </w:t>
      </w:r>
      <w:r w:rsidRPr="00F30962">
        <w:rPr>
          <w:rFonts w:asciiTheme="majorBidi" w:hAnsiTheme="majorBidi" w:cstheme="majorBidi"/>
          <w:i/>
          <w:iCs/>
          <w:sz w:val="20"/>
          <w:szCs w:val="20"/>
        </w:rPr>
        <w:t>Note 6</w:t>
      </w:r>
      <w:r>
        <w:rPr>
          <w:rFonts w:asciiTheme="majorBidi" w:hAnsiTheme="majorBidi" w:cstheme="majorBidi"/>
          <w:sz w:val="20"/>
          <w:szCs w:val="20"/>
        </w:rPr>
        <w:t>.</w:t>
      </w:r>
    </w:p>
  </w:footnote>
  <w:footnote w:id="10">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w:t>
      </w:r>
      <w:r>
        <w:rPr>
          <w:rFonts w:asciiTheme="majorBidi" w:hAnsiTheme="majorBidi" w:cstheme="majorBidi"/>
          <w:sz w:val="20"/>
          <w:szCs w:val="20"/>
        </w:rPr>
        <w:t xml:space="preserve">. Emily O </w:t>
      </w:r>
      <w:r w:rsidRPr="001B650D">
        <w:rPr>
          <w:rFonts w:asciiTheme="majorBidi" w:hAnsiTheme="majorBidi" w:cstheme="majorBidi"/>
          <w:sz w:val="20"/>
          <w:szCs w:val="20"/>
        </w:rPr>
        <w:t xml:space="preserve">Brien and Andrew Sinclair, </w:t>
      </w:r>
      <w:r>
        <w:rPr>
          <w:rFonts w:asciiTheme="majorBidi" w:hAnsiTheme="majorBidi" w:cstheme="majorBidi"/>
          <w:i/>
          <w:iCs/>
          <w:sz w:val="20"/>
          <w:szCs w:val="20"/>
        </w:rPr>
        <w:t>Note6</w:t>
      </w:r>
      <w:r w:rsidRPr="001B650D">
        <w:rPr>
          <w:rFonts w:asciiTheme="majorBidi" w:hAnsiTheme="majorBidi" w:cstheme="majorBidi"/>
          <w:sz w:val="20"/>
          <w:szCs w:val="20"/>
        </w:rPr>
        <w:t>, p5.</w:t>
      </w:r>
    </w:p>
  </w:footnote>
  <w:footnote w:id="11">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Atlantic Council,  </w:t>
      </w:r>
      <w:r>
        <w:rPr>
          <w:rFonts w:asciiTheme="majorBidi" w:hAnsiTheme="majorBidi" w:cstheme="majorBidi"/>
          <w:i/>
          <w:iCs/>
          <w:sz w:val="20"/>
          <w:szCs w:val="20"/>
        </w:rPr>
        <w:t>Note 6</w:t>
      </w:r>
      <w:r>
        <w:rPr>
          <w:rFonts w:asciiTheme="majorBidi" w:hAnsiTheme="majorBidi" w:cstheme="majorBidi"/>
          <w:sz w:val="20"/>
          <w:szCs w:val="20"/>
        </w:rPr>
        <w:t>.</w:t>
      </w:r>
    </w:p>
  </w:footnote>
  <w:footnote w:id="12">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w:t>
      </w:r>
      <w:r>
        <w:rPr>
          <w:rFonts w:asciiTheme="majorBidi" w:hAnsiTheme="majorBidi" w:cstheme="majorBidi"/>
          <w:sz w:val="20"/>
          <w:szCs w:val="20"/>
        </w:rPr>
        <w:t xml:space="preserve">General Assembly of the United Nations, sixty-sixth session, </w:t>
      </w:r>
      <w:r w:rsidRPr="000F717A">
        <w:rPr>
          <w:rFonts w:asciiTheme="majorBidi" w:hAnsiTheme="majorBidi" w:cstheme="majorBidi"/>
          <w:sz w:val="20"/>
          <w:szCs w:val="20"/>
        </w:rPr>
        <w:t>A/66/PV.2</w:t>
      </w:r>
      <w:r>
        <w:rPr>
          <w:rFonts w:asciiTheme="majorBidi" w:hAnsiTheme="majorBidi" w:cstheme="majorBidi"/>
          <w:sz w:val="20"/>
          <w:szCs w:val="20"/>
        </w:rPr>
        <w:t xml:space="preserve"> Zoe Howe, </w:t>
      </w:r>
      <w:r>
        <w:rPr>
          <w:rFonts w:asciiTheme="majorBidi" w:hAnsiTheme="majorBidi" w:cstheme="majorBidi"/>
          <w:i/>
          <w:iCs/>
          <w:sz w:val="20"/>
          <w:szCs w:val="20"/>
        </w:rPr>
        <w:t>Note 3</w:t>
      </w:r>
      <w:r w:rsidRPr="001B650D">
        <w:rPr>
          <w:rStyle w:val="st"/>
          <w:rFonts w:asciiTheme="majorBidi" w:hAnsiTheme="majorBidi" w:cstheme="majorBidi"/>
          <w:sz w:val="20"/>
          <w:szCs w:val="20"/>
        </w:rPr>
        <w:t>, P423.</w:t>
      </w:r>
    </w:p>
  </w:footnote>
  <w:footnote w:id="13">
    <w:p w:rsidR="00EF4037" w:rsidRPr="00F30962"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Security Council, Resolution 1546 (2004), 8 June 2004., Kenneth Katzman and Jennifer Elsea, </w:t>
      </w:r>
      <w:r w:rsidRPr="009B0253">
        <w:rPr>
          <w:rFonts w:asciiTheme="majorBidi" w:hAnsiTheme="majorBidi" w:cstheme="majorBidi"/>
          <w:sz w:val="20"/>
          <w:szCs w:val="20"/>
        </w:rPr>
        <w:t>“Iraq: Transition to Sovereignty ,</w:t>
      </w:r>
      <w:r>
        <w:rPr>
          <w:rFonts w:asciiTheme="majorBidi" w:hAnsiTheme="majorBidi" w:cstheme="majorBidi"/>
          <w:sz w:val="20"/>
          <w:szCs w:val="20"/>
        </w:rPr>
        <w:t>”</w:t>
      </w:r>
      <w:r w:rsidRPr="001B650D">
        <w:rPr>
          <w:rFonts w:asciiTheme="majorBidi" w:hAnsiTheme="majorBidi" w:cstheme="majorBidi"/>
          <w:sz w:val="20"/>
          <w:szCs w:val="20"/>
        </w:rPr>
        <w:t xml:space="preserve"> </w:t>
      </w:r>
      <w:r w:rsidRPr="009B0253">
        <w:rPr>
          <w:rFonts w:asciiTheme="majorBidi" w:hAnsiTheme="majorBidi" w:cstheme="majorBidi"/>
          <w:i/>
          <w:iCs/>
          <w:sz w:val="20"/>
          <w:szCs w:val="20"/>
        </w:rPr>
        <w:t>CRS Report for Congress</w:t>
      </w:r>
      <w:r w:rsidRPr="001B650D">
        <w:rPr>
          <w:rFonts w:asciiTheme="majorBidi" w:hAnsiTheme="majorBidi" w:cstheme="majorBidi"/>
          <w:sz w:val="20"/>
          <w:szCs w:val="20"/>
        </w:rPr>
        <w:t xml:space="preserve">, </w:t>
      </w:r>
      <w:r w:rsidRPr="009B0253">
        <w:rPr>
          <w:rFonts w:asciiTheme="majorBidi" w:hAnsiTheme="majorBidi" w:cstheme="majorBidi"/>
          <w:i/>
          <w:iCs/>
          <w:sz w:val="20"/>
          <w:szCs w:val="20"/>
        </w:rPr>
        <w:t>The Library of Congress,</w:t>
      </w:r>
      <w:r w:rsidRPr="001B650D">
        <w:rPr>
          <w:rFonts w:asciiTheme="majorBidi" w:hAnsiTheme="majorBidi" w:cstheme="majorBidi"/>
          <w:sz w:val="20"/>
          <w:szCs w:val="20"/>
        </w:rPr>
        <w:t xml:space="preserve"> </w:t>
      </w:r>
      <w:r>
        <w:rPr>
          <w:rFonts w:asciiTheme="majorBidi" w:hAnsiTheme="majorBidi" w:cstheme="majorBidi"/>
          <w:sz w:val="20"/>
          <w:szCs w:val="20"/>
        </w:rPr>
        <w:t xml:space="preserve">July 21, 2004 ,P10 and </w:t>
      </w:r>
      <w:r w:rsidRPr="00F30962">
        <w:rPr>
          <w:rFonts w:asciiTheme="majorBidi" w:hAnsiTheme="majorBidi" w:cstheme="majorBidi"/>
          <w:sz w:val="20"/>
          <w:szCs w:val="20"/>
        </w:rPr>
        <w:t>Security Council, Report of the Secretary-General on the United Nations Support Mission in Libya, 30 August 2012.</w:t>
      </w:r>
    </w:p>
  </w:footnote>
  <w:footnote w:id="14">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Talmon argues that its recognition </w:t>
      </w:r>
      <w:r>
        <w:rPr>
          <w:rFonts w:asciiTheme="majorBidi" w:hAnsiTheme="majorBidi" w:cstheme="majorBidi"/>
          <w:sz w:val="20"/>
          <w:szCs w:val="20"/>
        </w:rPr>
        <w:t xml:space="preserve">somehow seemed </w:t>
      </w:r>
      <w:r w:rsidRPr="001B650D">
        <w:rPr>
          <w:rFonts w:asciiTheme="majorBidi" w:hAnsiTheme="majorBidi" w:cstheme="majorBidi"/>
          <w:sz w:val="20"/>
          <w:szCs w:val="20"/>
        </w:rPr>
        <w:t xml:space="preserve">same as the recognition of National Liberation Movements (NLM), Stefan Talmon, </w:t>
      </w:r>
      <w:r w:rsidRPr="009B0253">
        <w:rPr>
          <w:rFonts w:asciiTheme="majorBidi" w:hAnsiTheme="majorBidi" w:cstheme="majorBidi"/>
          <w:sz w:val="20"/>
          <w:szCs w:val="20"/>
        </w:rPr>
        <w:t>“Recognition of the Libyan National Transitional Council,”</w:t>
      </w:r>
      <w:r w:rsidRPr="001B650D">
        <w:rPr>
          <w:rFonts w:asciiTheme="majorBidi" w:hAnsiTheme="majorBidi" w:cstheme="majorBidi"/>
          <w:sz w:val="20"/>
          <w:szCs w:val="20"/>
        </w:rPr>
        <w:t xml:space="preserve"> </w:t>
      </w:r>
      <w:r w:rsidRPr="009B0253">
        <w:rPr>
          <w:rFonts w:asciiTheme="majorBidi" w:hAnsiTheme="majorBidi" w:cstheme="majorBidi"/>
          <w:i/>
          <w:iCs/>
          <w:sz w:val="20"/>
          <w:szCs w:val="20"/>
        </w:rPr>
        <w:t>American Society of International Law (ASIL)</w:t>
      </w:r>
      <w:r w:rsidRPr="001B650D">
        <w:rPr>
          <w:rFonts w:asciiTheme="majorBidi" w:hAnsiTheme="majorBidi" w:cstheme="majorBidi"/>
          <w:sz w:val="20"/>
          <w:szCs w:val="20"/>
        </w:rPr>
        <w:t>, Volume 15, Issue 16, June 16, 2011,</w:t>
      </w:r>
      <w:r w:rsidRPr="001B650D">
        <w:rPr>
          <w:rStyle w:val="Emphasis"/>
          <w:rFonts w:asciiTheme="majorBidi" w:hAnsiTheme="majorBidi" w:cstheme="majorBidi"/>
          <w:sz w:val="20"/>
          <w:szCs w:val="20"/>
        </w:rPr>
        <w:t xml:space="preserve"> </w:t>
      </w:r>
      <w:r w:rsidRPr="001B650D">
        <w:rPr>
          <w:rStyle w:val="Emphasis"/>
          <w:rFonts w:asciiTheme="majorBidi" w:hAnsiTheme="majorBidi" w:cstheme="majorBidi"/>
          <w:i w:val="0"/>
          <w:iCs w:val="0"/>
          <w:sz w:val="20"/>
          <w:szCs w:val="20"/>
        </w:rPr>
        <w:t>ISSN</w:t>
      </w:r>
      <w:r w:rsidRPr="001B650D">
        <w:rPr>
          <w:rStyle w:val="st"/>
          <w:rFonts w:asciiTheme="majorBidi" w:hAnsiTheme="majorBidi" w:cstheme="majorBidi"/>
          <w:i/>
          <w:iCs/>
          <w:sz w:val="20"/>
          <w:szCs w:val="20"/>
        </w:rPr>
        <w:t>:</w:t>
      </w:r>
      <w:r w:rsidRPr="001B650D">
        <w:rPr>
          <w:rStyle w:val="st"/>
          <w:rFonts w:asciiTheme="majorBidi" w:hAnsiTheme="majorBidi" w:cstheme="majorBidi"/>
          <w:sz w:val="20"/>
          <w:szCs w:val="20"/>
        </w:rPr>
        <w:t xml:space="preserve"> 0272-5037,P2.</w:t>
      </w:r>
    </w:p>
  </w:footnote>
  <w:footnote w:id="15">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w:t>
      </w:r>
      <w:r>
        <w:rPr>
          <w:rFonts w:asciiTheme="majorBidi" w:hAnsiTheme="majorBidi" w:cstheme="majorBidi"/>
          <w:sz w:val="20"/>
          <w:szCs w:val="20"/>
        </w:rPr>
        <w:t xml:space="preserve"> Alice Alunni and Karim Mezran, </w:t>
      </w:r>
      <w:r w:rsidRPr="00BA6BA2">
        <w:rPr>
          <w:rFonts w:asciiTheme="majorBidi" w:hAnsiTheme="majorBidi" w:cstheme="majorBidi"/>
          <w:sz w:val="20"/>
          <w:szCs w:val="20"/>
        </w:rPr>
        <w:t>“Post-</w:t>
      </w:r>
      <w:r w:rsidR="00DF6550" w:rsidRPr="00BA6BA2">
        <w:rPr>
          <w:rFonts w:asciiTheme="majorBidi" w:hAnsiTheme="majorBidi" w:cstheme="majorBidi"/>
          <w:sz w:val="20"/>
          <w:szCs w:val="20"/>
        </w:rPr>
        <w:t>Gadhafi</w:t>
      </w:r>
      <w:r w:rsidRPr="00BA6BA2">
        <w:rPr>
          <w:rFonts w:asciiTheme="majorBidi" w:hAnsiTheme="majorBidi" w:cstheme="majorBidi"/>
          <w:sz w:val="20"/>
          <w:szCs w:val="20"/>
        </w:rPr>
        <w:t xml:space="preserve"> Libya: the electoral dilemma,”</w:t>
      </w:r>
      <w:r w:rsidRPr="001B650D">
        <w:rPr>
          <w:rFonts w:asciiTheme="majorBidi" w:hAnsiTheme="majorBidi" w:cstheme="majorBidi"/>
          <w:sz w:val="20"/>
          <w:szCs w:val="20"/>
        </w:rPr>
        <w:t xml:space="preserve"> </w:t>
      </w:r>
      <w:r w:rsidRPr="00BA6BA2">
        <w:rPr>
          <w:rFonts w:asciiTheme="majorBidi" w:hAnsiTheme="majorBidi" w:cstheme="majorBidi"/>
          <w:i/>
          <w:iCs/>
          <w:sz w:val="20"/>
          <w:szCs w:val="20"/>
        </w:rPr>
        <w:t>Instituto per gli Studi di Politica Internazionale (ISPI),</w:t>
      </w:r>
      <w:r w:rsidRPr="001B650D">
        <w:rPr>
          <w:rFonts w:asciiTheme="majorBidi" w:hAnsiTheme="majorBidi" w:cstheme="majorBidi"/>
          <w:sz w:val="20"/>
          <w:szCs w:val="20"/>
        </w:rPr>
        <w:t xml:space="preserve"> No. 114 – JUNE 2012, P1. Amnesty International, </w:t>
      </w:r>
      <w:r>
        <w:rPr>
          <w:rFonts w:asciiTheme="majorBidi" w:hAnsiTheme="majorBidi" w:cstheme="majorBidi"/>
          <w:i/>
          <w:iCs/>
          <w:sz w:val="20"/>
          <w:szCs w:val="20"/>
        </w:rPr>
        <w:t>Note 6</w:t>
      </w:r>
      <w:r>
        <w:rPr>
          <w:rFonts w:asciiTheme="majorBidi" w:hAnsiTheme="majorBidi" w:cstheme="majorBidi"/>
          <w:sz w:val="20"/>
          <w:szCs w:val="20"/>
        </w:rPr>
        <w:t>, P18</w:t>
      </w:r>
      <w:r w:rsidRPr="001B650D">
        <w:rPr>
          <w:rFonts w:asciiTheme="majorBidi" w:hAnsiTheme="majorBidi" w:cstheme="majorBidi"/>
          <w:sz w:val="20"/>
          <w:szCs w:val="20"/>
        </w:rPr>
        <w:t xml:space="preserve">. </w:t>
      </w:r>
      <w:r w:rsidRPr="001B650D">
        <w:rPr>
          <w:rStyle w:val="st"/>
          <w:rFonts w:asciiTheme="majorBidi" w:hAnsiTheme="majorBidi" w:cstheme="majorBidi"/>
          <w:sz w:val="20"/>
          <w:szCs w:val="20"/>
        </w:rPr>
        <w:t>Council of the European Union, Council conclusions on Libya, 3117th Foreign Affairs Council meeting .Luxembourg, 10 October 2011.</w:t>
      </w:r>
    </w:p>
  </w:footnote>
  <w:footnote w:id="16">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w:t>
      </w:r>
      <w:r>
        <w:rPr>
          <w:rFonts w:asciiTheme="majorBidi" w:hAnsiTheme="majorBidi" w:cstheme="majorBidi"/>
          <w:sz w:val="20"/>
          <w:szCs w:val="20"/>
        </w:rPr>
        <w:t xml:space="preserve">Human Rights Watch, </w:t>
      </w:r>
      <w:r>
        <w:rPr>
          <w:rFonts w:asciiTheme="majorBidi" w:hAnsiTheme="majorBidi" w:cstheme="majorBidi"/>
          <w:i/>
          <w:iCs/>
          <w:sz w:val="20"/>
          <w:szCs w:val="20"/>
        </w:rPr>
        <w:t xml:space="preserve">Note 2, </w:t>
      </w:r>
      <w:r w:rsidRPr="001B650D">
        <w:rPr>
          <w:rFonts w:asciiTheme="majorBidi" w:hAnsiTheme="majorBidi" w:cstheme="majorBidi"/>
          <w:sz w:val="20"/>
          <w:szCs w:val="20"/>
        </w:rPr>
        <w:t>P23.</w:t>
      </w:r>
    </w:p>
  </w:footnote>
  <w:footnote w:id="17">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North Africa, Civil - Military Fusion Center, November 13, 2012, P5 ,[https://www.cimicweb.org].</w:t>
      </w:r>
    </w:p>
  </w:footnote>
  <w:footnote w:id="18">
    <w:p w:rsidR="00EF4037" w:rsidRPr="001B650D" w:rsidRDefault="00EF4037" w:rsidP="00EF4037">
      <w:pPr>
        <w:pStyle w:val="FootnoteText"/>
        <w:ind w:left="270"/>
        <w:jc w:val="both"/>
        <w:rPr>
          <w:rFonts w:asciiTheme="majorBidi" w:hAnsiTheme="majorBidi" w:cstheme="majorBidi"/>
        </w:rPr>
      </w:pPr>
      <w:r w:rsidRPr="001B650D">
        <w:rPr>
          <w:rStyle w:val="FootnoteReference"/>
          <w:rFonts w:asciiTheme="majorBidi" w:hAnsiTheme="majorBidi" w:cstheme="majorBidi"/>
        </w:rPr>
        <w:footnoteRef/>
      </w:r>
      <w:r w:rsidRPr="001B650D">
        <w:rPr>
          <w:rFonts w:asciiTheme="majorBidi" w:hAnsiTheme="majorBidi" w:cstheme="majorBidi"/>
        </w:rPr>
        <w:t xml:space="preserve"> . Atlantic Council, </w:t>
      </w:r>
      <w:r>
        <w:rPr>
          <w:rFonts w:asciiTheme="majorBidi" w:hAnsiTheme="majorBidi" w:cstheme="majorBidi"/>
          <w:i/>
          <w:iCs/>
        </w:rPr>
        <w:t>Note 6,</w:t>
      </w:r>
      <w:r>
        <w:rPr>
          <w:rFonts w:asciiTheme="majorBidi" w:hAnsiTheme="majorBidi" w:cstheme="majorBidi"/>
        </w:rPr>
        <w:t xml:space="preserve"> P2.</w:t>
      </w:r>
    </w:p>
  </w:footnote>
  <w:footnote w:id="19">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w:t>
      </w:r>
      <w:r>
        <w:rPr>
          <w:rFonts w:asciiTheme="majorBidi" w:hAnsiTheme="majorBidi" w:cstheme="majorBidi"/>
          <w:sz w:val="20"/>
          <w:szCs w:val="20"/>
        </w:rPr>
        <w:t xml:space="preserve">Veronique Dudouet, “From War to Politics: Resistance/Liberation Movements in Transition,” Bergof  Report, 2009, No 17, P36 and Steven Mets, et al, “Insurgency and Counterinsurgency in the 21th Century: Reconceptualising Threat and Response”, </w:t>
      </w:r>
      <w:r w:rsidRPr="00194CD1">
        <w:rPr>
          <w:rFonts w:asciiTheme="majorBidi" w:hAnsiTheme="majorBidi" w:cstheme="majorBidi"/>
          <w:i/>
          <w:iCs/>
          <w:sz w:val="20"/>
          <w:szCs w:val="20"/>
        </w:rPr>
        <w:t>Strategic Studies Institute</w:t>
      </w:r>
      <w:r>
        <w:rPr>
          <w:rFonts w:asciiTheme="majorBidi" w:hAnsiTheme="majorBidi" w:cstheme="majorBidi"/>
          <w:sz w:val="20"/>
          <w:szCs w:val="20"/>
        </w:rPr>
        <w:t>, 2004, P3.</w:t>
      </w:r>
    </w:p>
  </w:footnote>
  <w:footnote w:id="20">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Maria Cristina Paciello, </w:t>
      </w:r>
      <w:r>
        <w:rPr>
          <w:rFonts w:asciiTheme="majorBidi" w:hAnsiTheme="majorBidi" w:cstheme="majorBidi"/>
          <w:i/>
          <w:iCs/>
          <w:sz w:val="20"/>
          <w:szCs w:val="20"/>
        </w:rPr>
        <w:t>Note 8,</w:t>
      </w:r>
      <w:r w:rsidRPr="001B650D">
        <w:rPr>
          <w:rFonts w:asciiTheme="majorBidi" w:hAnsiTheme="majorBidi" w:cstheme="majorBidi"/>
          <w:sz w:val="20"/>
          <w:szCs w:val="20"/>
        </w:rPr>
        <w:t xml:space="preserve"> P3. </w:t>
      </w:r>
    </w:p>
  </w:footnote>
  <w:footnote w:id="21">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w:t>
      </w:r>
      <w:r>
        <w:rPr>
          <w:rFonts w:asciiTheme="majorBidi" w:hAnsiTheme="majorBidi" w:cstheme="majorBidi"/>
          <w:sz w:val="20"/>
          <w:szCs w:val="20"/>
        </w:rPr>
        <w:t xml:space="preserve">Red Cross, </w:t>
      </w:r>
      <w:r w:rsidRPr="00094D47">
        <w:rPr>
          <w:rFonts w:asciiTheme="majorBidi" w:hAnsiTheme="majorBidi" w:cstheme="majorBidi"/>
          <w:sz w:val="20"/>
          <w:szCs w:val="20"/>
        </w:rPr>
        <w:t>“Understanding armed groups and the applicable law,”</w:t>
      </w:r>
      <w:r w:rsidRPr="001B650D">
        <w:rPr>
          <w:rFonts w:asciiTheme="majorBidi" w:hAnsiTheme="majorBidi" w:cstheme="majorBidi"/>
          <w:sz w:val="20"/>
          <w:szCs w:val="20"/>
        </w:rPr>
        <w:t xml:space="preserve"> </w:t>
      </w:r>
      <w:r w:rsidRPr="00094D47">
        <w:rPr>
          <w:rFonts w:asciiTheme="majorBidi" w:hAnsiTheme="majorBidi" w:cstheme="majorBidi"/>
          <w:i/>
          <w:iCs/>
          <w:sz w:val="20"/>
          <w:szCs w:val="20"/>
        </w:rPr>
        <w:t>International Review of the Red Cross</w:t>
      </w:r>
      <w:r w:rsidRPr="001B650D">
        <w:rPr>
          <w:rFonts w:asciiTheme="majorBidi" w:hAnsiTheme="majorBidi" w:cstheme="majorBidi"/>
          <w:sz w:val="20"/>
          <w:szCs w:val="20"/>
        </w:rPr>
        <w:t xml:space="preserve">, Volume 93 Number 882, June 2011, P497. </w:t>
      </w:r>
    </w:p>
  </w:footnote>
  <w:footnote w:id="22">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Amnesty International, </w:t>
      </w:r>
      <w:r>
        <w:rPr>
          <w:rFonts w:asciiTheme="majorBidi" w:hAnsiTheme="majorBidi" w:cstheme="majorBidi"/>
          <w:i/>
          <w:iCs/>
          <w:sz w:val="20"/>
          <w:szCs w:val="20"/>
        </w:rPr>
        <w:t>Note 6</w:t>
      </w:r>
      <w:r w:rsidRPr="001B650D">
        <w:rPr>
          <w:rFonts w:asciiTheme="majorBidi" w:hAnsiTheme="majorBidi" w:cstheme="majorBidi"/>
          <w:sz w:val="20"/>
          <w:szCs w:val="20"/>
        </w:rPr>
        <w:t xml:space="preserve">, P17.  </w:t>
      </w:r>
    </w:p>
  </w:footnote>
  <w:footnote w:id="23">
    <w:p w:rsidR="00EF4037" w:rsidRPr="00194CD1" w:rsidRDefault="00EF4037" w:rsidP="00EF4037">
      <w:pPr>
        <w:pStyle w:val="Heading2"/>
        <w:ind w:left="270"/>
        <w:rPr>
          <w:rFonts w:asciiTheme="majorBidi" w:hAnsiTheme="majorBidi"/>
          <w:b w:val="0"/>
          <w:bCs w:val="0"/>
          <w:color w:val="auto"/>
          <w:sz w:val="20"/>
          <w:szCs w:val="20"/>
        </w:rPr>
      </w:pPr>
      <w:r w:rsidRPr="00194CD1">
        <w:rPr>
          <w:rStyle w:val="FootnoteReference"/>
          <w:rFonts w:asciiTheme="majorBidi" w:hAnsiTheme="majorBidi"/>
          <w:color w:val="auto"/>
        </w:rPr>
        <w:footnoteRef/>
      </w:r>
      <w:r w:rsidRPr="00194CD1">
        <w:rPr>
          <w:rFonts w:asciiTheme="majorBidi" w:hAnsiTheme="majorBidi"/>
          <w:color w:val="auto"/>
          <w:sz w:val="20"/>
          <w:szCs w:val="20"/>
        </w:rPr>
        <w:t xml:space="preserve"> </w:t>
      </w:r>
      <w:r w:rsidRPr="00194CD1">
        <w:rPr>
          <w:rFonts w:asciiTheme="majorBidi" w:hAnsiTheme="majorBidi"/>
          <w:color w:val="auto"/>
          <w:sz w:val="20"/>
          <w:szCs w:val="20"/>
          <w:rtl/>
        </w:rPr>
        <w:t>.</w:t>
      </w:r>
      <w:r w:rsidRPr="00194CD1">
        <w:rPr>
          <w:rFonts w:asciiTheme="majorBidi" w:hAnsiTheme="majorBidi"/>
          <w:color w:val="auto"/>
          <w:sz w:val="20"/>
          <w:szCs w:val="20"/>
          <w:lang w:val="en-US"/>
        </w:rPr>
        <w:t xml:space="preserve"> </w:t>
      </w:r>
      <w:r w:rsidRPr="00194CD1">
        <w:rPr>
          <w:rFonts w:asciiTheme="majorBidi" w:hAnsiTheme="majorBidi"/>
          <w:color w:val="auto"/>
          <w:sz w:val="20"/>
          <w:szCs w:val="20"/>
        </w:rPr>
        <w:t xml:space="preserve"> </w:t>
      </w:r>
      <w:r w:rsidRPr="00194CD1">
        <w:rPr>
          <w:rStyle w:val="Strong"/>
          <w:rFonts w:asciiTheme="majorBidi" w:hAnsiTheme="majorBidi"/>
          <w:color w:val="auto"/>
          <w:sz w:val="20"/>
          <w:szCs w:val="20"/>
        </w:rPr>
        <w:t>Wolfram Lacher, “</w:t>
      </w:r>
      <w:r w:rsidR="00DF6550" w:rsidRPr="00194CD1">
        <w:rPr>
          <w:rStyle w:val="Strong"/>
          <w:rFonts w:asciiTheme="majorBidi" w:hAnsiTheme="majorBidi"/>
          <w:color w:val="auto"/>
          <w:sz w:val="20"/>
          <w:szCs w:val="20"/>
        </w:rPr>
        <w:t>Libya’s</w:t>
      </w:r>
      <w:r w:rsidRPr="00194CD1">
        <w:rPr>
          <w:rStyle w:val="Strong"/>
          <w:rFonts w:asciiTheme="majorBidi" w:hAnsiTheme="majorBidi"/>
          <w:color w:val="auto"/>
          <w:sz w:val="20"/>
          <w:szCs w:val="20"/>
        </w:rPr>
        <w:t xml:space="preserve"> Transition: Towards Collapse,” </w:t>
      </w:r>
      <w:r w:rsidRPr="00194CD1">
        <w:rPr>
          <w:rStyle w:val="Strong"/>
          <w:rFonts w:asciiTheme="majorBidi" w:hAnsiTheme="majorBidi"/>
          <w:i/>
          <w:iCs/>
          <w:color w:val="auto"/>
          <w:sz w:val="20"/>
          <w:szCs w:val="20"/>
        </w:rPr>
        <w:t>German Institute for International and Security Affairs</w:t>
      </w:r>
      <w:r w:rsidRPr="00194CD1">
        <w:rPr>
          <w:rStyle w:val="Strong"/>
          <w:rFonts w:asciiTheme="majorBidi" w:hAnsiTheme="majorBidi"/>
          <w:color w:val="auto"/>
          <w:sz w:val="20"/>
          <w:szCs w:val="20"/>
        </w:rPr>
        <w:t xml:space="preserve">, 2014, P2. </w:t>
      </w:r>
      <w:r w:rsidRPr="00194CD1">
        <w:rPr>
          <w:rFonts w:asciiTheme="majorBidi" w:hAnsiTheme="majorBidi"/>
          <w:b w:val="0"/>
          <w:bCs w:val="0"/>
          <w:color w:val="auto"/>
          <w:sz w:val="20"/>
          <w:szCs w:val="20"/>
        </w:rPr>
        <w:t xml:space="preserve"> </w:t>
      </w:r>
    </w:p>
    <w:p w:rsidR="00EF4037" w:rsidRPr="00C0275A" w:rsidRDefault="00EF4037" w:rsidP="00EF4037">
      <w:pPr>
        <w:ind w:left="270"/>
        <w:rPr>
          <w:rtl/>
        </w:rPr>
      </w:pPr>
    </w:p>
  </w:footnote>
  <w:footnote w:id="24">
    <w:p w:rsidR="00EF4037" w:rsidRPr="00487A08"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The right of self-determination is mentioned articles 1 and 55 of the Charter of the United Nations and resolutions of General Assembly such as Resolution 1514. Right of Self-determination is also mentioned in Article 1 of the International Covenant on Civil and Political Rights and of the International Covenant on Economic, Social and Cultural Rights adopted by the General Assembly in 1966. Edre U. Olalia , </w:t>
      </w:r>
      <w:r w:rsidRPr="00487A08">
        <w:rPr>
          <w:rFonts w:asciiTheme="majorBidi" w:hAnsiTheme="majorBidi" w:cstheme="majorBidi"/>
          <w:i/>
          <w:iCs/>
          <w:sz w:val="20"/>
          <w:szCs w:val="20"/>
        </w:rPr>
        <w:t>Note 33</w:t>
      </w:r>
      <w:r>
        <w:rPr>
          <w:rFonts w:asciiTheme="majorBidi" w:hAnsiTheme="majorBidi" w:cstheme="majorBidi"/>
          <w:sz w:val="20"/>
          <w:szCs w:val="20"/>
        </w:rPr>
        <w:t>, P8.</w:t>
      </w:r>
    </w:p>
  </w:footnote>
  <w:footnote w:id="25">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.Here again raises the question of if there is a right to democracy or not. Olalia refers to the”</w:t>
      </w:r>
      <w:r w:rsidR="00DF6550">
        <w:rPr>
          <w:rFonts w:asciiTheme="majorBidi" w:hAnsiTheme="majorBidi" w:cstheme="majorBidi"/>
          <w:sz w:val="20"/>
          <w:szCs w:val="20"/>
        </w:rPr>
        <w:t xml:space="preserve"> </w:t>
      </w:r>
      <w:r w:rsidRPr="001B650D">
        <w:rPr>
          <w:rFonts w:asciiTheme="majorBidi" w:hAnsiTheme="majorBidi" w:cstheme="majorBidi"/>
          <w:sz w:val="20"/>
          <w:szCs w:val="20"/>
        </w:rPr>
        <w:t xml:space="preserve">Right to Revolution” and defines it as “a right to change or overthrow a particular government”. Historically, this right comes from the perception of Abraham Lincoln who believed that authority shall come from the people of the United States and people have a right to overthrow a non-responsive government. Sometimes “Right to Revolution” is called “Right of National Self-determination”. </w:t>
      </w:r>
      <w:r w:rsidRPr="00487A08">
        <w:rPr>
          <w:rFonts w:asciiTheme="majorBidi" w:hAnsiTheme="majorBidi" w:cstheme="majorBidi"/>
          <w:i/>
          <w:iCs/>
          <w:sz w:val="20"/>
          <w:szCs w:val="20"/>
        </w:rPr>
        <w:t xml:space="preserve">Note </w:t>
      </w:r>
      <w:r w:rsidR="00DF6550" w:rsidRPr="00487A08">
        <w:rPr>
          <w:rFonts w:asciiTheme="majorBidi" w:hAnsiTheme="majorBidi" w:cstheme="majorBidi"/>
          <w:i/>
          <w:iCs/>
          <w:sz w:val="20"/>
          <w:szCs w:val="20"/>
        </w:rPr>
        <w:t>33</w:t>
      </w:r>
      <w:r w:rsidR="00DF6550">
        <w:rPr>
          <w:rFonts w:asciiTheme="majorBidi" w:hAnsiTheme="majorBidi" w:cstheme="majorBidi"/>
          <w:sz w:val="20"/>
          <w:szCs w:val="20"/>
        </w:rPr>
        <w:t>, P4</w:t>
      </w:r>
      <w:r w:rsidRPr="001B650D">
        <w:rPr>
          <w:rFonts w:asciiTheme="majorBidi" w:hAnsiTheme="majorBidi" w:cstheme="majorBidi"/>
          <w:sz w:val="20"/>
          <w:szCs w:val="20"/>
        </w:rPr>
        <w:t>. Anyway, because right to revolution is not precisely referred to in any international document, one cannot claim the existence of this suspicious sub-division of right to self-determination</w:t>
      </w:r>
      <w:r w:rsidRPr="001B650D">
        <w:rPr>
          <w:rFonts w:asciiTheme="majorBidi" w:hAnsiTheme="majorBidi" w:cstheme="majorBidi"/>
          <w:sz w:val="20"/>
          <w:szCs w:val="20"/>
          <w:rtl/>
        </w:rPr>
        <w:t xml:space="preserve"> </w:t>
      </w:r>
      <w:r w:rsidRPr="001B650D">
        <w:rPr>
          <w:rFonts w:asciiTheme="majorBidi" w:hAnsiTheme="majorBidi" w:cstheme="majorBidi"/>
          <w:sz w:val="20"/>
          <w:szCs w:val="20"/>
        </w:rPr>
        <w:t xml:space="preserve"> and that NTC was fighting for this certain interpretation of “right to self-determination”. In classic international law “right of self-determination” is always tied with decolonization and getting rid of alien governments (in cases of internal right of self-determination).  </w:t>
      </w:r>
      <w:r w:rsidRPr="001B650D">
        <w:rPr>
          <w:rFonts w:asciiTheme="majorBidi" w:hAnsiTheme="majorBidi" w:cstheme="majorBidi"/>
          <w:sz w:val="20"/>
          <w:szCs w:val="20"/>
        </w:rPr>
        <w:tab/>
      </w:r>
    </w:p>
  </w:footnote>
  <w:footnote w:id="26">
    <w:p w:rsidR="00EF4037" w:rsidRPr="001B650D" w:rsidRDefault="00EF4037" w:rsidP="00EF4037">
      <w:pPr>
        <w:pStyle w:val="FootnoteText"/>
        <w:ind w:left="270"/>
        <w:jc w:val="both"/>
        <w:rPr>
          <w:rFonts w:asciiTheme="majorBidi" w:hAnsiTheme="majorBidi" w:cstheme="majorBidi"/>
        </w:rPr>
      </w:pPr>
      <w:r w:rsidRPr="001B650D">
        <w:rPr>
          <w:rStyle w:val="FootnoteReference"/>
          <w:rFonts w:asciiTheme="majorBidi" w:hAnsiTheme="majorBidi" w:cstheme="majorBidi"/>
        </w:rPr>
        <w:footnoteRef/>
      </w:r>
      <w:r w:rsidRPr="001B650D">
        <w:rPr>
          <w:rFonts w:asciiTheme="majorBidi" w:hAnsiTheme="majorBidi" w:cstheme="majorBidi"/>
        </w:rPr>
        <w:t xml:space="preserve"> . Statements Made by the Ministry of Foreign and European Spokesperson</w:t>
      </w:r>
      <w:r>
        <w:rPr>
          <w:rFonts w:asciiTheme="majorBidi" w:hAnsiTheme="majorBidi" w:cstheme="majorBidi"/>
        </w:rPr>
        <w:t xml:space="preserve">, </w:t>
      </w:r>
      <w:r w:rsidRPr="001B650D">
        <w:rPr>
          <w:rFonts w:asciiTheme="majorBidi" w:hAnsiTheme="majorBidi" w:cstheme="majorBidi"/>
        </w:rPr>
        <w:t>Mar. 10, 2011,</w:t>
      </w:r>
    </w:p>
    <w:p w:rsidR="00EF4037" w:rsidRPr="001B650D" w:rsidRDefault="00EF4037" w:rsidP="00EF4037">
      <w:pPr>
        <w:ind w:left="270"/>
        <w:jc w:val="both"/>
        <w:rPr>
          <w:rFonts w:asciiTheme="majorBidi" w:hAnsiTheme="majorBidi" w:cstheme="majorBidi"/>
          <w:sz w:val="20"/>
          <w:szCs w:val="20"/>
        </w:rPr>
      </w:pPr>
      <w:r>
        <w:rPr>
          <w:rFonts w:asciiTheme="majorBidi" w:hAnsiTheme="majorBidi" w:cstheme="majorBidi"/>
          <w:sz w:val="20"/>
          <w:szCs w:val="20"/>
        </w:rPr>
        <w:t>[</w:t>
      </w:r>
      <w:hyperlink r:id="rId3" w:anchor="5" w:history="1">
        <w:r w:rsidRPr="008C0FC4">
          <w:rPr>
            <w:rStyle w:val="Hyperlink"/>
            <w:rFonts w:asciiTheme="majorBidi" w:hAnsiTheme="majorBidi" w:cstheme="majorBidi"/>
            <w:color w:val="auto"/>
            <w:sz w:val="20"/>
            <w:szCs w:val="20"/>
            <w:u w:val="none"/>
          </w:rPr>
          <w:t>http://www.ambafrance-us.org/spip.php?article989#5</w:t>
        </w:r>
      </w:hyperlink>
      <w:r>
        <w:rPr>
          <w:rFonts w:asciiTheme="majorBidi" w:hAnsiTheme="majorBidi" w:cstheme="majorBidi"/>
          <w:sz w:val="20"/>
          <w:szCs w:val="20"/>
        </w:rPr>
        <w:t>]</w:t>
      </w:r>
      <w:r w:rsidRPr="001B650D">
        <w:rPr>
          <w:rFonts w:asciiTheme="majorBidi" w:hAnsiTheme="majorBidi" w:cstheme="majorBidi"/>
          <w:sz w:val="20"/>
          <w:szCs w:val="20"/>
        </w:rPr>
        <w:t>. Also Gambia, Turkey, Senegal, Qatar,</w:t>
      </w:r>
      <w:r w:rsidR="00DF6550">
        <w:rPr>
          <w:rFonts w:asciiTheme="majorBidi" w:hAnsiTheme="majorBidi" w:cstheme="majorBidi"/>
          <w:sz w:val="20"/>
          <w:szCs w:val="20"/>
        </w:rPr>
        <w:t xml:space="preserve"> </w:t>
      </w:r>
      <w:r w:rsidRPr="001B650D">
        <w:rPr>
          <w:rFonts w:asciiTheme="majorBidi" w:hAnsiTheme="majorBidi" w:cstheme="majorBidi"/>
          <w:sz w:val="20"/>
          <w:szCs w:val="20"/>
        </w:rPr>
        <w:t>Japan,</w:t>
      </w:r>
      <w:r w:rsidR="00DF6550">
        <w:rPr>
          <w:rFonts w:asciiTheme="majorBidi" w:hAnsiTheme="majorBidi" w:cstheme="majorBidi"/>
          <w:sz w:val="20"/>
          <w:szCs w:val="20"/>
        </w:rPr>
        <w:t xml:space="preserve"> </w:t>
      </w:r>
      <w:r w:rsidR="00DF6550" w:rsidRPr="001B650D">
        <w:rPr>
          <w:rFonts w:asciiTheme="majorBidi" w:hAnsiTheme="majorBidi" w:cstheme="majorBidi"/>
          <w:sz w:val="20"/>
          <w:szCs w:val="20"/>
        </w:rPr>
        <w:t>Spain</w:t>
      </w:r>
      <w:r w:rsidRPr="001B650D">
        <w:rPr>
          <w:rFonts w:asciiTheme="majorBidi" w:hAnsiTheme="majorBidi" w:cstheme="majorBidi"/>
          <w:sz w:val="20"/>
          <w:szCs w:val="20"/>
        </w:rPr>
        <w:t xml:space="preserve"> and </w:t>
      </w:r>
      <w:r w:rsidR="00DF6550" w:rsidRPr="001B650D">
        <w:rPr>
          <w:rFonts w:asciiTheme="majorBidi" w:hAnsiTheme="majorBidi" w:cstheme="majorBidi"/>
          <w:sz w:val="20"/>
          <w:szCs w:val="20"/>
        </w:rPr>
        <w:t>Germany</w:t>
      </w:r>
      <w:r w:rsidRPr="001B650D">
        <w:rPr>
          <w:rFonts w:asciiTheme="majorBidi" w:hAnsiTheme="majorBidi" w:cstheme="majorBidi"/>
          <w:sz w:val="20"/>
          <w:szCs w:val="20"/>
        </w:rPr>
        <w:t xml:space="preserve"> recognized NTC with sam</w:t>
      </w:r>
      <w:r>
        <w:rPr>
          <w:rFonts w:asciiTheme="majorBidi" w:hAnsiTheme="majorBidi" w:cstheme="majorBidi"/>
          <w:sz w:val="20"/>
          <w:szCs w:val="20"/>
        </w:rPr>
        <w:t xml:space="preserve">e literature.( Stefan Talmon,  </w:t>
      </w:r>
      <w:r>
        <w:rPr>
          <w:rFonts w:asciiTheme="majorBidi" w:hAnsiTheme="majorBidi" w:cstheme="majorBidi"/>
          <w:i/>
          <w:iCs/>
          <w:sz w:val="20"/>
          <w:szCs w:val="20"/>
        </w:rPr>
        <w:t xml:space="preserve">Note 14 </w:t>
      </w:r>
      <w:r w:rsidRPr="001B650D">
        <w:rPr>
          <w:rStyle w:val="st"/>
          <w:rFonts w:asciiTheme="majorBidi" w:hAnsiTheme="majorBidi" w:cstheme="majorBidi"/>
          <w:sz w:val="20"/>
          <w:szCs w:val="20"/>
        </w:rPr>
        <w:t>,P2.</w:t>
      </w:r>
    </w:p>
  </w:footnote>
  <w:footnote w:id="27">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w:t>
      </w:r>
      <w:r w:rsidRPr="00C0275A">
        <w:rPr>
          <w:rFonts w:asciiTheme="majorBidi" w:hAnsiTheme="majorBidi" w:cstheme="majorBidi"/>
          <w:i/>
          <w:iCs/>
          <w:sz w:val="20"/>
          <w:szCs w:val="20"/>
        </w:rPr>
        <w:t>Note 26.</w:t>
      </w:r>
    </w:p>
  </w:footnote>
  <w:footnote w:id="28">
    <w:p w:rsidR="00EF4037" w:rsidRPr="00FA0ACF" w:rsidRDefault="00EF4037" w:rsidP="00EF4037">
      <w:pPr>
        <w:ind w:left="270"/>
        <w:jc w:val="both"/>
        <w:rPr>
          <w:rFonts w:asciiTheme="majorBidi" w:hAnsiTheme="majorBidi" w:cstheme="majorBidi"/>
          <w:sz w:val="20"/>
          <w:szCs w:val="20"/>
        </w:rPr>
      </w:pPr>
      <w:r w:rsidRPr="00FA0ACF">
        <w:rPr>
          <w:rStyle w:val="FootnoteReference"/>
          <w:rFonts w:asciiTheme="majorBidi" w:hAnsiTheme="majorBidi" w:cstheme="majorBidi"/>
        </w:rPr>
        <w:footnoteRef/>
      </w:r>
      <w:r w:rsidRPr="00FA0ACF">
        <w:rPr>
          <w:rFonts w:asciiTheme="majorBidi" w:hAnsiTheme="majorBidi" w:cstheme="majorBidi"/>
          <w:sz w:val="20"/>
          <w:szCs w:val="20"/>
        </w:rPr>
        <w:t xml:space="preserve"> . Jean d Aspremont , “Rebellion and State Responsibility: Wrongdoing by Democratically Elected Insurgents,” </w:t>
      </w:r>
      <w:r w:rsidRPr="00FA0ACF">
        <w:rPr>
          <w:rFonts w:asciiTheme="majorBidi" w:hAnsiTheme="majorBidi" w:cstheme="majorBidi"/>
          <w:i/>
          <w:iCs/>
          <w:sz w:val="20"/>
          <w:szCs w:val="20"/>
        </w:rPr>
        <w:t>International and Comparative Law Quarterly</w:t>
      </w:r>
      <w:r w:rsidRPr="00FA0ACF">
        <w:rPr>
          <w:rFonts w:asciiTheme="majorBidi" w:hAnsiTheme="majorBidi" w:cstheme="majorBidi"/>
          <w:sz w:val="20"/>
          <w:szCs w:val="20"/>
        </w:rPr>
        <w:t xml:space="preserve">, </w:t>
      </w:r>
      <w:r w:rsidRPr="00FA0ACF">
        <w:rPr>
          <w:rStyle w:val="Emphasis"/>
          <w:rFonts w:asciiTheme="majorBidi" w:hAnsiTheme="majorBidi" w:cstheme="majorBidi"/>
          <w:i w:val="0"/>
          <w:iCs w:val="0"/>
          <w:sz w:val="20"/>
          <w:szCs w:val="20"/>
        </w:rPr>
        <w:t>ISSN</w:t>
      </w:r>
      <w:r w:rsidRPr="00FA0ACF">
        <w:rPr>
          <w:rStyle w:val="st"/>
          <w:rFonts w:asciiTheme="majorBidi" w:hAnsiTheme="majorBidi" w:cstheme="majorBidi"/>
          <w:sz w:val="20"/>
          <w:szCs w:val="20"/>
        </w:rPr>
        <w:t xml:space="preserve"> 0020-5893</w:t>
      </w:r>
      <w:r w:rsidRPr="00FA0ACF">
        <w:rPr>
          <w:rFonts w:asciiTheme="majorBidi" w:hAnsiTheme="majorBidi" w:cstheme="majorBidi"/>
          <w:sz w:val="20"/>
          <w:szCs w:val="20"/>
        </w:rPr>
        <w:t xml:space="preserve"> , ,2009, P18.</w:t>
      </w:r>
    </w:p>
  </w:footnote>
  <w:footnote w:id="29">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.Usually governments accuse their opposition armed forces as terrorists because illegitimacy is the common character of terrorism and insurgency, </w:t>
      </w:r>
      <w:r>
        <w:rPr>
          <w:rFonts w:asciiTheme="majorBidi" w:hAnsiTheme="majorBidi" w:cstheme="majorBidi"/>
          <w:sz w:val="20"/>
          <w:szCs w:val="20"/>
        </w:rPr>
        <w:t>Note 28</w:t>
      </w:r>
      <w:r w:rsidRPr="001B650D">
        <w:rPr>
          <w:rFonts w:asciiTheme="majorBidi" w:hAnsiTheme="majorBidi" w:cstheme="majorBidi"/>
          <w:sz w:val="20"/>
          <w:szCs w:val="20"/>
        </w:rPr>
        <w:t>, P13.</w:t>
      </w:r>
    </w:p>
  </w:footnote>
  <w:footnote w:id="30">
    <w:p w:rsidR="00EF4037" w:rsidRPr="00FA0ACF" w:rsidRDefault="00EF4037" w:rsidP="00EF4037">
      <w:pPr>
        <w:ind w:left="270"/>
        <w:jc w:val="both"/>
        <w:rPr>
          <w:rFonts w:asciiTheme="majorBidi" w:hAnsiTheme="majorBidi" w:cstheme="majorBidi"/>
          <w:sz w:val="20"/>
          <w:szCs w:val="20"/>
        </w:rPr>
      </w:pPr>
      <w:r w:rsidRPr="00FA0ACF">
        <w:rPr>
          <w:rStyle w:val="FootnoteReference"/>
          <w:rFonts w:asciiTheme="majorBidi" w:hAnsiTheme="majorBidi" w:cstheme="majorBidi"/>
        </w:rPr>
        <w:footnoteRef/>
      </w:r>
      <w:r w:rsidRPr="00FA0ACF">
        <w:rPr>
          <w:rFonts w:asciiTheme="majorBidi" w:hAnsiTheme="majorBidi" w:cstheme="majorBidi"/>
          <w:sz w:val="20"/>
          <w:szCs w:val="20"/>
        </w:rPr>
        <w:t xml:space="preserve"> . Hitoshi Nasu, “Status of Rebels in Non-International Armed Conflict,” </w:t>
      </w:r>
      <w:r w:rsidRPr="00FA0ACF">
        <w:rPr>
          <w:rFonts w:asciiTheme="majorBidi" w:hAnsiTheme="majorBidi" w:cstheme="majorBidi"/>
          <w:i/>
          <w:iCs/>
          <w:sz w:val="20"/>
          <w:szCs w:val="20"/>
        </w:rPr>
        <w:t>The Australian National University</w:t>
      </w:r>
      <w:r w:rsidRPr="00FA0ACF">
        <w:rPr>
          <w:rFonts w:asciiTheme="majorBidi" w:hAnsiTheme="majorBidi" w:cstheme="majorBidi"/>
          <w:sz w:val="20"/>
          <w:szCs w:val="20"/>
        </w:rPr>
        <w:t>, Louise Dowsald-Beck and Azizur Rahman Chowdhury, International Humanitarian Law – An Anthology,</w:t>
      </w:r>
      <w:r w:rsidR="00DF6550">
        <w:rPr>
          <w:rFonts w:asciiTheme="majorBidi" w:hAnsiTheme="majorBidi" w:cstheme="majorBidi"/>
          <w:sz w:val="20"/>
          <w:szCs w:val="20"/>
        </w:rPr>
        <w:t xml:space="preserve"> </w:t>
      </w:r>
      <w:r w:rsidRPr="00FA0ACF">
        <w:rPr>
          <w:rFonts w:asciiTheme="majorBidi" w:hAnsiTheme="majorBidi" w:cstheme="majorBidi"/>
          <w:sz w:val="20"/>
          <w:szCs w:val="20"/>
        </w:rPr>
        <w:t>LexisNexis</w:t>
      </w:r>
      <w:r w:rsidR="00DF6550">
        <w:rPr>
          <w:rFonts w:asciiTheme="majorBidi" w:hAnsiTheme="majorBidi" w:cstheme="majorBidi"/>
          <w:sz w:val="20"/>
          <w:szCs w:val="20"/>
        </w:rPr>
        <w:t xml:space="preserve"> Butterworths, India, 2009, P3,[</w:t>
      </w:r>
      <w:r>
        <w:rPr>
          <w:rFonts w:asciiTheme="majorBidi" w:hAnsiTheme="majorBidi" w:cstheme="majorBidi"/>
          <w:sz w:val="20"/>
          <w:szCs w:val="20"/>
        </w:rPr>
        <w:t>Onli</w:t>
      </w:r>
      <w:r w:rsidR="00DF6550">
        <w:rPr>
          <w:rFonts w:asciiTheme="majorBidi" w:hAnsiTheme="majorBidi" w:cstheme="majorBidi"/>
          <w:sz w:val="20"/>
          <w:szCs w:val="20"/>
        </w:rPr>
        <w:t>n</w:t>
      </w:r>
      <w:r>
        <w:rPr>
          <w:rFonts w:asciiTheme="majorBidi" w:hAnsiTheme="majorBidi" w:cstheme="majorBidi"/>
          <w:sz w:val="20"/>
          <w:szCs w:val="20"/>
        </w:rPr>
        <w:t xml:space="preserve">e]Available from: </w:t>
      </w:r>
      <w:hyperlink r:id="rId4" w:history="1">
        <w:r w:rsidRPr="001C419E">
          <w:rPr>
            <w:rStyle w:val="Hyperlink"/>
            <w:rFonts w:asciiTheme="majorBidi" w:hAnsiTheme="majorBidi" w:cstheme="majorBidi"/>
            <w:sz w:val="20"/>
            <w:szCs w:val="20"/>
          </w:rPr>
          <w:t>http://ssrn.com/abstract=1663477/</w:t>
        </w:r>
      </w:hyperlink>
      <w:r>
        <w:rPr>
          <w:rFonts w:asciiTheme="majorBidi" w:hAnsiTheme="majorBidi" w:cstheme="majorBidi"/>
          <w:sz w:val="20"/>
          <w:szCs w:val="20"/>
        </w:rPr>
        <w:t xml:space="preserve"> (retrieved: 2013).</w:t>
      </w:r>
    </w:p>
  </w:footnote>
  <w:footnote w:id="31">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Andrew Clapham, </w:t>
      </w:r>
      <w:r w:rsidRPr="00FA0ACF">
        <w:rPr>
          <w:rFonts w:asciiTheme="majorBidi" w:hAnsiTheme="majorBidi" w:cstheme="majorBidi"/>
          <w:sz w:val="20"/>
          <w:szCs w:val="20"/>
        </w:rPr>
        <w:t>“The Rights and Responsibilities of Armed Non-State Actors: The Legal Landscape &amp; Issues Surrounding Engagement,”</w:t>
      </w:r>
      <w:r w:rsidRPr="001B650D">
        <w:rPr>
          <w:rFonts w:asciiTheme="majorBidi" w:hAnsiTheme="majorBidi" w:cstheme="majorBidi"/>
          <w:sz w:val="20"/>
          <w:szCs w:val="20"/>
        </w:rPr>
        <w:t xml:space="preserve"> </w:t>
      </w:r>
      <w:r w:rsidRPr="00FA0ACF">
        <w:rPr>
          <w:rFonts w:asciiTheme="majorBidi" w:hAnsiTheme="majorBidi" w:cstheme="majorBidi"/>
          <w:i/>
          <w:iCs/>
          <w:sz w:val="20"/>
          <w:szCs w:val="20"/>
        </w:rPr>
        <w:t>Geneva Academy of International Humanitarian Law and Human Rights</w:t>
      </w:r>
      <w:r w:rsidRPr="001B650D">
        <w:rPr>
          <w:rFonts w:asciiTheme="majorBidi" w:hAnsiTheme="majorBidi" w:cstheme="majorBidi"/>
          <w:sz w:val="20"/>
          <w:szCs w:val="20"/>
        </w:rPr>
        <w:t>, February 2010, PP16_18</w:t>
      </w:r>
      <w:r w:rsidR="00DF6550" w:rsidRPr="001B650D">
        <w:rPr>
          <w:rFonts w:asciiTheme="majorBidi" w:hAnsiTheme="majorBidi" w:cstheme="majorBidi"/>
          <w:sz w:val="20"/>
          <w:szCs w:val="20"/>
        </w:rPr>
        <w:t>. [</w:t>
      </w:r>
      <w:r>
        <w:rPr>
          <w:rFonts w:asciiTheme="majorBidi" w:hAnsiTheme="majorBidi" w:cstheme="majorBidi"/>
          <w:sz w:val="20"/>
          <w:szCs w:val="20"/>
        </w:rPr>
        <w:t xml:space="preserve">Online] Available from: http://ssrn.com/abstract=1569636/ (retrieved: 2013). </w:t>
      </w:r>
      <w:r w:rsidRPr="001B650D">
        <w:rPr>
          <w:rFonts w:asciiTheme="majorBidi" w:hAnsiTheme="majorBidi" w:cstheme="majorBidi"/>
          <w:sz w:val="20"/>
          <w:szCs w:val="20"/>
        </w:rPr>
        <w:t>This was exactly what happened in Libya; hundreds of armed groups organized in towns, cities and religious institutions and civil war of Libya in 2012 took place. Refer to Human Rights Watch,</w:t>
      </w:r>
      <w:r>
        <w:rPr>
          <w:rFonts w:asciiTheme="majorBidi" w:hAnsiTheme="majorBidi" w:cstheme="majorBidi"/>
          <w:i/>
          <w:iCs/>
          <w:sz w:val="20"/>
          <w:szCs w:val="20"/>
        </w:rPr>
        <w:t xml:space="preserve"> Note 2</w:t>
      </w:r>
      <w:r w:rsidR="00DF6550">
        <w:rPr>
          <w:rFonts w:asciiTheme="majorBidi" w:hAnsiTheme="majorBidi" w:cstheme="majorBidi"/>
          <w:i/>
          <w:iCs/>
          <w:sz w:val="20"/>
          <w:szCs w:val="20"/>
        </w:rPr>
        <w:t>,</w:t>
      </w:r>
      <w:r w:rsidR="00DF6550" w:rsidRPr="001B650D">
        <w:rPr>
          <w:rFonts w:asciiTheme="majorBidi" w:hAnsiTheme="majorBidi" w:cstheme="majorBidi"/>
          <w:sz w:val="20"/>
          <w:szCs w:val="20"/>
        </w:rPr>
        <w:t xml:space="preserve"> .</w:t>
      </w:r>
      <w:r w:rsidRPr="001B650D">
        <w:rPr>
          <w:rFonts w:asciiTheme="majorBidi" w:hAnsiTheme="majorBidi" w:cstheme="majorBidi"/>
          <w:sz w:val="20"/>
          <w:szCs w:val="20"/>
        </w:rPr>
        <w:t>P18</w:t>
      </w:r>
      <w:r>
        <w:rPr>
          <w:rFonts w:asciiTheme="majorBidi" w:hAnsiTheme="majorBidi" w:cstheme="majorBidi"/>
          <w:sz w:val="20"/>
          <w:szCs w:val="20"/>
        </w:rPr>
        <w:t xml:space="preserve"> </w:t>
      </w:r>
      <w:r w:rsidRPr="001B650D">
        <w:rPr>
          <w:rFonts w:asciiTheme="majorBidi" w:hAnsiTheme="majorBidi" w:cstheme="majorBidi"/>
          <w:sz w:val="20"/>
          <w:szCs w:val="20"/>
        </w:rPr>
        <w:t>And Statement of the chairperson of the African Union Commission, Dr. Jean Ping, at the meeting of the international contact group on Libya,   Rome, Italy, 5 MAY 2011.</w:t>
      </w:r>
    </w:p>
  </w:footnote>
  <w:footnote w:id="32">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for example refer to Ma</w:t>
      </w:r>
      <w:r>
        <w:rPr>
          <w:rFonts w:asciiTheme="majorBidi" w:hAnsiTheme="majorBidi" w:cstheme="majorBidi"/>
          <w:sz w:val="20"/>
          <w:szCs w:val="20"/>
        </w:rPr>
        <w:t xml:space="preserve">lkom N. </w:t>
      </w:r>
      <w:r w:rsidR="00DF6550">
        <w:rPr>
          <w:rFonts w:asciiTheme="majorBidi" w:hAnsiTheme="majorBidi" w:cstheme="majorBidi"/>
          <w:sz w:val="20"/>
          <w:szCs w:val="20"/>
        </w:rPr>
        <w:t>Shaw</w:t>
      </w:r>
      <w:r>
        <w:rPr>
          <w:rFonts w:asciiTheme="majorBidi" w:hAnsiTheme="majorBidi" w:cstheme="majorBidi"/>
          <w:sz w:val="20"/>
          <w:szCs w:val="20"/>
        </w:rPr>
        <w:t>, “</w:t>
      </w:r>
      <w:r w:rsidRPr="00C0275A">
        <w:rPr>
          <w:rFonts w:asciiTheme="majorBidi" w:hAnsiTheme="majorBidi" w:cstheme="majorBidi"/>
          <w:i/>
          <w:iCs/>
          <w:sz w:val="20"/>
          <w:szCs w:val="20"/>
        </w:rPr>
        <w:t>International law</w:t>
      </w:r>
      <w:r w:rsidRPr="001B650D">
        <w:rPr>
          <w:rFonts w:asciiTheme="majorBidi" w:hAnsiTheme="majorBidi" w:cstheme="majorBidi"/>
          <w:sz w:val="20"/>
          <w:szCs w:val="20"/>
        </w:rPr>
        <w:t>,</w:t>
      </w:r>
      <w:r>
        <w:rPr>
          <w:rFonts w:asciiTheme="majorBidi" w:hAnsiTheme="majorBidi" w:cstheme="majorBidi"/>
          <w:sz w:val="20"/>
          <w:szCs w:val="20"/>
        </w:rPr>
        <w:t>"</w:t>
      </w:r>
      <w:r w:rsidRPr="001B650D">
        <w:rPr>
          <w:rFonts w:asciiTheme="majorBidi" w:hAnsiTheme="majorBidi" w:cstheme="majorBidi"/>
          <w:sz w:val="20"/>
          <w:szCs w:val="20"/>
        </w:rPr>
        <w:t xml:space="preserve"> Cambridge</w:t>
      </w:r>
      <w:r>
        <w:rPr>
          <w:rFonts w:asciiTheme="majorBidi" w:hAnsiTheme="majorBidi" w:cstheme="majorBidi"/>
          <w:sz w:val="20"/>
          <w:szCs w:val="20"/>
        </w:rPr>
        <w:t xml:space="preserve">: </w:t>
      </w:r>
      <w:r w:rsidRPr="001B650D">
        <w:rPr>
          <w:rFonts w:asciiTheme="majorBidi" w:hAnsiTheme="majorBidi" w:cstheme="majorBidi"/>
          <w:sz w:val="20"/>
          <w:szCs w:val="20"/>
        </w:rPr>
        <w:t>Cambridge University Press, Sixth Edition,2008, P1317.</w:t>
      </w:r>
    </w:p>
  </w:footnote>
  <w:footnote w:id="33">
    <w:p w:rsidR="00EF4037" w:rsidRPr="00487A08" w:rsidRDefault="00EF4037" w:rsidP="00EF4037">
      <w:pPr>
        <w:ind w:left="270"/>
        <w:jc w:val="both"/>
        <w:rPr>
          <w:rFonts w:asciiTheme="majorBidi" w:hAnsiTheme="majorBidi" w:cstheme="majorBidi"/>
          <w:sz w:val="20"/>
          <w:szCs w:val="20"/>
        </w:rPr>
      </w:pPr>
      <w:r w:rsidRPr="00487A08">
        <w:rPr>
          <w:rStyle w:val="FootnoteReference"/>
          <w:rFonts w:asciiTheme="majorBidi" w:hAnsiTheme="majorBidi" w:cstheme="majorBidi"/>
        </w:rPr>
        <w:footnoteRef/>
      </w:r>
      <w:r w:rsidRPr="00487A08">
        <w:rPr>
          <w:rFonts w:asciiTheme="majorBidi" w:hAnsiTheme="majorBidi" w:cstheme="majorBidi"/>
          <w:sz w:val="20"/>
          <w:szCs w:val="20"/>
        </w:rPr>
        <w:t xml:space="preserve"> . Edre U. Olalia, “The Status of International Law of National Liberation Movements and Their Use of Armed Force</w:t>
      </w:r>
      <w:r w:rsidR="00DF6550" w:rsidRPr="00487A08">
        <w:rPr>
          <w:rFonts w:asciiTheme="majorBidi" w:hAnsiTheme="majorBidi" w:cstheme="majorBidi"/>
          <w:sz w:val="20"/>
          <w:szCs w:val="20"/>
        </w:rPr>
        <w:t>”,</w:t>
      </w:r>
      <w:r w:rsidRPr="00487A08">
        <w:rPr>
          <w:rFonts w:asciiTheme="majorBidi" w:hAnsiTheme="majorBidi" w:cstheme="majorBidi"/>
          <w:sz w:val="20"/>
          <w:szCs w:val="20"/>
        </w:rPr>
        <w:t xml:space="preserve"> </w:t>
      </w:r>
      <w:r w:rsidRPr="00487A08">
        <w:rPr>
          <w:rFonts w:asciiTheme="majorBidi" w:hAnsiTheme="majorBidi" w:cstheme="majorBidi"/>
          <w:i/>
          <w:iCs/>
          <w:sz w:val="20"/>
          <w:szCs w:val="20"/>
        </w:rPr>
        <w:t>International Association of People`s Lawyers</w:t>
      </w:r>
      <w:r w:rsidRPr="00487A08">
        <w:rPr>
          <w:rFonts w:asciiTheme="majorBidi" w:hAnsiTheme="majorBidi" w:cstheme="majorBidi"/>
          <w:sz w:val="20"/>
          <w:szCs w:val="20"/>
        </w:rPr>
        <w:t>, 2002, P2</w:t>
      </w:r>
      <w:r w:rsidR="00DF6550" w:rsidRPr="00487A08">
        <w:rPr>
          <w:rFonts w:asciiTheme="majorBidi" w:hAnsiTheme="majorBidi" w:cstheme="majorBidi"/>
          <w:sz w:val="20"/>
          <w:szCs w:val="20"/>
        </w:rPr>
        <w:t>. [</w:t>
      </w:r>
      <w:r w:rsidRPr="00487A08">
        <w:rPr>
          <w:rFonts w:asciiTheme="majorBidi" w:hAnsiTheme="majorBidi" w:cstheme="majorBidi"/>
          <w:sz w:val="20"/>
          <w:szCs w:val="20"/>
        </w:rPr>
        <w:t xml:space="preserve"> Online] Available from: </w:t>
      </w:r>
      <w:hyperlink r:id="rId5" w:history="1">
        <w:r w:rsidRPr="00487A08">
          <w:rPr>
            <w:rStyle w:val="Hyperlink"/>
            <w:rFonts w:asciiTheme="majorBidi" w:hAnsiTheme="majorBidi" w:cstheme="majorBidi"/>
            <w:color w:val="auto"/>
            <w:sz w:val="20"/>
            <w:szCs w:val="20"/>
          </w:rPr>
          <w:t>http://www.iadllaw.org/</w:t>
        </w:r>
      </w:hyperlink>
      <w:r w:rsidRPr="00487A08">
        <w:rPr>
          <w:rFonts w:asciiTheme="majorBidi" w:hAnsiTheme="majorBidi" w:cstheme="majorBidi"/>
          <w:sz w:val="20"/>
          <w:szCs w:val="20"/>
        </w:rPr>
        <w:t xml:space="preserve"> (</w:t>
      </w:r>
      <w:r w:rsidR="00DF6550" w:rsidRPr="00487A08">
        <w:rPr>
          <w:rFonts w:asciiTheme="majorBidi" w:hAnsiTheme="majorBidi" w:cstheme="majorBidi"/>
          <w:sz w:val="20"/>
          <w:szCs w:val="20"/>
        </w:rPr>
        <w:t>retrieved</w:t>
      </w:r>
      <w:r w:rsidRPr="00487A08">
        <w:rPr>
          <w:rFonts w:asciiTheme="majorBidi" w:hAnsiTheme="majorBidi" w:cstheme="majorBidi"/>
          <w:sz w:val="20"/>
          <w:szCs w:val="20"/>
        </w:rPr>
        <w:t xml:space="preserve">: April 2016). </w:t>
      </w:r>
    </w:p>
  </w:footnote>
  <w:footnote w:id="34">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w:t>
      </w:r>
      <w:r>
        <w:rPr>
          <w:rFonts w:asciiTheme="majorBidi" w:hAnsiTheme="majorBidi" w:cstheme="majorBidi"/>
          <w:sz w:val="20"/>
          <w:szCs w:val="20"/>
        </w:rPr>
        <w:t>.</w:t>
      </w:r>
      <w:r w:rsidRPr="00C0275A">
        <w:rPr>
          <w:rFonts w:asciiTheme="majorBidi" w:hAnsiTheme="majorBidi" w:cstheme="majorBidi"/>
          <w:i/>
          <w:iCs/>
          <w:sz w:val="20"/>
          <w:szCs w:val="20"/>
        </w:rPr>
        <w:t>Note 33.</w:t>
      </w:r>
    </w:p>
  </w:footnote>
  <w:footnote w:id="35">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Hitoshi Nasu, </w:t>
      </w:r>
      <w:r>
        <w:rPr>
          <w:rFonts w:asciiTheme="majorBidi" w:hAnsiTheme="majorBidi" w:cstheme="majorBidi"/>
          <w:i/>
          <w:iCs/>
          <w:sz w:val="20"/>
          <w:szCs w:val="20"/>
        </w:rPr>
        <w:t>Note 30</w:t>
      </w:r>
      <w:r w:rsidRPr="001B650D">
        <w:rPr>
          <w:rFonts w:asciiTheme="majorBidi" w:hAnsiTheme="majorBidi" w:cstheme="majorBidi"/>
          <w:sz w:val="20"/>
          <w:szCs w:val="20"/>
        </w:rPr>
        <w:t>, P4.</w:t>
      </w:r>
    </w:p>
  </w:footnote>
  <w:footnote w:id="36">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w:t>
      </w:r>
      <w:r w:rsidRPr="00C0275A">
        <w:rPr>
          <w:rFonts w:asciiTheme="majorBidi" w:hAnsiTheme="majorBidi" w:cstheme="majorBidi"/>
          <w:i/>
          <w:iCs/>
          <w:sz w:val="20"/>
          <w:szCs w:val="20"/>
        </w:rPr>
        <w:t>Note 36.</w:t>
      </w:r>
      <w:r w:rsidRPr="001B650D">
        <w:rPr>
          <w:rFonts w:asciiTheme="majorBidi" w:hAnsiTheme="majorBidi" w:cstheme="majorBidi"/>
          <w:sz w:val="20"/>
          <w:szCs w:val="20"/>
        </w:rPr>
        <w:t xml:space="preserve"> </w:t>
      </w:r>
    </w:p>
  </w:footnote>
  <w:footnote w:id="37">
    <w:p w:rsidR="00EF4037" w:rsidRPr="00487A08" w:rsidRDefault="00EF4037" w:rsidP="00EF4037">
      <w:pPr>
        <w:pStyle w:val="FootnoteText"/>
        <w:ind w:left="270"/>
        <w:jc w:val="both"/>
        <w:rPr>
          <w:rFonts w:asciiTheme="majorBidi" w:hAnsiTheme="majorBidi" w:cstheme="majorBidi"/>
        </w:rPr>
      </w:pPr>
      <w:r w:rsidRPr="00487A08">
        <w:rPr>
          <w:rStyle w:val="FootnoteReference"/>
          <w:rFonts w:asciiTheme="majorBidi" w:hAnsiTheme="majorBidi" w:cstheme="majorBidi"/>
        </w:rPr>
        <w:footnoteRef/>
      </w:r>
      <w:r w:rsidRPr="00487A08">
        <w:rPr>
          <w:rFonts w:asciiTheme="majorBidi" w:hAnsiTheme="majorBidi" w:cstheme="majorBidi"/>
        </w:rPr>
        <w:t xml:space="preserve"> . Edre U. Olalia, </w:t>
      </w:r>
      <w:r w:rsidRPr="00487A08">
        <w:rPr>
          <w:rFonts w:asciiTheme="majorBidi" w:hAnsiTheme="majorBidi" w:cstheme="majorBidi"/>
          <w:i/>
          <w:iCs/>
        </w:rPr>
        <w:t xml:space="preserve">Note </w:t>
      </w:r>
      <w:r w:rsidR="00DF6550" w:rsidRPr="00487A08">
        <w:rPr>
          <w:rFonts w:asciiTheme="majorBidi" w:hAnsiTheme="majorBidi" w:cstheme="majorBidi"/>
          <w:i/>
          <w:iCs/>
        </w:rPr>
        <w:t>33</w:t>
      </w:r>
      <w:r w:rsidR="00DF6550" w:rsidRPr="00487A08">
        <w:rPr>
          <w:rFonts w:asciiTheme="majorBidi" w:hAnsiTheme="majorBidi" w:cstheme="majorBidi"/>
          <w:b/>
          <w:bCs/>
        </w:rPr>
        <w:t>,</w:t>
      </w:r>
      <w:r w:rsidRPr="00487A08">
        <w:rPr>
          <w:rFonts w:asciiTheme="majorBidi" w:hAnsiTheme="majorBidi" w:cstheme="majorBidi"/>
        </w:rPr>
        <w:t xml:space="preserve"> P20.</w:t>
      </w:r>
    </w:p>
    <w:p w:rsidR="00EF4037" w:rsidRPr="003D7B63" w:rsidRDefault="00EF4037" w:rsidP="00EF4037">
      <w:pPr>
        <w:pStyle w:val="FootnoteText"/>
        <w:ind w:left="270"/>
        <w:jc w:val="both"/>
        <w:rPr>
          <w:rFonts w:asciiTheme="majorBidi" w:hAnsiTheme="majorBidi" w:cstheme="majorBidi"/>
          <w:color w:val="FF0000"/>
        </w:rPr>
      </w:pPr>
    </w:p>
  </w:footnote>
  <w:footnote w:id="38">
    <w:p w:rsidR="00EF4037" w:rsidRDefault="00EF4037" w:rsidP="00EF4037">
      <w:pPr>
        <w:pStyle w:val="FootnoteText"/>
        <w:ind w:left="270"/>
        <w:jc w:val="both"/>
        <w:rPr>
          <w:rFonts w:asciiTheme="majorBidi" w:hAnsiTheme="majorBidi" w:cstheme="majorBidi"/>
        </w:rPr>
      </w:pPr>
      <w:r w:rsidRPr="00487A08">
        <w:rPr>
          <w:rStyle w:val="FootnoteReference"/>
          <w:rFonts w:asciiTheme="majorBidi" w:hAnsiTheme="majorBidi" w:cstheme="majorBidi"/>
        </w:rPr>
        <w:footnoteRef/>
      </w:r>
      <w:r w:rsidRPr="00487A08">
        <w:rPr>
          <w:rFonts w:asciiTheme="majorBidi" w:hAnsiTheme="majorBidi" w:cstheme="majorBidi"/>
        </w:rPr>
        <w:t xml:space="preserve"> . 1977 Protocol Additional to the Geneva Conventions of 12 August 1949, and Relative to the Protection of Victims of Non-International Armed Conflicts, 1125 UNTS 609 (hereinafter Additional Protocol II).</w:t>
      </w:r>
    </w:p>
    <w:p w:rsidR="00EF4037" w:rsidRPr="00487A08" w:rsidRDefault="00EF4037" w:rsidP="00EF4037">
      <w:pPr>
        <w:pStyle w:val="FootnoteText"/>
        <w:ind w:left="270"/>
        <w:jc w:val="both"/>
        <w:rPr>
          <w:rFonts w:asciiTheme="majorBidi" w:hAnsiTheme="majorBidi" w:cstheme="majorBidi"/>
        </w:rPr>
      </w:pPr>
    </w:p>
  </w:footnote>
  <w:footnote w:id="39">
    <w:p w:rsidR="00EF4037" w:rsidRPr="00FA0ACF" w:rsidRDefault="00EF4037" w:rsidP="00EF4037">
      <w:pPr>
        <w:ind w:left="270"/>
        <w:jc w:val="both"/>
        <w:rPr>
          <w:rFonts w:asciiTheme="majorBidi" w:hAnsiTheme="majorBidi" w:cstheme="majorBidi"/>
          <w:sz w:val="20"/>
          <w:szCs w:val="20"/>
        </w:rPr>
      </w:pPr>
      <w:r w:rsidRPr="00FA0ACF">
        <w:rPr>
          <w:rStyle w:val="FootnoteReference"/>
          <w:rFonts w:asciiTheme="majorBidi" w:hAnsiTheme="majorBidi" w:cstheme="majorBidi"/>
        </w:rPr>
        <w:footnoteRef/>
      </w:r>
      <w:r w:rsidRPr="00FA0ACF">
        <w:rPr>
          <w:rFonts w:asciiTheme="majorBidi" w:hAnsiTheme="majorBidi" w:cstheme="majorBidi"/>
          <w:sz w:val="20"/>
          <w:szCs w:val="20"/>
        </w:rPr>
        <w:t xml:space="preserve"> . For more info please refer to Hitoshi Nasu, </w:t>
      </w:r>
      <w:r>
        <w:rPr>
          <w:rFonts w:asciiTheme="majorBidi" w:hAnsiTheme="majorBidi" w:cstheme="majorBidi"/>
          <w:sz w:val="20"/>
          <w:szCs w:val="20"/>
        </w:rPr>
        <w:t>Note 30</w:t>
      </w:r>
      <w:r w:rsidRPr="00FA0ACF">
        <w:rPr>
          <w:rFonts w:asciiTheme="majorBidi" w:hAnsiTheme="majorBidi" w:cstheme="majorBidi"/>
          <w:sz w:val="20"/>
          <w:szCs w:val="20"/>
        </w:rPr>
        <w:t xml:space="preserve">. Malcom Shaw instead of “responsible command” prefers to use “responsible authority” refer to Malkom N. </w:t>
      </w:r>
      <w:r w:rsidR="00DF6550" w:rsidRPr="00FA0ACF">
        <w:rPr>
          <w:rFonts w:asciiTheme="majorBidi" w:hAnsiTheme="majorBidi" w:cstheme="majorBidi"/>
          <w:sz w:val="20"/>
          <w:szCs w:val="20"/>
        </w:rPr>
        <w:t>Shaw</w:t>
      </w:r>
      <w:r w:rsidRPr="00FA0ACF">
        <w:rPr>
          <w:rFonts w:asciiTheme="majorBidi" w:hAnsiTheme="majorBidi" w:cstheme="majorBidi"/>
          <w:sz w:val="20"/>
          <w:szCs w:val="20"/>
        </w:rPr>
        <w:t xml:space="preserve">, </w:t>
      </w:r>
      <w:r>
        <w:rPr>
          <w:rFonts w:asciiTheme="majorBidi" w:hAnsiTheme="majorBidi" w:cstheme="majorBidi"/>
          <w:i/>
          <w:iCs/>
          <w:sz w:val="20"/>
          <w:szCs w:val="20"/>
        </w:rPr>
        <w:t>Note 32</w:t>
      </w:r>
      <w:r w:rsidRPr="00FA0ACF">
        <w:rPr>
          <w:rFonts w:asciiTheme="majorBidi" w:hAnsiTheme="majorBidi" w:cstheme="majorBidi"/>
          <w:sz w:val="20"/>
          <w:szCs w:val="20"/>
        </w:rPr>
        <w:t xml:space="preserve">, </w:t>
      </w:r>
      <w:r w:rsidR="00DF6550" w:rsidRPr="00FA0ACF">
        <w:rPr>
          <w:rFonts w:asciiTheme="majorBidi" w:hAnsiTheme="majorBidi" w:cstheme="majorBidi"/>
          <w:sz w:val="20"/>
          <w:szCs w:val="20"/>
        </w:rPr>
        <w:t>and P1317</w:t>
      </w:r>
      <w:r w:rsidRPr="00FA0ACF">
        <w:rPr>
          <w:rFonts w:asciiTheme="majorBidi" w:hAnsiTheme="majorBidi" w:cstheme="majorBidi"/>
          <w:sz w:val="20"/>
          <w:szCs w:val="20"/>
        </w:rPr>
        <w:t>.</w:t>
      </w:r>
    </w:p>
  </w:footnote>
  <w:footnote w:id="40">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For example African Union during its meeting on 26 August 2011 made the recognition of NTC as “Government” conditional to creation of a TG but affirmed that NTC toppled </w:t>
      </w:r>
      <w:r w:rsidR="00DF6550" w:rsidRPr="001B650D">
        <w:rPr>
          <w:rFonts w:asciiTheme="majorBidi" w:hAnsiTheme="majorBidi" w:cstheme="majorBidi"/>
          <w:sz w:val="20"/>
          <w:szCs w:val="20"/>
        </w:rPr>
        <w:t>Gadhafi</w:t>
      </w:r>
      <w:r w:rsidRPr="001B650D">
        <w:rPr>
          <w:rFonts w:asciiTheme="majorBidi" w:hAnsiTheme="majorBidi" w:cstheme="majorBidi"/>
          <w:sz w:val="20"/>
          <w:szCs w:val="20"/>
        </w:rPr>
        <w:t xml:space="preserve">. Anyway Sithole, </w:t>
      </w:r>
      <w:r w:rsidRPr="00665F72">
        <w:rPr>
          <w:rFonts w:asciiTheme="majorBidi" w:hAnsiTheme="majorBidi" w:cstheme="majorBidi"/>
          <w:i/>
          <w:iCs/>
          <w:sz w:val="20"/>
          <w:szCs w:val="20"/>
        </w:rPr>
        <w:t>Note 2</w:t>
      </w:r>
      <w:r w:rsidRPr="001B650D">
        <w:rPr>
          <w:rFonts w:asciiTheme="majorBidi" w:hAnsiTheme="majorBidi" w:cstheme="majorBidi"/>
          <w:sz w:val="20"/>
          <w:szCs w:val="20"/>
        </w:rPr>
        <w:t>, P123.</w:t>
      </w:r>
    </w:p>
  </w:footnote>
  <w:footnote w:id="41">
    <w:p w:rsidR="00EF4037" w:rsidRPr="001B650D" w:rsidRDefault="00EF4037" w:rsidP="00EF4037">
      <w:pPr>
        <w:ind w:left="270"/>
        <w:jc w:val="both"/>
        <w:rPr>
          <w:rFonts w:asciiTheme="majorBidi" w:hAnsiTheme="majorBidi" w:cstheme="majorBidi"/>
          <w:color w:val="FF0000"/>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Emily O’Brien and Andrew Sinclair,</w:t>
      </w:r>
      <w:r w:rsidRPr="006C3E70">
        <w:rPr>
          <w:rFonts w:asciiTheme="majorBidi" w:hAnsiTheme="majorBidi" w:cstheme="majorBidi"/>
          <w:sz w:val="20"/>
          <w:szCs w:val="20"/>
        </w:rPr>
        <w:t xml:space="preserve"> </w:t>
      </w:r>
      <w:r w:rsidRPr="00E865DE">
        <w:rPr>
          <w:rFonts w:asciiTheme="majorBidi" w:hAnsiTheme="majorBidi" w:cstheme="majorBidi"/>
          <w:i/>
          <w:iCs/>
          <w:sz w:val="20"/>
          <w:szCs w:val="20"/>
        </w:rPr>
        <w:t>Note 6</w:t>
      </w:r>
      <w:r w:rsidRPr="006C3E70">
        <w:rPr>
          <w:rFonts w:asciiTheme="majorBidi" w:hAnsiTheme="majorBidi" w:cstheme="majorBidi"/>
          <w:sz w:val="20"/>
          <w:szCs w:val="20"/>
        </w:rPr>
        <w:t>, p5.</w:t>
      </w:r>
    </w:p>
  </w:footnote>
  <w:footnote w:id="42">
    <w:p w:rsidR="00EF4037" w:rsidRPr="00487A08" w:rsidRDefault="00EF4037" w:rsidP="00EF4037">
      <w:pPr>
        <w:ind w:left="270"/>
        <w:jc w:val="both"/>
        <w:rPr>
          <w:rFonts w:asciiTheme="majorBidi" w:hAnsiTheme="majorBidi" w:cstheme="majorBidi"/>
          <w:sz w:val="20"/>
          <w:szCs w:val="20"/>
        </w:rPr>
      </w:pPr>
      <w:r w:rsidRPr="00487A08">
        <w:rPr>
          <w:rStyle w:val="FootnoteReference"/>
          <w:rFonts w:asciiTheme="majorBidi" w:hAnsiTheme="majorBidi" w:cstheme="majorBidi"/>
        </w:rPr>
        <w:footnoteRef/>
      </w:r>
      <w:r w:rsidRPr="00487A08">
        <w:rPr>
          <w:rFonts w:asciiTheme="majorBidi" w:hAnsiTheme="majorBidi" w:cstheme="majorBidi"/>
          <w:sz w:val="20"/>
          <w:szCs w:val="20"/>
        </w:rPr>
        <w:t xml:space="preserve"> . Juan Garrigues, “Libya, From Positive Precedent to Collective Frustration,” </w:t>
      </w:r>
      <w:r w:rsidRPr="00094D47">
        <w:rPr>
          <w:rFonts w:asciiTheme="majorBidi" w:hAnsiTheme="majorBidi" w:cstheme="majorBidi"/>
          <w:i/>
          <w:iCs/>
          <w:sz w:val="20"/>
          <w:szCs w:val="20"/>
        </w:rPr>
        <w:t>CIDOB</w:t>
      </w:r>
      <w:r w:rsidR="00DF6550" w:rsidRPr="00487A08">
        <w:rPr>
          <w:rFonts w:asciiTheme="majorBidi" w:hAnsiTheme="majorBidi" w:cstheme="majorBidi"/>
          <w:sz w:val="20"/>
          <w:szCs w:val="20"/>
        </w:rPr>
        <w:t>, ISSN</w:t>
      </w:r>
      <w:r w:rsidRPr="00487A08">
        <w:rPr>
          <w:rFonts w:asciiTheme="majorBidi" w:hAnsiTheme="majorBidi" w:cstheme="majorBidi"/>
          <w:sz w:val="20"/>
          <w:szCs w:val="20"/>
        </w:rPr>
        <w:t xml:space="preserve"> 2013-4428, 2011, P4. </w:t>
      </w:r>
    </w:p>
  </w:footnote>
  <w:footnote w:id="43">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Jonte van Essen, </w:t>
      </w:r>
      <w:r w:rsidRPr="00E865DE">
        <w:rPr>
          <w:rFonts w:asciiTheme="majorBidi" w:hAnsiTheme="majorBidi" w:cstheme="majorBidi"/>
          <w:i/>
          <w:iCs/>
          <w:sz w:val="20"/>
          <w:szCs w:val="20"/>
        </w:rPr>
        <w:t>Note 6</w:t>
      </w:r>
      <w:r w:rsidRPr="001B650D">
        <w:rPr>
          <w:rFonts w:asciiTheme="majorBidi" w:hAnsiTheme="majorBidi" w:cstheme="majorBidi"/>
          <w:sz w:val="20"/>
          <w:szCs w:val="20"/>
        </w:rPr>
        <w:t>, P42. , for more information on recognition of NTC as responsible authority please ref</w:t>
      </w:r>
      <w:r>
        <w:rPr>
          <w:rFonts w:asciiTheme="majorBidi" w:hAnsiTheme="majorBidi" w:cstheme="majorBidi"/>
          <w:sz w:val="20"/>
          <w:szCs w:val="20"/>
        </w:rPr>
        <w:t>er to Zoe</w:t>
      </w:r>
      <w:r w:rsidRPr="001B650D">
        <w:rPr>
          <w:rFonts w:asciiTheme="majorBidi" w:hAnsiTheme="majorBidi" w:cstheme="majorBidi"/>
          <w:sz w:val="20"/>
          <w:szCs w:val="20"/>
        </w:rPr>
        <w:t xml:space="preserve"> H</w:t>
      </w:r>
      <w:r>
        <w:rPr>
          <w:rFonts w:asciiTheme="majorBidi" w:hAnsiTheme="majorBidi" w:cstheme="majorBidi"/>
          <w:sz w:val="20"/>
          <w:szCs w:val="20"/>
        </w:rPr>
        <w:t>owe</w:t>
      </w:r>
      <w:r w:rsidRPr="001B650D">
        <w:rPr>
          <w:rFonts w:asciiTheme="majorBidi" w:hAnsiTheme="majorBidi" w:cstheme="majorBidi"/>
          <w:sz w:val="20"/>
          <w:szCs w:val="20"/>
        </w:rPr>
        <w:t xml:space="preserve">, </w:t>
      </w:r>
      <w:r>
        <w:rPr>
          <w:rFonts w:asciiTheme="majorBidi" w:hAnsiTheme="majorBidi" w:cstheme="majorBidi"/>
          <w:sz w:val="20"/>
          <w:szCs w:val="20"/>
        </w:rPr>
        <w:t>Note 3</w:t>
      </w:r>
      <w:r w:rsidRPr="001B650D">
        <w:rPr>
          <w:rStyle w:val="st"/>
          <w:rFonts w:asciiTheme="majorBidi" w:hAnsiTheme="majorBidi" w:cstheme="majorBidi"/>
          <w:sz w:val="20"/>
          <w:szCs w:val="20"/>
        </w:rPr>
        <w:t>, PP422_423.</w:t>
      </w:r>
    </w:p>
  </w:footnote>
  <w:footnote w:id="44">
    <w:p w:rsidR="00EF4037" w:rsidRPr="00FA0ACF" w:rsidRDefault="00EF4037" w:rsidP="00EF4037">
      <w:pPr>
        <w:ind w:left="270"/>
        <w:jc w:val="both"/>
        <w:rPr>
          <w:rFonts w:asciiTheme="majorBidi" w:hAnsiTheme="majorBidi" w:cstheme="majorBidi"/>
          <w:sz w:val="20"/>
          <w:szCs w:val="20"/>
        </w:rPr>
      </w:pPr>
      <w:r w:rsidRPr="00FA0ACF">
        <w:rPr>
          <w:rStyle w:val="FootnoteReference"/>
          <w:rFonts w:asciiTheme="majorBidi" w:hAnsiTheme="majorBidi" w:cstheme="majorBidi"/>
        </w:rPr>
        <w:footnoteRef/>
      </w:r>
      <w:r w:rsidRPr="00FA0ACF">
        <w:rPr>
          <w:rFonts w:asciiTheme="majorBidi" w:hAnsiTheme="majorBidi" w:cstheme="majorBidi"/>
          <w:sz w:val="20"/>
          <w:szCs w:val="20"/>
        </w:rPr>
        <w:t xml:space="preserve"> . Hitoshi Nasu, Note 30, P3.</w:t>
      </w:r>
    </w:p>
  </w:footnote>
  <w:footnote w:id="45">
    <w:p w:rsidR="00EF4037" w:rsidRPr="005315D0" w:rsidRDefault="00EF4037" w:rsidP="00EF4037">
      <w:pPr>
        <w:ind w:left="270"/>
        <w:jc w:val="both"/>
        <w:rPr>
          <w:rFonts w:asciiTheme="majorBidi" w:hAnsiTheme="majorBidi" w:cstheme="majorBidi"/>
          <w:sz w:val="20"/>
          <w:szCs w:val="20"/>
        </w:rPr>
      </w:pPr>
      <w:r w:rsidRPr="005315D0">
        <w:rPr>
          <w:rStyle w:val="FootnoteReference"/>
          <w:rFonts w:asciiTheme="majorBidi" w:hAnsiTheme="majorBidi" w:cstheme="majorBidi"/>
        </w:rPr>
        <w:footnoteRef/>
      </w:r>
      <w:r w:rsidRPr="005315D0">
        <w:rPr>
          <w:rFonts w:asciiTheme="majorBidi" w:hAnsiTheme="majorBidi" w:cstheme="majorBidi"/>
          <w:sz w:val="20"/>
          <w:szCs w:val="20"/>
        </w:rPr>
        <w:t xml:space="preserve"> . General Assembly, GA/11137, Sixty-sixth General Assembly Plenary 2nd Meeting.</w:t>
      </w:r>
    </w:p>
  </w:footnote>
  <w:footnote w:id="46">
    <w:p w:rsidR="00EF4037" w:rsidRPr="005315D0" w:rsidRDefault="00EF4037" w:rsidP="00EF4037">
      <w:pPr>
        <w:ind w:left="270"/>
        <w:jc w:val="both"/>
        <w:rPr>
          <w:rFonts w:asciiTheme="majorBidi" w:hAnsiTheme="majorBidi" w:cstheme="majorBidi"/>
          <w:sz w:val="20"/>
          <w:szCs w:val="20"/>
        </w:rPr>
      </w:pPr>
      <w:r w:rsidRPr="005315D0">
        <w:rPr>
          <w:rStyle w:val="FootnoteReference"/>
          <w:rFonts w:asciiTheme="majorBidi" w:hAnsiTheme="majorBidi" w:cstheme="majorBidi"/>
        </w:rPr>
        <w:footnoteRef/>
      </w:r>
      <w:r w:rsidRPr="005315D0">
        <w:rPr>
          <w:rFonts w:asciiTheme="majorBidi" w:hAnsiTheme="majorBidi" w:cstheme="majorBidi"/>
          <w:sz w:val="20"/>
          <w:szCs w:val="20"/>
        </w:rPr>
        <w:t xml:space="preserve"> . Council conclusions on Libya, </w:t>
      </w:r>
      <w:r w:rsidRPr="005315D0">
        <w:rPr>
          <w:rFonts w:asciiTheme="majorBidi" w:hAnsiTheme="majorBidi" w:cstheme="majorBidi"/>
          <w:i/>
          <w:iCs/>
          <w:sz w:val="20"/>
          <w:szCs w:val="20"/>
        </w:rPr>
        <w:t>Note 15</w:t>
      </w:r>
      <w:r w:rsidRPr="005315D0">
        <w:rPr>
          <w:rFonts w:asciiTheme="majorBidi" w:hAnsiTheme="majorBidi" w:cstheme="majorBidi"/>
          <w:sz w:val="20"/>
          <w:szCs w:val="20"/>
        </w:rPr>
        <w:t>, P2.</w:t>
      </w:r>
    </w:p>
  </w:footnote>
  <w:footnote w:id="47">
    <w:p w:rsidR="00EF4037" w:rsidRPr="005315D0" w:rsidRDefault="00EF4037" w:rsidP="00EF4037">
      <w:pPr>
        <w:pStyle w:val="FootnoteText"/>
        <w:ind w:left="270"/>
        <w:jc w:val="both"/>
        <w:rPr>
          <w:rFonts w:asciiTheme="majorBidi" w:hAnsiTheme="majorBidi" w:cstheme="majorBidi"/>
          <w:i/>
          <w:iCs/>
        </w:rPr>
      </w:pPr>
      <w:r w:rsidRPr="005315D0">
        <w:rPr>
          <w:rStyle w:val="FootnoteReference"/>
          <w:rFonts w:asciiTheme="majorBidi" w:hAnsiTheme="majorBidi" w:cstheme="majorBidi"/>
        </w:rPr>
        <w:footnoteRef/>
      </w:r>
      <w:r w:rsidRPr="005315D0">
        <w:rPr>
          <w:rFonts w:asciiTheme="majorBidi" w:hAnsiTheme="majorBidi" w:cstheme="majorBidi"/>
        </w:rPr>
        <w:t xml:space="preserve"> . David D. Kirkpatrick &amp; Mona El-Naggar, </w:t>
      </w:r>
      <w:r w:rsidRPr="005315D0">
        <w:rPr>
          <w:rFonts w:asciiTheme="majorBidi" w:hAnsiTheme="majorBidi" w:cstheme="majorBidi"/>
          <w:i/>
          <w:iCs/>
        </w:rPr>
        <w:t xml:space="preserve">Qaddafi’s Grip Falters as His Forces Take On </w:t>
      </w:r>
    </w:p>
    <w:p w:rsidR="00EF4037" w:rsidRDefault="00EF4037" w:rsidP="00EF4037">
      <w:pPr>
        <w:pStyle w:val="FootnoteText"/>
        <w:ind w:left="270"/>
        <w:jc w:val="both"/>
        <w:rPr>
          <w:rFonts w:asciiTheme="majorBidi" w:hAnsiTheme="majorBidi" w:cstheme="majorBidi"/>
          <w:color w:val="FF0000"/>
        </w:rPr>
      </w:pPr>
      <w:r w:rsidRPr="005315D0">
        <w:rPr>
          <w:rFonts w:asciiTheme="majorBidi" w:hAnsiTheme="majorBidi" w:cstheme="majorBidi"/>
          <w:i/>
          <w:iCs/>
        </w:rPr>
        <w:t>Protestors</w:t>
      </w:r>
      <w:r w:rsidRPr="005315D0">
        <w:rPr>
          <w:rFonts w:asciiTheme="majorBidi" w:hAnsiTheme="majorBidi" w:cstheme="majorBidi"/>
        </w:rPr>
        <w:t>, N.Y.  TIMESFeb. 21, 2011</w:t>
      </w:r>
      <w:r w:rsidR="00DF6550" w:rsidRPr="005315D0">
        <w:rPr>
          <w:rFonts w:asciiTheme="majorBidi" w:hAnsiTheme="majorBidi" w:cstheme="majorBidi"/>
        </w:rPr>
        <w:t>, [</w:t>
      </w:r>
      <w:r w:rsidRPr="005315D0">
        <w:rPr>
          <w:rFonts w:asciiTheme="majorBidi" w:hAnsiTheme="majorBidi" w:cstheme="majorBidi"/>
        </w:rPr>
        <w:t xml:space="preserve">Online] Available from: </w:t>
      </w:r>
      <w:hyperlink r:id="rId6" w:history="1">
        <w:r w:rsidRPr="005315D0">
          <w:rPr>
            <w:rStyle w:val="Hyperlink"/>
            <w:rFonts w:asciiTheme="majorBidi" w:hAnsiTheme="majorBidi" w:cstheme="majorBidi"/>
            <w:color w:val="auto"/>
          </w:rPr>
          <w:t>Http://www.nytimes.com/2011/02/22/world/Africa/ (</w:t>
        </w:r>
        <w:r w:rsidR="00DF6550" w:rsidRPr="005315D0">
          <w:rPr>
            <w:rStyle w:val="Hyperlink"/>
            <w:rFonts w:asciiTheme="majorBidi" w:hAnsiTheme="majorBidi" w:cstheme="majorBidi"/>
            <w:color w:val="auto"/>
          </w:rPr>
          <w:t>retrieved</w:t>
        </w:r>
      </w:hyperlink>
      <w:r w:rsidRPr="005315D0">
        <w:rPr>
          <w:rFonts w:asciiTheme="majorBidi" w:hAnsiTheme="majorBidi" w:cstheme="majorBidi"/>
        </w:rPr>
        <w:t>: 2013).</w:t>
      </w:r>
      <w:r>
        <w:rPr>
          <w:rFonts w:asciiTheme="majorBidi" w:hAnsiTheme="majorBidi" w:cstheme="majorBidi"/>
          <w:color w:val="FF0000"/>
        </w:rPr>
        <w:t xml:space="preserve"> </w:t>
      </w:r>
    </w:p>
    <w:p w:rsidR="00EF4037" w:rsidRPr="001B650D" w:rsidRDefault="00EF4037" w:rsidP="00EF4037">
      <w:pPr>
        <w:pStyle w:val="FootnoteText"/>
        <w:ind w:left="270"/>
        <w:jc w:val="both"/>
        <w:rPr>
          <w:rFonts w:asciiTheme="majorBidi" w:hAnsiTheme="majorBidi" w:cstheme="majorBidi"/>
        </w:rPr>
      </w:pPr>
    </w:p>
  </w:footnote>
  <w:footnote w:id="48">
    <w:p w:rsidR="00EF4037" w:rsidRPr="003D7B63" w:rsidRDefault="00EF4037" w:rsidP="00EF4037">
      <w:pPr>
        <w:ind w:left="270"/>
        <w:jc w:val="both"/>
        <w:rPr>
          <w:rFonts w:asciiTheme="majorBidi" w:hAnsiTheme="majorBidi" w:cstheme="majorBidi"/>
          <w:color w:val="FF0000"/>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w:t>
      </w:r>
      <w:r w:rsidRPr="003D7B63">
        <w:rPr>
          <w:rFonts w:asciiTheme="majorBidi" w:hAnsiTheme="majorBidi" w:cstheme="majorBidi"/>
          <w:i/>
          <w:iCs/>
          <w:sz w:val="20"/>
          <w:szCs w:val="20"/>
        </w:rPr>
        <w:t>“Understanding armed groups and the applicable law, International Review of the Red Cross,”</w:t>
      </w:r>
      <w:r w:rsidRPr="001B650D">
        <w:rPr>
          <w:rFonts w:asciiTheme="majorBidi" w:hAnsiTheme="majorBidi" w:cstheme="majorBidi"/>
          <w:sz w:val="20"/>
          <w:szCs w:val="20"/>
        </w:rPr>
        <w:t xml:space="preserve"> Volume 93 June 2011, P468. </w:t>
      </w:r>
      <w:r>
        <w:rPr>
          <w:rFonts w:asciiTheme="majorBidi" w:hAnsiTheme="majorBidi" w:cstheme="majorBidi"/>
          <w:sz w:val="20"/>
          <w:szCs w:val="20"/>
        </w:rPr>
        <w:t xml:space="preserve">On the legal effect of unilateral acts of states and government please refer to </w:t>
      </w:r>
      <w:r w:rsidRPr="00FB01CA">
        <w:rPr>
          <w:rFonts w:asciiTheme="majorBidi" w:hAnsiTheme="majorBidi" w:cstheme="majorBidi"/>
          <w:sz w:val="20"/>
          <w:szCs w:val="20"/>
        </w:rPr>
        <w:t>Hosein Miri</w:t>
      </w:r>
      <w:r>
        <w:rPr>
          <w:rFonts w:asciiTheme="majorBidi" w:hAnsiTheme="majorBidi" w:cstheme="majorBidi"/>
          <w:sz w:val="20"/>
          <w:szCs w:val="20"/>
        </w:rPr>
        <w:t xml:space="preserve">, </w:t>
      </w:r>
      <w:r w:rsidRPr="005315D0">
        <w:rPr>
          <w:rFonts w:asciiTheme="majorBidi" w:hAnsiTheme="majorBidi" w:cstheme="majorBidi"/>
          <w:sz w:val="20"/>
          <w:szCs w:val="20"/>
        </w:rPr>
        <w:t xml:space="preserve">“The Authentication of Countries’ Unilateral Acts as a Source in International Law,” </w:t>
      </w:r>
      <w:r w:rsidRPr="005315D0">
        <w:rPr>
          <w:rFonts w:asciiTheme="majorBidi" w:hAnsiTheme="majorBidi" w:cstheme="majorBidi"/>
          <w:i/>
          <w:iCs/>
          <w:sz w:val="20"/>
          <w:szCs w:val="20"/>
        </w:rPr>
        <w:t>Journal of Basic and Applied Scientific Research</w:t>
      </w:r>
      <w:r w:rsidRPr="005315D0">
        <w:rPr>
          <w:rFonts w:asciiTheme="majorBidi" w:hAnsiTheme="majorBidi" w:cstheme="majorBidi"/>
          <w:sz w:val="20"/>
          <w:szCs w:val="20"/>
        </w:rPr>
        <w:t xml:space="preserve">, </w:t>
      </w:r>
      <w:r>
        <w:rPr>
          <w:rFonts w:asciiTheme="majorBidi" w:hAnsiTheme="majorBidi" w:cstheme="majorBidi"/>
          <w:sz w:val="20"/>
          <w:szCs w:val="20"/>
        </w:rPr>
        <w:t xml:space="preserve">2012, </w:t>
      </w:r>
      <w:r w:rsidRPr="005315D0">
        <w:rPr>
          <w:rFonts w:asciiTheme="majorBidi" w:hAnsiTheme="majorBidi" w:cstheme="majorBidi"/>
          <w:sz w:val="20"/>
          <w:szCs w:val="20"/>
        </w:rPr>
        <w:t>P7.</w:t>
      </w:r>
    </w:p>
  </w:footnote>
  <w:footnote w:id="49">
    <w:p w:rsidR="00EF4037" w:rsidRDefault="00EF4037" w:rsidP="00EF4037">
      <w:pPr>
        <w:pStyle w:val="FootnoteText"/>
        <w:ind w:left="270"/>
        <w:jc w:val="both"/>
        <w:rPr>
          <w:rFonts w:asciiTheme="majorBidi" w:hAnsiTheme="majorBidi" w:cstheme="majorBidi"/>
        </w:rPr>
      </w:pPr>
      <w:r w:rsidRPr="001B650D">
        <w:rPr>
          <w:rStyle w:val="FootnoteReference"/>
          <w:rFonts w:asciiTheme="majorBidi" w:hAnsiTheme="majorBidi" w:cstheme="majorBidi"/>
        </w:rPr>
        <w:footnoteRef/>
      </w:r>
      <w:r w:rsidRPr="001B650D">
        <w:rPr>
          <w:rFonts w:asciiTheme="majorBidi" w:hAnsiTheme="majorBidi" w:cstheme="majorBidi"/>
        </w:rPr>
        <w:t xml:space="preserve"> . The difference between obligation and responsibility is that obligations mandate the subjects of a legal system according to the related norms but when obligations are violated responsibility arises. In other words, there is no responsibility where there is no breach of law. </w:t>
      </w:r>
      <w:r w:rsidR="00DF6550" w:rsidRPr="001B650D">
        <w:rPr>
          <w:rFonts w:asciiTheme="majorBidi" w:hAnsiTheme="majorBidi" w:cstheme="majorBidi"/>
        </w:rPr>
        <w:t>But</w:t>
      </w:r>
      <w:r w:rsidRPr="001B650D">
        <w:rPr>
          <w:rFonts w:asciiTheme="majorBidi" w:hAnsiTheme="majorBidi" w:cstheme="majorBidi"/>
        </w:rPr>
        <w:t xml:space="preserve"> authors use these two expressions alternatively. </w:t>
      </w:r>
    </w:p>
    <w:p w:rsidR="00EF4037" w:rsidRPr="001B650D" w:rsidRDefault="00EF4037" w:rsidP="00EF4037">
      <w:pPr>
        <w:pStyle w:val="FootnoteText"/>
        <w:ind w:left="270"/>
        <w:jc w:val="both"/>
        <w:rPr>
          <w:rFonts w:asciiTheme="majorBidi" w:hAnsiTheme="majorBidi" w:cstheme="majorBidi"/>
        </w:rPr>
      </w:pPr>
    </w:p>
  </w:footnote>
  <w:footnote w:id="50">
    <w:p w:rsidR="00EF4037" w:rsidRDefault="00EF4037" w:rsidP="00EF4037">
      <w:pPr>
        <w:pStyle w:val="FootnoteText"/>
        <w:ind w:left="270"/>
        <w:jc w:val="both"/>
        <w:rPr>
          <w:rFonts w:asciiTheme="majorBidi" w:hAnsiTheme="majorBidi" w:cstheme="majorBidi"/>
          <w:i/>
          <w:iCs/>
        </w:rPr>
      </w:pPr>
      <w:r w:rsidRPr="001B650D">
        <w:rPr>
          <w:rStyle w:val="FootnoteReference"/>
          <w:rFonts w:asciiTheme="majorBidi" w:hAnsiTheme="majorBidi" w:cstheme="majorBidi"/>
        </w:rPr>
        <w:footnoteRef/>
      </w:r>
      <w:r w:rsidRPr="001B650D">
        <w:rPr>
          <w:rFonts w:asciiTheme="majorBidi" w:hAnsiTheme="majorBidi" w:cstheme="majorBidi"/>
        </w:rPr>
        <w:t xml:space="preserve"> . </w:t>
      </w:r>
      <w:r w:rsidRPr="00EF2059">
        <w:rPr>
          <w:rFonts w:asciiTheme="majorBidi" w:hAnsiTheme="majorBidi" w:cstheme="majorBidi"/>
          <w:i/>
          <w:iCs/>
        </w:rPr>
        <w:t>Note 49.</w:t>
      </w:r>
    </w:p>
    <w:p w:rsidR="00EF4037" w:rsidRPr="001B650D" w:rsidRDefault="00EF4037" w:rsidP="00EF4037">
      <w:pPr>
        <w:pStyle w:val="FootnoteText"/>
        <w:ind w:left="270"/>
        <w:jc w:val="both"/>
        <w:rPr>
          <w:rFonts w:asciiTheme="majorBidi" w:hAnsiTheme="majorBidi" w:cstheme="majorBidi"/>
        </w:rPr>
      </w:pPr>
    </w:p>
  </w:footnote>
  <w:footnote w:id="51">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Stefan Talmon, </w:t>
      </w:r>
      <w:r>
        <w:rPr>
          <w:rFonts w:asciiTheme="majorBidi" w:hAnsiTheme="majorBidi" w:cstheme="majorBidi"/>
          <w:sz w:val="20"/>
          <w:szCs w:val="20"/>
        </w:rPr>
        <w:t xml:space="preserve">Note </w:t>
      </w:r>
      <w:r w:rsidR="00DF6550">
        <w:rPr>
          <w:rFonts w:asciiTheme="majorBidi" w:hAnsiTheme="majorBidi" w:cstheme="majorBidi"/>
          <w:sz w:val="20"/>
          <w:szCs w:val="20"/>
        </w:rPr>
        <w:t>14, P2</w:t>
      </w:r>
      <w:r w:rsidRPr="001B650D">
        <w:rPr>
          <w:rStyle w:val="st"/>
          <w:rFonts w:asciiTheme="majorBidi" w:hAnsiTheme="majorBidi" w:cstheme="majorBidi"/>
          <w:sz w:val="20"/>
          <w:szCs w:val="20"/>
        </w:rPr>
        <w:t>.</w:t>
      </w:r>
    </w:p>
  </w:footnote>
  <w:footnote w:id="52">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Anyway Sithole, </w:t>
      </w:r>
      <w:r w:rsidRPr="00665F72">
        <w:rPr>
          <w:rFonts w:asciiTheme="majorBidi" w:hAnsiTheme="majorBidi" w:cstheme="majorBidi"/>
          <w:i/>
          <w:iCs/>
          <w:sz w:val="20"/>
          <w:szCs w:val="20"/>
        </w:rPr>
        <w:t>Note</w:t>
      </w:r>
      <w:r>
        <w:rPr>
          <w:rFonts w:asciiTheme="majorBidi" w:hAnsiTheme="majorBidi" w:cstheme="majorBidi"/>
          <w:i/>
          <w:iCs/>
          <w:sz w:val="20"/>
          <w:szCs w:val="20"/>
        </w:rPr>
        <w:t xml:space="preserve"> </w:t>
      </w:r>
      <w:r w:rsidRPr="00665F72">
        <w:rPr>
          <w:rFonts w:asciiTheme="majorBidi" w:hAnsiTheme="majorBidi" w:cstheme="majorBidi"/>
          <w:i/>
          <w:iCs/>
          <w:sz w:val="20"/>
          <w:szCs w:val="20"/>
        </w:rPr>
        <w:t>2</w:t>
      </w:r>
      <w:r w:rsidRPr="001B650D">
        <w:rPr>
          <w:rFonts w:asciiTheme="majorBidi" w:hAnsiTheme="majorBidi" w:cstheme="majorBidi"/>
          <w:sz w:val="20"/>
          <w:szCs w:val="20"/>
        </w:rPr>
        <w:t>, P123.</w:t>
      </w:r>
    </w:p>
  </w:footnote>
  <w:footnote w:id="53">
    <w:p w:rsidR="00EF4037" w:rsidRPr="001B650D" w:rsidRDefault="00EF4037" w:rsidP="00EF4037">
      <w:pPr>
        <w:ind w:left="270"/>
        <w:jc w:val="both"/>
        <w:rPr>
          <w:rFonts w:asciiTheme="majorBidi" w:hAnsiTheme="majorBidi" w:cstheme="majorBidi"/>
          <w:sz w:val="20"/>
          <w:szCs w:val="20"/>
        </w:rPr>
      </w:pPr>
      <w:r w:rsidRPr="005315D0">
        <w:rPr>
          <w:rStyle w:val="FootnoteReference"/>
          <w:rFonts w:asciiTheme="majorBidi" w:hAnsiTheme="majorBidi" w:cstheme="majorBidi"/>
        </w:rPr>
        <w:footnoteRef/>
      </w:r>
      <w:r w:rsidRPr="005315D0">
        <w:rPr>
          <w:rFonts w:asciiTheme="majorBidi" w:hAnsiTheme="majorBidi" w:cstheme="majorBidi"/>
          <w:sz w:val="20"/>
          <w:szCs w:val="20"/>
        </w:rPr>
        <w:t xml:space="preserve"> . Council conclusions on Libya, </w:t>
      </w:r>
      <w:r w:rsidRPr="005315D0">
        <w:rPr>
          <w:rFonts w:asciiTheme="majorBidi" w:hAnsiTheme="majorBidi" w:cstheme="majorBidi"/>
          <w:i/>
          <w:iCs/>
          <w:sz w:val="20"/>
          <w:szCs w:val="20"/>
        </w:rPr>
        <w:t>Note 15</w:t>
      </w:r>
      <w:r w:rsidRPr="005315D0">
        <w:rPr>
          <w:rFonts w:asciiTheme="majorBidi" w:hAnsiTheme="majorBidi" w:cstheme="majorBidi"/>
          <w:sz w:val="20"/>
          <w:szCs w:val="20"/>
        </w:rPr>
        <w:t>, P2.</w:t>
      </w:r>
      <w:r w:rsidRPr="003D7B63">
        <w:rPr>
          <w:rFonts w:asciiTheme="majorBidi" w:hAnsiTheme="majorBidi" w:cstheme="majorBidi"/>
          <w:color w:val="FF0000"/>
          <w:sz w:val="20"/>
          <w:szCs w:val="20"/>
        </w:rPr>
        <w:t xml:space="preserve"> </w:t>
      </w:r>
      <w:r w:rsidRPr="001B650D">
        <w:rPr>
          <w:rFonts w:asciiTheme="majorBidi" w:hAnsiTheme="majorBidi" w:cstheme="majorBidi"/>
          <w:sz w:val="20"/>
          <w:szCs w:val="20"/>
        </w:rPr>
        <w:t xml:space="preserve">The statement of “recognition as the legitimate representative of people” or “representative of aspirations of people” is an evidence that the authority is recognizing the armed group as rebels but not a “Government”. </w:t>
      </w:r>
    </w:p>
  </w:footnote>
  <w:footnote w:id="54">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w:t>
      </w:r>
      <w:r>
        <w:rPr>
          <w:rFonts w:asciiTheme="majorBidi" w:hAnsiTheme="majorBidi" w:cstheme="majorBidi"/>
          <w:sz w:val="20"/>
          <w:szCs w:val="20"/>
        </w:rPr>
        <w:t xml:space="preserve">. Patrick Dumberry, </w:t>
      </w:r>
      <w:r w:rsidRPr="003D7B63">
        <w:rPr>
          <w:rFonts w:asciiTheme="majorBidi" w:hAnsiTheme="majorBidi" w:cstheme="majorBidi"/>
          <w:sz w:val="20"/>
          <w:szCs w:val="20"/>
        </w:rPr>
        <w:t>“New State Responsibility for Internationally Wrongful Acts by an Insurrectional Movement,”</w:t>
      </w:r>
      <w:r w:rsidRPr="001B650D">
        <w:rPr>
          <w:rFonts w:asciiTheme="majorBidi" w:hAnsiTheme="majorBidi" w:cstheme="majorBidi"/>
          <w:sz w:val="20"/>
          <w:szCs w:val="20"/>
        </w:rPr>
        <w:t xml:space="preserve"> </w:t>
      </w:r>
      <w:r w:rsidRPr="003D7B63">
        <w:rPr>
          <w:rFonts w:asciiTheme="majorBidi" w:hAnsiTheme="majorBidi" w:cstheme="majorBidi"/>
          <w:i/>
          <w:iCs/>
          <w:sz w:val="20"/>
          <w:szCs w:val="20"/>
        </w:rPr>
        <w:t xml:space="preserve">The European Journal of International </w:t>
      </w:r>
      <w:r w:rsidR="00DF6550" w:rsidRPr="003D7B63">
        <w:rPr>
          <w:rFonts w:asciiTheme="majorBidi" w:hAnsiTheme="majorBidi" w:cstheme="majorBidi"/>
          <w:i/>
          <w:iCs/>
          <w:sz w:val="20"/>
          <w:szCs w:val="20"/>
        </w:rPr>
        <w:t>Law (</w:t>
      </w:r>
      <w:r w:rsidRPr="003D7B63">
        <w:rPr>
          <w:rFonts w:asciiTheme="majorBidi" w:hAnsiTheme="majorBidi" w:cstheme="majorBidi"/>
          <w:i/>
          <w:iCs/>
          <w:sz w:val="20"/>
          <w:szCs w:val="20"/>
        </w:rPr>
        <w:t>EJIL</w:t>
      </w:r>
      <w:r w:rsidRPr="001B650D">
        <w:rPr>
          <w:rFonts w:asciiTheme="majorBidi" w:hAnsiTheme="majorBidi" w:cstheme="majorBidi"/>
          <w:sz w:val="20"/>
          <w:szCs w:val="20"/>
        </w:rPr>
        <w:t xml:space="preserve">), Vol. </w:t>
      </w:r>
      <w:r w:rsidR="00DF6550" w:rsidRPr="001B650D">
        <w:rPr>
          <w:rFonts w:asciiTheme="majorBidi" w:hAnsiTheme="majorBidi" w:cstheme="majorBidi"/>
          <w:sz w:val="20"/>
          <w:szCs w:val="20"/>
        </w:rPr>
        <w:t>17,</w:t>
      </w:r>
      <w:r w:rsidRPr="001B650D">
        <w:rPr>
          <w:rFonts w:asciiTheme="majorBidi" w:hAnsiTheme="majorBidi" w:cstheme="majorBidi"/>
          <w:sz w:val="20"/>
          <w:szCs w:val="20"/>
        </w:rPr>
        <w:t xml:space="preserve"> No.3, 2006</w:t>
      </w:r>
      <w:r w:rsidR="00DF6550" w:rsidRPr="001B650D">
        <w:rPr>
          <w:rFonts w:asciiTheme="majorBidi" w:hAnsiTheme="majorBidi" w:cstheme="majorBidi"/>
          <w:sz w:val="20"/>
          <w:szCs w:val="20"/>
        </w:rPr>
        <w:t>,</w:t>
      </w:r>
      <w:r w:rsidR="00DF6550">
        <w:rPr>
          <w:rStyle w:val="Emphasis"/>
          <w:rFonts w:asciiTheme="majorBidi" w:hAnsiTheme="majorBidi" w:cstheme="majorBidi"/>
          <w:sz w:val="20"/>
          <w:szCs w:val="20"/>
        </w:rPr>
        <w:t xml:space="preserve"> </w:t>
      </w:r>
      <w:r w:rsidR="00DF6550" w:rsidRPr="001B650D">
        <w:rPr>
          <w:rFonts w:asciiTheme="majorBidi" w:hAnsiTheme="majorBidi" w:cstheme="majorBidi"/>
          <w:sz w:val="20"/>
          <w:szCs w:val="20"/>
        </w:rPr>
        <w:t>P310</w:t>
      </w:r>
      <w:r w:rsidRPr="001B650D">
        <w:rPr>
          <w:rFonts w:asciiTheme="majorBidi" w:hAnsiTheme="majorBidi" w:cstheme="majorBidi"/>
          <w:sz w:val="20"/>
          <w:szCs w:val="20"/>
        </w:rPr>
        <w:t>.</w:t>
      </w:r>
    </w:p>
  </w:footnote>
  <w:footnote w:id="55">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Z</w:t>
      </w:r>
      <w:r>
        <w:rPr>
          <w:rFonts w:asciiTheme="majorBidi" w:hAnsiTheme="majorBidi" w:cstheme="majorBidi"/>
          <w:sz w:val="20"/>
          <w:szCs w:val="20"/>
        </w:rPr>
        <w:t>oe</w:t>
      </w:r>
      <w:r w:rsidRPr="001B650D">
        <w:rPr>
          <w:rFonts w:asciiTheme="majorBidi" w:hAnsiTheme="majorBidi" w:cstheme="majorBidi"/>
          <w:sz w:val="20"/>
          <w:szCs w:val="20"/>
        </w:rPr>
        <w:t xml:space="preserve"> H</w:t>
      </w:r>
      <w:r>
        <w:rPr>
          <w:rFonts w:asciiTheme="majorBidi" w:hAnsiTheme="majorBidi" w:cstheme="majorBidi"/>
          <w:sz w:val="20"/>
          <w:szCs w:val="20"/>
        </w:rPr>
        <w:t>owe</w:t>
      </w:r>
      <w:r w:rsidRPr="001B650D">
        <w:rPr>
          <w:rFonts w:asciiTheme="majorBidi" w:hAnsiTheme="majorBidi" w:cstheme="majorBidi"/>
          <w:sz w:val="20"/>
          <w:szCs w:val="20"/>
        </w:rPr>
        <w:t xml:space="preserve">, </w:t>
      </w:r>
      <w:r w:rsidRPr="00AC00C1">
        <w:rPr>
          <w:rFonts w:asciiTheme="majorBidi" w:hAnsiTheme="majorBidi" w:cstheme="majorBidi"/>
          <w:i/>
          <w:iCs/>
          <w:sz w:val="20"/>
          <w:szCs w:val="20"/>
        </w:rPr>
        <w:t>Note 3</w:t>
      </w:r>
      <w:r w:rsidRPr="001B650D">
        <w:rPr>
          <w:rStyle w:val="st"/>
          <w:rFonts w:asciiTheme="majorBidi" w:hAnsiTheme="majorBidi" w:cstheme="majorBidi"/>
          <w:sz w:val="20"/>
          <w:szCs w:val="20"/>
        </w:rPr>
        <w:t>, PP421-423.</w:t>
      </w:r>
    </w:p>
  </w:footnote>
  <w:footnote w:id="56">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Rudiger Wolfr</w:t>
      </w:r>
      <w:r>
        <w:rPr>
          <w:rFonts w:asciiTheme="majorBidi" w:hAnsiTheme="majorBidi" w:cstheme="majorBidi"/>
          <w:sz w:val="20"/>
          <w:szCs w:val="20"/>
        </w:rPr>
        <w:t xml:space="preserve">um and Christiane  E. Philipp, </w:t>
      </w:r>
      <w:r w:rsidRPr="00EF2059">
        <w:rPr>
          <w:rFonts w:asciiTheme="majorBidi" w:hAnsiTheme="majorBidi" w:cstheme="majorBidi"/>
          <w:i/>
          <w:iCs/>
          <w:sz w:val="20"/>
          <w:szCs w:val="20"/>
        </w:rPr>
        <w:t>The Status of the Taliban: Their Obligations and Rights Under International Law</w:t>
      </w:r>
      <w:r w:rsidRPr="001B650D">
        <w:rPr>
          <w:rFonts w:asciiTheme="majorBidi" w:hAnsiTheme="majorBidi" w:cstheme="majorBidi"/>
          <w:sz w:val="20"/>
          <w:szCs w:val="20"/>
        </w:rPr>
        <w:t>, Max Plank Yearbook of United Nations Law, Volume 6, 2002</w:t>
      </w:r>
      <w:r w:rsidRPr="001B650D">
        <w:rPr>
          <w:rFonts w:asciiTheme="majorBidi" w:hAnsiTheme="majorBidi" w:cstheme="majorBidi"/>
          <w:i/>
          <w:iCs/>
          <w:sz w:val="20"/>
          <w:szCs w:val="20"/>
        </w:rPr>
        <w:t>,</w:t>
      </w:r>
      <w:r w:rsidRPr="001B650D">
        <w:rPr>
          <w:rStyle w:val="Emphasis"/>
          <w:rFonts w:asciiTheme="majorBidi" w:hAnsiTheme="majorBidi" w:cstheme="majorBidi"/>
          <w:sz w:val="20"/>
          <w:szCs w:val="20"/>
        </w:rPr>
        <w:t xml:space="preserve"> ISSN</w:t>
      </w:r>
      <w:r w:rsidRPr="001B650D">
        <w:rPr>
          <w:rStyle w:val="st"/>
          <w:rFonts w:asciiTheme="majorBidi" w:hAnsiTheme="majorBidi" w:cstheme="majorBidi"/>
          <w:i/>
          <w:iCs/>
          <w:sz w:val="20"/>
          <w:szCs w:val="20"/>
        </w:rPr>
        <w:t>:</w:t>
      </w:r>
      <w:r w:rsidRPr="001B650D">
        <w:rPr>
          <w:rStyle w:val="st"/>
          <w:rFonts w:asciiTheme="majorBidi" w:hAnsiTheme="majorBidi" w:cstheme="majorBidi"/>
          <w:sz w:val="20"/>
          <w:szCs w:val="20"/>
        </w:rPr>
        <w:t xml:space="preserve"> 1389-4633,</w:t>
      </w:r>
      <w:r w:rsidRPr="001B650D">
        <w:rPr>
          <w:rFonts w:asciiTheme="majorBidi" w:hAnsiTheme="majorBidi" w:cstheme="majorBidi"/>
          <w:sz w:val="20"/>
          <w:szCs w:val="20"/>
        </w:rPr>
        <w:t xml:space="preserve"> P580.</w:t>
      </w:r>
    </w:p>
  </w:footnote>
  <w:footnote w:id="57">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Stefan Talmon, </w:t>
      </w:r>
      <w:r w:rsidRPr="009B0253">
        <w:rPr>
          <w:rFonts w:asciiTheme="majorBidi" w:hAnsiTheme="majorBidi" w:cstheme="majorBidi"/>
          <w:i/>
          <w:iCs/>
          <w:sz w:val="20"/>
          <w:szCs w:val="20"/>
        </w:rPr>
        <w:t xml:space="preserve">Note </w:t>
      </w:r>
      <w:r w:rsidR="00DF6550" w:rsidRPr="009B0253">
        <w:rPr>
          <w:rFonts w:asciiTheme="majorBidi" w:hAnsiTheme="majorBidi" w:cstheme="majorBidi"/>
          <w:i/>
          <w:iCs/>
          <w:sz w:val="20"/>
          <w:szCs w:val="20"/>
        </w:rPr>
        <w:t>14</w:t>
      </w:r>
      <w:r w:rsidR="00DF6550">
        <w:rPr>
          <w:rFonts w:asciiTheme="majorBidi" w:hAnsiTheme="majorBidi" w:cstheme="majorBidi"/>
          <w:sz w:val="20"/>
          <w:szCs w:val="20"/>
        </w:rPr>
        <w:t>, PP4</w:t>
      </w:r>
      <w:r>
        <w:rPr>
          <w:rStyle w:val="st"/>
          <w:rFonts w:asciiTheme="majorBidi" w:hAnsiTheme="majorBidi" w:cstheme="majorBidi"/>
          <w:sz w:val="20"/>
          <w:szCs w:val="20"/>
        </w:rPr>
        <w:t>-</w:t>
      </w:r>
      <w:r w:rsidRPr="001B650D">
        <w:rPr>
          <w:rStyle w:val="st"/>
          <w:rFonts w:asciiTheme="majorBidi" w:hAnsiTheme="majorBidi" w:cstheme="majorBidi"/>
          <w:sz w:val="20"/>
          <w:szCs w:val="20"/>
        </w:rPr>
        <w:t>5.</w:t>
      </w:r>
    </w:p>
  </w:footnote>
  <w:footnote w:id="58">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w:t>
      </w:r>
      <w:r>
        <w:rPr>
          <w:rFonts w:asciiTheme="majorBidi" w:hAnsiTheme="majorBidi" w:cstheme="majorBidi"/>
          <w:sz w:val="20"/>
          <w:szCs w:val="20"/>
        </w:rPr>
        <w:t xml:space="preserve">Note 58. </w:t>
      </w:r>
    </w:p>
  </w:footnote>
  <w:footnote w:id="59">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Jonte van Essen, </w:t>
      </w:r>
      <w:r w:rsidRPr="00E865DE">
        <w:rPr>
          <w:rFonts w:asciiTheme="majorBidi" w:hAnsiTheme="majorBidi" w:cstheme="majorBidi"/>
          <w:i/>
          <w:iCs/>
          <w:sz w:val="20"/>
          <w:szCs w:val="20"/>
        </w:rPr>
        <w:t>Note 6</w:t>
      </w:r>
      <w:r w:rsidRPr="001B650D">
        <w:rPr>
          <w:rFonts w:asciiTheme="majorBidi" w:hAnsiTheme="majorBidi" w:cstheme="majorBidi"/>
          <w:sz w:val="20"/>
          <w:szCs w:val="20"/>
        </w:rPr>
        <w:t>, P42.</w:t>
      </w:r>
    </w:p>
  </w:footnote>
  <w:footnote w:id="60">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Emily O’Brien and Andrew Sinclair, </w:t>
      </w:r>
      <w:r w:rsidRPr="00E865DE">
        <w:rPr>
          <w:rFonts w:asciiTheme="majorBidi" w:hAnsiTheme="majorBidi" w:cstheme="majorBidi"/>
          <w:i/>
          <w:iCs/>
          <w:sz w:val="20"/>
          <w:szCs w:val="20"/>
        </w:rPr>
        <w:t>Note 6</w:t>
      </w:r>
      <w:r w:rsidRPr="001B650D">
        <w:rPr>
          <w:rFonts w:asciiTheme="majorBidi" w:hAnsiTheme="majorBidi" w:cstheme="majorBidi"/>
          <w:sz w:val="20"/>
          <w:szCs w:val="20"/>
        </w:rPr>
        <w:t>, p18.</w:t>
      </w:r>
    </w:p>
  </w:footnote>
  <w:footnote w:id="61">
    <w:p w:rsidR="00EF4037" w:rsidRPr="005315D0" w:rsidRDefault="00EF4037" w:rsidP="00EF4037">
      <w:pPr>
        <w:ind w:left="270"/>
        <w:jc w:val="both"/>
        <w:rPr>
          <w:rFonts w:asciiTheme="majorBidi" w:hAnsiTheme="majorBidi" w:cstheme="majorBidi"/>
          <w:sz w:val="20"/>
          <w:szCs w:val="20"/>
        </w:rPr>
      </w:pPr>
      <w:r w:rsidRPr="005315D0">
        <w:rPr>
          <w:rStyle w:val="FootnoteReference"/>
          <w:rFonts w:asciiTheme="majorBidi" w:hAnsiTheme="majorBidi" w:cstheme="majorBidi"/>
        </w:rPr>
        <w:footnoteRef/>
      </w:r>
      <w:r w:rsidRPr="005315D0">
        <w:rPr>
          <w:rFonts w:asciiTheme="majorBidi" w:hAnsiTheme="majorBidi" w:cstheme="majorBidi"/>
          <w:sz w:val="20"/>
          <w:szCs w:val="20"/>
        </w:rPr>
        <w:t xml:space="preserve"> . Emily O’Brien and Andrew Sinclair, </w:t>
      </w:r>
      <w:r w:rsidRPr="005315D0">
        <w:rPr>
          <w:rFonts w:asciiTheme="majorBidi" w:hAnsiTheme="majorBidi" w:cstheme="majorBidi"/>
          <w:i/>
          <w:iCs/>
          <w:sz w:val="20"/>
          <w:szCs w:val="20"/>
        </w:rPr>
        <w:t xml:space="preserve">Note </w:t>
      </w:r>
      <w:r w:rsidR="00DF6550" w:rsidRPr="005315D0">
        <w:rPr>
          <w:rFonts w:asciiTheme="majorBidi" w:hAnsiTheme="majorBidi" w:cstheme="majorBidi"/>
          <w:i/>
          <w:iCs/>
          <w:sz w:val="20"/>
          <w:szCs w:val="20"/>
        </w:rPr>
        <w:t>6</w:t>
      </w:r>
      <w:r w:rsidR="00DF6550" w:rsidRPr="005315D0">
        <w:rPr>
          <w:rFonts w:asciiTheme="majorBidi" w:hAnsiTheme="majorBidi" w:cstheme="majorBidi"/>
          <w:sz w:val="20"/>
          <w:szCs w:val="20"/>
        </w:rPr>
        <w:t>, P17</w:t>
      </w:r>
      <w:r w:rsidRPr="005315D0">
        <w:rPr>
          <w:rFonts w:asciiTheme="majorBidi" w:hAnsiTheme="majorBidi" w:cstheme="majorBidi"/>
          <w:sz w:val="20"/>
          <w:szCs w:val="20"/>
        </w:rPr>
        <w:t>.</w:t>
      </w:r>
    </w:p>
  </w:footnote>
  <w:footnote w:id="62">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EU support to the Libyan ,National Gener</w:t>
      </w:r>
      <w:r w:rsidR="00DF6550">
        <w:rPr>
          <w:rFonts w:asciiTheme="majorBidi" w:hAnsiTheme="majorBidi" w:cstheme="majorBidi"/>
          <w:sz w:val="20"/>
          <w:szCs w:val="20"/>
        </w:rPr>
        <w:t>al Congress: induction program</w:t>
      </w:r>
      <w:r w:rsidRPr="001B650D">
        <w:rPr>
          <w:rFonts w:asciiTheme="majorBidi" w:hAnsiTheme="majorBidi" w:cstheme="majorBidi"/>
          <w:sz w:val="20"/>
          <w:szCs w:val="20"/>
        </w:rPr>
        <w:t xml:space="preserve"> to the benefit of the 200 newly elected members started in Tripoli on 7 ,November 2012, European Union, A 498/12, </w:t>
      </w:r>
      <w:r w:rsidRPr="005315D0">
        <w:rPr>
          <w:rFonts w:asciiTheme="majorBidi" w:hAnsiTheme="majorBidi" w:cstheme="majorBidi"/>
          <w:sz w:val="20"/>
          <w:szCs w:val="20"/>
        </w:rPr>
        <w:t xml:space="preserve">[Online] Available from: </w:t>
      </w:r>
      <w:hyperlink r:id="rId7" w:history="1">
        <w:r w:rsidRPr="005315D0">
          <w:rPr>
            <w:rStyle w:val="Hyperlink"/>
            <w:rFonts w:asciiTheme="majorBidi" w:hAnsiTheme="majorBidi" w:cstheme="majorBidi"/>
            <w:color w:val="auto"/>
            <w:sz w:val="20"/>
            <w:szCs w:val="20"/>
          </w:rPr>
          <w:t>http://www.eeas.europa.eu/</w:t>
        </w:r>
      </w:hyperlink>
      <w:r w:rsidRPr="005315D0">
        <w:rPr>
          <w:rFonts w:asciiTheme="majorBidi" w:hAnsiTheme="majorBidi" w:cstheme="majorBidi"/>
          <w:sz w:val="20"/>
          <w:szCs w:val="20"/>
        </w:rPr>
        <w:t xml:space="preserve"> (</w:t>
      </w:r>
      <w:r w:rsidR="00DF6550" w:rsidRPr="005315D0">
        <w:rPr>
          <w:rFonts w:asciiTheme="majorBidi" w:hAnsiTheme="majorBidi" w:cstheme="majorBidi"/>
          <w:sz w:val="20"/>
          <w:szCs w:val="20"/>
        </w:rPr>
        <w:t>retrieved</w:t>
      </w:r>
      <w:r w:rsidRPr="005315D0">
        <w:rPr>
          <w:rFonts w:asciiTheme="majorBidi" w:hAnsiTheme="majorBidi" w:cstheme="majorBidi"/>
          <w:sz w:val="20"/>
          <w:szCs w:val="20"/>
        </w:rPr>
        <w:t>: 2013).</w:t>
      </w:r>
    </w:p>
  </w:footnote>
  <w:footnote w:id="63">
    <w:p w:rsidR="00EF4037" w:rsidRPr="005315D0" w:rsidRDefault="00EF4037" w:rsidP="00EF4037">
      <w:pPr>
        <w:ind w:left="270"/>
        <w:jc w:val="both"/>
        <w:rPr>
          <w:rFonts w:asciiTheme="majorBidi" w:hAnsiTheme="majorBidi" w:cstheme="majorBidi"/>
          <w:sz w:val="20"/>
          <w:szCs w:val="20"/>
        </w:rPr>
      </w:pPr>
      <w:r w:rsidRPr="005315D0">
        <w:rPr>
          <w:rStyle w:val="FootnoteReference"/>
          <w:rFonts w:asciiTheme="majorBidi" w:hAnsiTheme="majorBidi" w:cstheme="majorBidi"/>
        </w:rPr>
        <w:footnoteRef/>
      </w:r>
      <w:r w:rsidRPr="005315D0">
        <w:rPr>
          <w:rFonts w:asciiTheme="majorBidi" w:hAnsiTheme="majorBidi" w:cstheme="majorBidi"/>
          <w:sz w:val="20"/>
          <w:szCs w:val="20"/>
        </w:rPr>
        <w:t xml:space="preserve"> . Report of the Secretary-General on the United Nations Support Mission in Libya, Security Council, S/2012/129, 1 March 2012.</w:t>
      </w:r>
    </w:p>
  </w:footnote>
  <w:footnote w:id="64">
    <w:p w:rsidR="00EF4037" w:rsidRPr="005315D0" w:rsidRDefault="00EF4037" w:rsidP="00EF4037">
      <w:pPr>
        <w:ind w:left="270"/>
        <w:jc w:val="both"/>
        <w:rPr>
          <w:rFonts w:asciiTheme="majorBidi" w:hAnsiTheme="majorBidi" w:cstheme="majorBidi"/>
          <w:sz w:val="20"/>
          <w:szCs w:val="20"/>
        </w:rPr>
      </w:pPr>
      <w:r w:rsidRPr="005315D0">
        <w:rPr>
          <w:rStyle w:val="FootnoteReference"/>
          <w:rFonts w:asciiTheme="majorBidi" w:hAnsiTheme="majorBidi" w:cstheme="majorBidi"/>
        </w:rPr>
        <w:footnoteRef/>
      </w:r>
      <w:r w:rsidRPr="005315D0">
        <w:rPr>
          <w:rFonts w:asciiTheme="majorBidi" w:hAnsiTheme="majorBidi" w:cstheme="majorBidi"/>
          <w:sz w:val="20"/>
          <w:szCs w:val="20"/>
        </w:rPr>
        <w:t xml:space="preserve"> . Herbert Smith, </w:t>
      </w:r>
      <w:r w:rsidRPr="005315D0">
        <w:rPr>
          <w:rFonts w:asciiTheme="majorBidi" w:hAnsiTheme="majorBidi" w:cstheme="majorBidi"/>
          <w:i/>
          <w:iCs/>
          <w:sz w:val="20"/>
          <w:szCs w:val="20"/>
        </w:rPr>
        <w:t>Libya Update</w:t>
      </w:r>
      <w:r w:rsidRPr="005315D0">
        <w:rPr>
          <w:rFonts w:asciiTheme="majorBidi" w:hAnsiTheme="majorBidi" w:cstheme="majorBidi"/>
          <w:sz w:val="20"/>
          <w:szCs w:val="20"/>
        </w:rPr>
        <w:t>, Japan dispute avoidance newsletter, number 110, November 2011.</w:t>
      </w:r>
    </w:p>
  </w:footnote>
  <w:footnote w:id="65">
    <w:p w:rsidR="00EF4037" w:rsidRPr="00FA0ACF" w:rsidRDefault="00EF4037" w:rsidP="00EF4037">
      <w:pPr>
        <w:ind w:left="270"/>
        <w:jc w:val="both"/>
        <w:rPr>
          <w:rFonts w:asciiTheme="majorBidi" w:hAnsiTheme="majorBidi" w:cstheme="majorBidi"/>
          <w:sz w:val="20"/>
          <w:szCs w:val="20"/>
        </w:rPr>
      </w:pPr>
      <w:r w:rsidRPr="00FA0ACF">
        <w:rPr>
          <w:rStyle w:val="FootnoteReference"/>
          <w:rFonts w:asciiTheme="majorBidi" w:hAnsiTheme="majorBidi" w:cstheme="majorBidi"/>
        </w:rPr>
        <w:footnoteRef/>
      </w:r>
      <w:r w:rsidRPr="00FA0ACF">
        <w:rPr>
          <w:rFonts w:asciiTheme="majorBidi" w:hAnsiTheme="majorBidi" w:cstheme="majorBidi"/>
          <w:sz w:val="20"/>
          <w:szCs w:val="20"/>
        </w:rPr>
        <w:t xml:space="preserve"> . Hitoshi Nasu, Norte 30, P19.</w:t>
      </w:r>
    </w:p>
  </w:footnote>
  <w:footnote w:id="66">
    <w:p w:rsidR="00EF4037" w:rsidRPr="005315D0" w:rsidRDefault="00EF4037" w:rsidP="00EF4037">
      <w:pPr>
        <w:ind w:left="270"/>
        <w:jc w:val="both"/>
        <w:rPr>
          <w:rFonts w:asciiTheme="majorBidi" w:hAnsiTheme="majorBidi" w:cstheme="majorBidi"/>
          <w:sz w:val="20"/>
          <w:szCs w:val="20"/>
        </w:rPr>
      </w:pPr>
      <w:r w:rsidRPr="005315D0">
        <w:rPr>
          <w:rStyle w:val="FootnoteReference"/>
          <w:rFonts w:asciiTheme="majorBidi" w:hAnsiTheme="majorBidi" w:cstheme="majorBidi"/>
        </w:rPr>
        <w:footnoteRef/>
      </w:r>
      <w:r w:rsidRPr="005315D0">
        <w:rPr>
          <w:rFonts w:asciiTheme="majorBidi" w:hAnsiTheme="majorBidi" w:cstheme="majorBidi"/>
          <w:sz w:val="20"/>
          <w:szCs w:val="20"/>
        </w:rPr>
        <w:t xml:space="preserve"> . Hitoshi Nasu, Norte 30, P19.</w:t>
      </w:r>
    </w:p>
  </w:footnote>
  <w:footnote w:id="67">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Rudiger Wolfrum and </w:t>
      </w:r>
      <w:r w:rsidR="00DF6550" w:rsidRPr="001B650D">
        <w:rPr>
          <w:rFonts w:asciiTheme="majorBidi" w:hAnsiTheme="majorBidi" w:cstheme="majorBidi"/>
          <w:sz w:val="20"/>
          <w:szCs w:val="20"/>
        </w:rPr>
        <w:t>Christiane E</w:t>
      </w:r>
      <w:r w:rsidRPr="001B650D">
        <w:rPr>
          <w:rFonts w:asciiTheme="majorBidi" w:hAnsiTheme="majorBidi" w:cstheme="majorBidi"/>
          <w:sz w:val="20"/>
          <w:szCs w:val="20"/>
        </w:rPr>
        <w:t xml:space="preserve">. Philipp, </w:t>
      </w:r>
      <w:r w:rsidRPr="003D7B63">
        <w:rPr>
          <w:rFonts w:asciiTheme="majorBidi" w:hAnsiTheme="majorBidi" w:cstheme="majorBidi"/>
          <w:i/>
          <w:iCs/>
          <w:sz w:val="20"/>
          <w:szCs w:val="20"/>
        </w:rPr>
        <w:t>Note</w:t>
      </w:r>
      <w:r>
        <w:rPr>
          <w:rFonts w:asciiTheme="majorBidi" w:hAnsiTheme="majorBidi" w:cstheme="majorBidi"/>
          <w:i/>
          <w:iCs/>
          <w:sz w:val="20"/>
          <w:szCs w:val="20"/>
        </w:rPr>
        <w:t xml:space="preserve"> </w:t>
      </w:r>
      <w:r w:rsidRPr="003D7B63">
        <w:rPr>
          <w:rFonts w:asciiTheme="majorBidi" w:hAnsiTheme="majorBidi" w:cstheme="majorBidi"/>
          <w:i/>
          <w:iCs/>
          <w:sz w:val="20"/>
          <w:szCs w:val="20"/>
        </w:rPr>
        <w:t>56</w:t>
      </w:r>
      <w:r w:rsidRPr="001B650D">
        <w:rPr>
          <w:rStyle w:val="st"/>
          <w:rFonts w:asciiTheme="majorBidi" w:hAnsiTheme="majorBidi" w:cstheme="majorBidi"/>
          <w:sz w:val="20"/>
          <w:szCs w:val="20"/>
        </w:rPr>
        <w:t>,</w:t>
      </w:r>
      <w:r w:rsidRPr="001B650D">
        <w:rPr>
          <w:rFonts w:asciiTheme="majorBidi" w:hAnsiTheme="majorBidi" w:cstheme="majorBidi"/>
          <w:sz w:val="20"/>
          <w:szCs w:val="20"/>
        </w:rPr>
        <w:t xml:space="preserve"> P580.</w:t>
      </w:r>
    </w:p>
  </w:footnote>
  <w:footnote w:id="68">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w:t>
      </w:r>
      <w:r w:rsidRPr="001B650D">
        <w:rPr>
          <w:rStyle w:val="st"/>
          <w:rFonts w:asciiTheme="majorBidi" w:hAnsiTheme="majorBidi" w:cstheme="majorBidi"/>
          <w:sz w:val="20"/>
          <w:szCs w:val="20"/>
        </w:rPr>
        <w:t xml:space="preserve">Arturo Varvelli, </w:t>
      </w:r>
      <w:r w:rsidRPr="003D7B63">
        <w:rPr>
          <w:rStyle w:val="st"/>
          <w:rFonts w:asciiTheme="majorBidi" w:hAnsiTheme="majorBidi" w:cstheme="majorBidi"/>
          <w:sz w:val="20"/>
          <w:szCs w:val="20"/>
        </w:rPr>
        <w:t>“Italy and new Libya between continuity and change,”</w:t>
      </w:r>
      <w:r w:rsidRPr="001B650D">
        <w:rPr>
          <w:rStyle w:val="st"/>
          <w:rFonts w:asciiTheme="majorBidi" w:hAnsiTheme="majorBidi" w:cstheme="majorBidi"/>
          <w:sz w:val="20"/>
          <w:szCs w:val="20"/>
        </w:rPr>
        <w:t xml:space="preserve"> </w:t>
      </w:r>
      <w:r w:rsidRPr="003D7B63">
        <w:rPr>
          <w:rStyle w:val="st"/>
          <w:rFonts w:asciiTheme="majorBidi" w:hAnsiTheme="majorBidi" w:cstheme="majorBidi"/>
          <w:i/>
          <w:iCs/>
          <w:sz w:val="20"/>
          <w:szCs w:val="20"/>
        </w:rPr>
        <w:t>ISPI</w:t>
      </w:r>
      <w:r w:rsidRPr="001B650D">
        <w:rPr>
          <w:rStyle w:val="st"/>
          <w:rFonts w:asciiTheme="majorBidi" w:hAnsiTheme="majorBidi" w:cstheme="majorBidi"/>
          <w:sz w:val="20"/>
          <w:szCs w:val="20"/>
        </w:rPr>
        <w:t>, No. 219 - J</w:t>
      </w:r>
      <w:r>
        <w:rPr>
          <w:rStyle w:val="st"/>
          <w:rFonts w:asciiTheme="majorBidi" w:hAnsiTheme="majorBidi" w:cstheme="majorBidi"/>
          <w:sz w:val="20"/>
          <w:szCs w:val="20"/>
        </w:rPr>
        <w:t>une</w:t>
      </w:r>
      <w:r w:rsidRPr="001B650D">
        <w:rPr>
          <w:rStyle w:val="st"/>
          <w:rFonts w:asciiTheme="majorBidi" w:hAnsiTheme="majorBidi" w:cstheme="majorBidi"/>
          <w:sz w:val="20"/>
          <w:szCs w:val="20"/>
        </w:rPr>
        <w:t xml:space="preserve"> 2012, P4.</w:t>
      </w:r>
    </w:p>
  </w:footnote>
  <w:footnote w:id="69">
    <w:p w:rsidR="00EF4037" w:rsidRPr="005315D0" w:rsidRDefault="00EF4037" w:rsidP="00EF4037">
      <w:pPr>
        <w:ind w:left="270"/>
        <w:jc w:val="both"/>
        <w:rPr>
          <w:rFonts w:asciiTheme="majorBidi" w:hAnsiTheme="majorBidi" w:cstheme="majorBidi"/>
          <w:sz w:val="20"/>
          <w:szCs w:val="20"/>
        </w:rPr>
      </w:pPr>
      <w:r w:rsidRPr="005315D0">
        <w:rPr>
          <w:rStyle w:val="FootnoteReference"/>
          <w:rFonts w:asciiTheme="majorBidi" w:hAnsiTheme="majorBidi" w:cstheme="majorBidi"/>
        </w:rPr>
        <w:footnoteRef/>
      </w:r>
      <w:r w:rsidRPr="005315D0">
        <w:rPr>
          <w:rFonts w:asciiTheme="majorBidi" w:hAnsiTheme="majorBidi" w:cstheme="majorBidi"/>
          <w:sz w:val="20"/>
          <w:szCs w:val="20"/>
        </w:rPr>
        <w:t xml:space="preserve"> . Julian Lindley-French, “Libya the Transition Clock,” </w:t>
      </w:r>
      <w:r w:rsidRPr="005315D0">
        <w:rPr>
          <w:rFonts w:asciiTheme="majorBidi" w:hAnsiTheme="majorBidi" w:cstheme="majorBidi"/>
          <w:i/>
          <w:iCs/>
          <w:sz w:val="20"/>
          <w:szCs w:val="20"/>
        </w:rPr>
        <w:t>PRISM</w:t>
      </w:r>
      <w:r w:rsidRPr="005315D0">
        <w:rPr>
          <w:rFonts w:asciiTheme="majorBidi" w:hAnsiTheme="majorBidi" w:cstheme="majorBidi"/>
          <w:sz w:val="20"/>
          <w:szCs w:val="20"/>
        </w:rPr>
        <w:t xml:space="preserve"> 3, no. 2, P6.</w:t>
      </w:r>
    </w:p>
  </w:footnote>
  <w:footnote w:id="70">
    <w:p w:rsidR="00EF4037" w:rsidRPr="007A0685" w:rsidRDefault="00EF4037" w:rsidP="00EF4037">
      <w:pPr>
        <w:ind w:left="270"/>
        <w:jc w:val="both"/>
        <w:rPr>
          <w:rFonts w:asciiTheme="majorBidi" w:hAnsiTheme="majorBidi" w:cstheme="majorBidi"/>
          <w:sz w:val="20"/>
          <w:szCs w:val="20"/>
        </w:rPr>
      </w:pPr>
      <w:r w:rsidRPr="007A0685">
        <w:rPr>
          <w:rStyle w:val="FootnoteReference"/>
          <w:rFonts w:asciiTheme="majorBidi" w:hAnsiTheme="majorBidi" w:cstheme="majorBidi"/>
        </w:rPr>
        <w:footnoteRef/>
      </w:r>
      <w:r w:rsidRPr="007A0685">
        <w:rPr>
          <w:rFonts w:asciiTheme="majorBidi" w:hAnsiTheme="majorBidi" w:cstheme="majorBidi"/>
          <w:sz w:val="20"/>
          <w:szCs w:val="20"/>
        </w:rPr>
        <w:t xml:space="preserve"> . Libya Working Group Report: MENA Programme, </w:t>
      </w:r>
      <w:r w:rsidRPr="00EF2059">
        <w:rPr>
          <w:rFonts w:asciiTheme="majorBidi" w:hAnsiTheme="majorBidi" w:cstheme="majorBidi"/>
          <w:i/>
          <w:iCs/>
          <w:sz w:val="20"/>
          <w:szCs w:val="20"/>
        </w:rPr>
        <w:t>Libya: Challenges after Liberation</w:t>
      </w:r>
      <w:r w:rsidRPr="007A0685">
        <w:rPr>
          <w:rFonts w:asciiTheme="majorBidi" w:hAnsiTheme="majorBidi" w:cstheme="majorBidi"/>
          <w:sz w:val="20"/>
          <w:szCs w:val="20"/>
        </w:rPr>
        <w:t>, Chatham House, November 2011, P12</w:t>
      </w:r>
      <w:r w:rsidR="00DF6550" w:rsidRPr="007A0685">
        <w:rPr>
          <w:rFonts w:asciiTheme="majorBidi" w:hAnsiTheme="majorBidi" w:cstheme="majorBidi"/>
          <w:sz w:val="20"/>
          <w:szCs w:val="20"/>
        </w:rPr>
        <w:t>. [</w:t>
      </w:r>
      <w:r w:rsidRPr="007A0685">
        <w:rPr>
          <w:rFonts w:asciiTheme="majorBidi" w:hAnsiTheme="majorBidi" w:cstheme="majorBidi"/>
          <w:sz w:val="20"/>
          <w:szCs w:val="20"/>
        </w:rPr>
        <w:t xml:space="preserve">http://www.chathamhouse.org]. </w:t>
      </w:r>
      <w:r w:rsidR="00DF6550" w:rsidRPr="007A0685">
        <w:rPr>
          <w:rFonts w:asciiTheme="majorBidi" w:hAnsiTheme="majorBidi" w:cstheme="majorBidi"/>
          <w:sz w:val="20"/>
          <w:szCs w:val="20"/>
        </w:rPr>
        <w:t>These</w:t>
      </w:r>
      <w:r w:rsidRPr="007A0685">
        <w:rPr>
          <w:rFonts w:asciiTheme="majorBidi" w:hAnsiTheme="majorBidi" w:cstheme="majorBidi"/>
          <w:sz w:val="20"/>
          <w:szCs w:val="20"/>
        </w:rPr>
        <w:t xml:space="preserve"> contracts do not fall under the definition of “Treaties” because according to the Convention of Vienne on treaties, a </w:t>
      </w:r>
      <w:r w:rsidR="00DF6550" w:rsidRPr="007A0685">
        <w:rPr>
          <w:rFonts w:asciiTheme="majorBidi" w:hAnsiTheme="majorBidi" w:cstheme="majorBidi"/>
          <w:sz w:val="20"/>
          <w:szCs w:val="20"/>
        </w:rPr>
        <w:t>treaty</w:t>
      </w:r>
      <w:r w:rsidRPr="007A0685">
        <w:rPr>
          <w:rFonts w:asciiTheme="majorBidi" w:hAnsiTheme="majorBidi" w:cstheme="majorBidi"/>
          <w:sz w:val="20"/>
          <w:szCs w:val="20"/>
        </w:rPr>
        <w:t xml:space="preserve"> in order to be a source of international law and be recognized by ICJ shall be concluded between </w:t>
      </w:r>
      <w:r w:rsidR="00DF6550" w:rsidRPr="007A0685">
        <w:rPr>
          <w:rFonts w:asciiTheme="majorBidi" w:hAnsiTheme="majorBidi" w:cstheme="majorBidi"/>
          <w:sz w:val="20"/>
          <w:szCs w:val="20"/>
        </w:rPr>
        <w:t>states</w:t>
      </w:r>
      <w:r w:rsidRPr="007A0685">
        <w:rPr>
          <w:rFonts w:asciiTheme="majorBidi" w:hAnsiTheme="majorBidi" w:cstheme="majorBidi"/>
          <w:sz w:val="20"/>
          <w:szCs w:val="20"/>
        </w:rPr>
        <w:t xml:space="preserve">, in written form and ruled by international law. The contracts made by </w:t>
      </w:r>
      <w:r w:rsidR="00DF6550" w:rsidRPr="007A0685">
        <w:rPr>
          <w:rFonts w:asciiTheme="majorBidi" w:hAnsiTheme="majorBidi" w:cstheme="majorBidi"/>
          <w:sz w:val="20"/>
          <w:szCs w:val="20"/>
        </w:rPr>
        <w:t>belligerents</w:t>
      </w:r>
      <w:r w:rsidRPr="007A0685">
        <w:rPr>
          <w:rFonts w:asciiTheme="majorBidi" w:hAnsiTheme="majorBidi" w:cstheme="majorBidi"/>
          <w:sz w:val="20"/>
          <w:szCs w:val="20"/>
        </w:rPr>
        <w:t xml:space="preserve"> and even de facto authorities are not included in the </w:t>
      </w:r>
      <w:r w:rsidR="00DF6550" w:rsidRPr="007A0685">
        <w:rPr>
          <w:rFonts w:asciiTheme="majorBidi" w:hAnsiTheme="majorBidi" w:cstheme="majorBidi"/>
          <w:sz w:val="20"/>
          <w:szCs w:val="20"/>
        </w:rPr>
        <w:t>definition. For</w:t>
      </w:r>
      <w:r w:rsidRPr="007A0685">
        <w:rPr>
          <w:rFonts w:asciiTheme="majorBidi" w:hAnsiTheme="majorBidi" w:cstheme="majorBidi"/>
          <w:sz w:val="20"/>
          <w:szCs w:val="20"/>
        </w:rPr>
        <w:t xml:space="preserve"> the text of Vienna Convention on treaties please refer to : [www.</w:t>
      </w:r>
      <w:r w:rsidRPr="007A0685">
        <w:t xml:space="preserve"> </w:t>
      </w:r>
      <w:r w:rsidRPr="007A0685">
        <w:rPr>
          <w:rFonts w:asciiTheme="majorBidi" w:hAnsiTheme="majorBidi" w:cstheme="majorBidi"/>
          <w:sz w:val="20"/>
          <w:szCs w:val="20"/>
        </w:rPr>
        <w:t>http://untreaty.un.org]</w:t>
      </w:r>
    </w:p>
  </w:footnote>
  <w:footnote w:id="71">
    <w:p w:rsidR="00EF4037" w:rsidRPr="00DD04AC" w:rsidRDefault="00EF4037" w:rsidP="00EF4037">
      <w:pPr>
        <w:ind w:left="270"/>
        <w:jc w:val="both"/>
        <w:rPr>
          <w:rFonts w:asciiTheme="majorBidi" w:hAnsiTheme="majorBidi" w:cstheme="majorBidi"/>
          <w:sz w:val="20"/>
          <w:szCs w:val="20"/>
        </w:rPr>
      </w:pPr>
      <w:r w:rsidRPr="00DD04AC">
        <w:rPr>
          <w:rStyle w:val="FootnoteReference"/>
          <w:rFonts w:asciiTheme="majorBidi" w:hAnsiTheme="majorBidi" w:cstheme="majorBidi"/>
        </w:rPr>
        <w:footnoteRef/>
      </w:r>
      <w:r w:rsidRPr="00DD04AC">
        <w:rPr>
          <w:rFonts w:asciiTheme="majorBidi" w:hAnsiTheme="majorBidi" w:cstheme="majorBidi"/>
          <w:sz w:val="20"/>
          <w:szCs w:val="20"/>
        </w:rPr>
        <w:t xml:space="preserve"> . Gerhard Loibl, </w:t>
      </w:r>
      <w:r w:rsidRPr="00DD04AC">
        <w:rPr>
          <w:rFonts w:asciiTheme="majorBidi" w:hAnsiTheme="majorBidi" w:cstheme="majorBidi"/>
          <w:i/>
          <w:iCs/>
          <w:sz w:val="20"/>
          <w:szCs w:val="20"/>
        </w:rPr>
        <w:t>Austrian Review of International and European Law 2001</w:t>
      </w:r>
      <w:r w:rsidRPr="00DD04AC">
        <w:rPr>
          <w:rFonts w:asciiTheme="majorBidi" w:hAnsiTheme="majorBidi" w:cstheme="majorBidi"/>
          <w:sz w:val="20"/>
          <w:szCs w:val="20"/>
        </w:rPr>
        <w:t xml:space="preserve">, </w:t>
      </w:r>
      <w:r>
        <w:rPr>
          <w:rFonts w:asciiTheme="majorBidi" w:hAnsiTheme="majorBidi" w:cstheme="majorBidi"/>
          <w:sz w:val="20"/>
          <w:szCs w:val="20"/>
        </w:rPr>
        <w:t xml:space="preserve">Leiden: </w:t>
      </w:r>
      <w:r w:rsidRPr="00DD04AC">
        <w:rPr>
          <w:rFonts w:asciiTheme="majorBidi" w:hAnsiTheme="majorBidi" w:cstheme="majorBidi"/>
          <w:sz w:val="20"/>
          <w:szCs w:val="20"/>
        </w:rPr>
        <w:t xml:space="preserve">Martinus Nijhoff Publishers, 2003, P50. </w:t>
      </w:r>
    </w:p>
  </w:footnote>
  <w:footnote w:id="72">
    <w:p w:rsidR="00EF4037" w:rsidRPr="007D01C4" w:rsidRDefault="00EF4037" w:rsidP="00EF4037">
      <w:pPr>
        <w:pStyle w:val="FootnoteText"/>
        <w:ind w:left="270"/>
        <w:jc w:val="both"/>
        <w:rPr>
          <w:rFonts w:asciiTheme="majorBidi" w:hAnsiTheme="majorBidi" w:cstheme="majorBidi"/>
        </w:rPr>
      </w:pPr>
      <w:r w:rsidRPr="007D01C4">
        <w:rPr>
          <w:rStyle w:val="FootnoteReference"/>
          <w:rFonts w:asciiTheme="majorBidi" w:hAnsiTheme="majorBidi" w:cstheme="majorBidi"/>
        </w:rPr>
        <w:footnoteRef/>
      </w:r>
      <w:r w:rsidRPr="007D01C4">
        <w:rPr>
          <w:rFonts w:asciiTheme="majorBidi" w:hAnsiTheme="majorBidi" w:cstheme="majorBidi"/>
        </w:rPr>
        <w:t xml:space="preserve"> . H Kelsen, “Recognition in International Law: Theoretical Observations,” </w:t>
      </w:r>
      <w:r w:rsidRPr="007D01C4">
        <w:rPr>
          <w:rFonts w:asciiTheme="majorBidi" w:hAnsiTheme="majorBidi" w:cstheme="majorBidi"/>
          <w:i/>
          <w:iCs/>
        </w:rPr>
        <w:t>Amer</w:t>
      </w:r>
      <w:r>
        <w:rPr>
          <w:rFonts w:asciiTheme="majorBidi" w:hAnsiTheme="majorBidi" w:cstheme="majorBidi"/>
          <w:i/>
          <w:iCs/>
        </w:rPr>
        <w:t>ic</w:t>
      </w:r>
      <w:r w:rsidRPr="007D01C4">
        <w:rPr>
          <w:rFonts w:asciiTheme="majorBidi" w:hAnsiTheme="majorBidi" w:cstheme="majorBidi"/>
          <w:i/>
          <w:iCs/>
        </w:rPr>
        <w:t>an Journal of International Law</w:t>
      </w:r>
      <w:r w:rsidRPr="007D01C4">
        <w:rPr>
          <w:rFonts w:asciiTheme="majorBidi" w:hAnsiTheme="majorBidi" w:cstheme="majorBidi"/>
        </w:rPr>
        <w:t xml:space="preserve">, 1941,P 35; H Lauterpacht, </w:t>
      </w:r>
      <w:r w:rsidRPr="007D01C4">
        <w:rPr>
          <w:rFonts w:asciiTheme="majorBidi" w:hAnsiTheme="majorBidi" w:cstheme="majorBidi"/>
          <w:i/>
          <w:iCs/>
        </w:rPr>
        <w:t>Recognition in International Law</w:t>
      </w:r>
      <w:r w:rsidRPr="007D01C4">
        <w:rPr>
          <w:rFonts w:asciiTheme="majorBidi" w:hAnsiTheme="majorBidi" w:cstheme="majorBidi"/>
        </w:rPr>
        <w:t>,</w:t>
      </w:r>
      <w:r w:rsidR="00DF6550">
        <w:rPr>
          <w:rFonts w:asciiTheme="majorBidi" w:hAnsiTheme="majorBidi" w:cstheme="majorBidi"/>
        </w:rPr>
        <w:t xml:space="preserve"> </w:t>
      </w:r>
      <w:r w:rsidRPr="007D01C4">
        <w:rPr>
          <w:rFonts w:asciiTheme="majorBidi" w:hAnsiTheme="majorBidi" w:cstheme="majorBidi"/>
        </w:rPr>
        <w:t xml:space="preserve">reprinted from Yale Law Journal 1947; J Frowein, Das de facto-Regime im Volkerrecht(Carl Heymanns Verlag 1968).P7. </w:t>
      </w:r>
    </w:p>
    <w:p w:rsidR="00EF4037" w:rsidRPr="001B650D" w:rsidRDefault="00EF4037" w:rsidP="00EF4037">
      <w:pPr>
        <w:pStyle w:val="FootnoteText"/>
        <w:ind w:left="270"/>
        <w:jc w:val="both"/>
        <w:rPr>
          <w:rFonts w:asciiTheme="majorBidi" w:hAnsiTheme="majorBidi" w:cstheme="majorBidi"/>
        </w:rPr>
      </w:pPr>
    </w:p>
  </w:footnote>
  <w:footnote w:id="73">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Jonte van Essen</w:t>
      </w:r>
      <w:r>
        <w:rPr>
          <w:rFonts w:asciiTheme="majorBidi" w:hAnsiTheme="majorBidi" w:cstheme="majorBidi"/>
          <w:sz w:val="20"/>
          <w:szCs w:val="20"/>
        </w:rPr>
        <w:t xml:space="preserve">, </w:t>
      </w:r>
      <w:r w:rsidRPr="009B0253">
        <w:rPr>
          <w:rFonts w:asciiTheme="majorBidi" w:hAnsiTheme="majorBidi" w:cstheme="majorBidi"/>
          <w:i/>
          <w:iCs/>
          <w:sz w:val="20"/>
          <w:szCs w:val="20"/>
        </w:rPr>
        <w:t>Note 6</w:t>
      </w:r>
      <w:r w:rsidRPr="001B650D">
        <w:rPr>
          <w:rFonts w:asciiTheme="majorBidi" w:hAnsiTheme="majorBidi" w:cstheme="majorBidi"/>
          <w:sz w:val="20"/>
          <w:szCs w:val="20"/>
        </w:rPr>
        <w:t>, P33.</w:t>
      </w:r>
    </w:p>
  </w:footnote>
  <w:footnote w:id="74">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Mr. Vincent J. </w:t>
      </w:r>
      <w:r w:rsidR="00DF6550" w:rsidRPr="001B650D">
        <w:rPr>
          <w:rFonts w:asciiTheme="majorBidi" w:hAnsiTheme="majorBidi" w:cstheme="majorBidi"/>
          <w:sz w:val="20"/>
          <w:szCs w:val="20"/>
        </w:rPr>
        <w:t>Curtis,</w:t>
      </w:r>
      <w:r w:rsidRPr="001B650D">
        <w:rPr>
          <w:rFonts w:asciiTheme="majorBidi" w:hAnsiTheme="majorBidi" w:cstheme="majorBidi"/>
          <w:sz w:val="20"/>
          <w:szCs w:val="20"/>
        </w:rPr>
        <w:t xml:space="preserve"> </w:t>
      </w:r>
      <w:r w:rsidRPr="003D7B63">
        <w:rPr>
          <w:rFonts w:asciiTheme="majorBidi" w:hAnsiTheme="majorBidi" w:cstheme="majorBidi"/>
          <w:sz w:val="20"/>
          <w:szCs w:val="20"/>
        </w:rPr>
        <w:t>“The Three Block War:</w:t>
      </w:r>
      <w:r>
        <w:rPr>
          <w:rFonts w:asciiTheme="majorBidi" w:hAnsiTheme="majorBidi" w:cstheme="majorBidi"/>
          <w:sz w:val="20"/>
          <w:szCs w:val="20"/>
        </w:rPr>
        <w:t xml:space="preserve"> </w:t>
      </w:r>
      <w:r w:rsidRPr="003D7B63">
        <w:rPr>
          <w:rFonts w:asciiTheme="majorBidi" w:hAnsiTheme="majorBidi" w:cstheme="majorBidi"/>
          <w:sz w:val="20"/>
          <w:szCs w:val="20"/>
        </w:rPr>
        <w:t>Its Causes and the Shape of the Peace,”</w:t>
      </w:r>
      <w:r w:rsidRPr="001B650D">
        <w:rPr>
          <w:rFonts w:asciiTheme="majorBidi" w:hAnsiTheme="majorBidi" w:cstheme="majorBidi"/>
          <w:sz w:val="20"/>
          <w:szCs w:val="20"/>
        </w:rPr>
        <w:t xml:space="preserve"> </w:t>
      </w:r>
      <w:r w:rsidRPr="003D7B63">
        <w:rPr>
          <w:rFonts w:asciiTheme="majorBidi" w:hAnsiTheme="majorBidi" w:cstheme="majorBidi"/>
          <w:i/>
          <w:iCs/>
          <w:sz w:val="20"/>
          <w:szCs w:val="20"/>
        </w:rPr>
        <w:t>The Canadian Army Journal</w:t>
      </w:r>
      <w:r w:rsidRPr="001B650D">
        <w:rPr>
          <w:rFonts w:asciiTheme="majorBidi" w:hAnsiTheme="majorBidi" w:cstheme="majorBidi"/>
          <w:sz w:val="20"/>
          <w:szCs w:val="20"/>
        </w:rPr>
        <w:t>, Vol. 10</w:t>
      </w:r>
      <w:r>
        <w:rPr>
          <w:rFonts w:asciiTheme="majorBidi" w:hAnsiTheme="majorBidi" w:cstheme="majorBidi"/>
          <w:sz w:val="20"/>
          <w:szCs w:val="20"/>
        </w:rPr>
        <w:t xml:space="preserve">.2, </w:t>
      </w:r>
      <w:r w:rsidR="00DF6550">
        <w:rPr>
          <w:rFonts w:asciiTheme="majorBidi" w:hAnsiTheme="majorBidi" w:cstheme="majorBidi"/>
          <w:sz w:val="20"/>
          <w:szCs w:val="20"/>
        </w:rPr>
        <w:t>summer</w:t>
      </w:r>
      <w:r>
        <w:rPr>
          <w:rFonts w:asciiTheme="majorBidi" w:hAnsiTheme="majorBidi" w:cstheme="majorBidi"/>
          <w:sz w:val="20"/>
          <w:szCs w:val="20"/>
        </w:rPr>
        <w:t xml:space="preserve"> 2007</w:t>
      </w:r>
      <w:r w:rsidRPr="001B650D">
        <w:rPr>
          <w:rFonts w:asciiTheme="majorBidi" w:hAnsiTheme="majorBidi" w:cstheme="majorBidi"/>
          <w:sz w:val="20"/>
          <w:szCs w:val="20"/>
        </w:rPr>
        <w:t xml:space="preserve"> P</w:t>
      </w:r>
      <w:r w:rsidRPr="001B650D">
        <w:rPr>
          <w:rFonts w:asciiTheme="majorBidi" w:hAnsiTheme="majorBidi" w:cstheme="majorBidi"/>
          <w:sz w:val="20"/>
          <w:szCs w:val="20"/>
          <w:rtl/>
        </w:rPr>
        <w:t>54</w:t>
      </w:r>
      <w:r w:rsidRPr="001B650D">
        <w:rPr>
          <w:rFonts w:asciiTheme="majorBidi" w:hAnsiTheme="majorBidi" w:cstheme="majorBidi"/>
          <w:sz w:val="20"/>
          <w:szCs w:val="20"/>
        </w:rPr>
        <w:t>.</w:t>
      </w:r>
    </w:p>
  </w:footnote>
  <w:footnote w:id="75">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w:t>
      </w:r>
      <w:r>
        <w:rPr>
          <w:rFonts w:asciiTheme="majorBidi" w:hAnsiTheme="majorBidi" w:cstheme="majorBidi"/>
          <w:sz w:val="20"/>
          <w:szCs w:val="20"/>
        </w:rPr>
        <w:t xml:space="preserve">Pierre Hauck, et al, </w:t>
      </w:r>
      <w:r w:rsidRPr="003F60B5">
        <w:rPr>
          <w:rFonts w:asciiTheme="majorBidi" w:hAnsiTheme="majorBidi" w:cstheme="majorBidi"/>
          <w:i/>
          <w:iCs/>
          <w:sz w:val="20"/>
          <w:szCs w:val="20"/>
        </w:rPr>
        <w:t>International Law and Transnational Organized Cr</w:t>
      </w:r>
      <w:r>
        <w:rPr>
          <w:rFonts w:asciiTheme="majorBidi" w:hAnsiTheme="majorBidi" w:cstheme="majorBidi"/>
          <w:i/>
          <w:iCs/>
          <w:sz w:val="20"/>
          <w:szCs w:val="20"/>
        </w:rPr>
        <w:t>im</w:t>
      </w:r>
      <w:r w:rsidRPr="003F60B5">
        <w:rPr>
          <w:rFonts w:asciiTheme="majorBidi" w:hAnsiTheme="majorBidi" w:cstheme="majorBidi"/>
          <w:i/>
          <w:iCs/>
          <w:sz w:val="20"/>
          <w:szCs w:val="20"/>
        </w:rPr>
        <w:t>e</w:t>
      </w:r>
      <w:r>
        <w:rPr>
          <w:rFonts w:asciiTheme="majorBidi" w:hAnsiTheme="majorBidi" w:cstheme="majorBidi"/>
          <w:sz w:val="20"/>
          <w:szCs w:val="20"/>
        </w:rPr>
        <w:t xml:space="preserve">, Oxford: Oxford University Press, 206, P368 and Basak Cali, </w:t>
      </w:r>
      <w:r w:rsidRPr="00FC1A9C">
        <w:rPr>
          <w:rFonts w:asciiTheme="majorBidi" w:hAnsiTheme="majorBidi" w:cstheme="majorBidi"/>
          <w:i/>
          <w:iCs/>
          <w:sz w:val="20"/>
          <w:szCs w:val="20"/>
        </w:rPr>
        <w:t>International Law for International Relations</w:t>
      </w:r>
      <w:r>
        <w:rPr>
          <w:rFonts w:asciiTheme="majorBidi" w:hAnsiTheme="majorBidi" w:cstheme="majorBidi"/>
          <w:sz w:val="20"/>
          <w:szCs w:val="20"/>
        </w:rPr>
        <w:t xml:space="preserve">, Oxford: OUP Oxford, 2010, P205 and Constantin Von der Groeben, </w:t>
      </w:r>
      <w:r w:rsidRPr="00FC1A9C">
        <w:rPr>
          <w:rFonts w:asciiTheme="majorBidi" w:hAnsiTheme="majorBidi" w:cstheme="majorBidi"/>
          <w:i/>
          <w:iCs/>
          <w:sz w:val="20"/>
          <w:szCs w:val="20"/>
        </w:rPr>
        <w:t>Transnational Conflicts and International Law</w:t>
      </w:r>
      <w:r>
        <w:rPr>
          <w:rFonts w:asciiTheme="majorBidi" w:hAnsiTheme="majorBidi" w:cstheme="majorBidi"/>
          <w:sz w:val="20"/>
          <w:szCs w:val="20"/>
        </w:rPr>
        <w:t xml:space="preserve">, Osterreich: Bod-Books on Demand, 2014, P31. </w:t>
      </w:r>
    </w:p>
  </w:footnote>
  <w:footnote w:id="76">
    <w:p w:rsidR="00EF4037" w:rsidRPr="00470A19" w:rsidRDefault="00EF4037" w:rsidP="00EF4037">
      <w:pPr>
        <w:pStyle w:val="FootnoteText"/>
        <w:ind w:left="270"/>
        <w:jc w:val="both"/>
        <w:rPr>
          <w:rFonts w:asciiTheme="majorBidi" w:hAnsiTheme="majorBidi" w:cstheme="majorBidi"/>
        </w:rPr>
      </w:pPr>
      <w:r w:rsidRPr="00470A19">
        <w:rPr>
          <w:rStyle w:val="FootnoteReference"/>
          <w:rFonts w:asciiTheme="majorBidi" w:hAnsiTheme="majorBidi" w:cstheme="majorBidi"/>
        </w:rPr>
        <w:footnoteRef/>
      </w:r>
      <w:r w:rsidRPr="00470A19">
        <w:rPr>
          <w:rFonts w:asciiTheme="majorBidi" w:hAnsiTheme="majorBidi" w:cstheme="majorBidi"/>
        </w:rPr>
        <w:t xml:space="preserve">. Lindsey Cameron, et al., </w:t>
      </w:r>
      <w:r w:rsidRPr="00470A19">
        <w:rPr>
          <w:rFonts w:asciiTheme="majorBidi" w:hAnsiTheme="majorBidi" w:cstheme="majorBidi"/>
          <w:i/>
          <w:iCs/>
        </w:rPr>
        <w:t>Priv</w:t>
      </w:r>
      <w:r>
        <w:rPr>
          <w:rFonts w:asciiTheme="majorBidi" w:hAnsiTheme="majorBidi" w:cstheme="majorBidi"/>
          <w:i/>
          <w:iCs/>
        </w:rPr>
        <w:t>a</w:t>
      </w:r>
      <w:r w:rsidRPr="00470A19">
        <w:rPr>
          <w:rFonts w:asciiTheme="majorBidi" w:hAnsiTheme="majorBidi" w:cstheme="majorBidi"/>
          <w:i/>
          <w:iCs/>
        </w:rPr>
        <w:t>tizing War: Private Military and Security Companies under Public International Law</w:t>
      </w:r>
      <w:r w:rsidRPr="00470A19">
        <w:rPr>
          <w:rFonts w:asciiTheme="majorBidi" w:hAnsiTheme="majorBidi" w:cstheme="majorBidi"/>
        </w:rPr>
        <w:t xml:space="preserve">, </w:t>
      </w:r>
      <w:r w:rsidRPr="001B650D">
        <w:rPr>
          <w:rFonts w:asciiTheme="majorBidi" w:hAnsiTheme="majorBidi" w:cstheme="majorBidi"/>
        </w:rPr>
        <w:t>Cambridge</w:t>
      </w:r>
      <w:r>
        <w:rPr>
          <w:rFonts w:asciiTheme="majorBidi" w:hAnsiTheme="majorBidi" w:cstheme="majorBidi"/>
        </w:rPr>
        <w:t xml:space="preserve">: </w:t>
      </w:r>
      <w:r w:rsidRPr="00470A19">
        <w:rPr>
          <w:rFonts w:asciiTheme="majorBidi" w:hAnsiTheme="majorBidi" w:cstheme="majorBidi"/>
        </w:rPr>
        <w:t xml:space="preserve">Cambridge University Press, 2013, 314 and Sandesh Sivakumaran, </w:t>
      </w:r>
      <w:r w:rsidRPr="00470A19">
        <w:rPr>
          <w:rFonts w:asciiTheme="majorBidi" w:hAnsiTheme="majorBidi" w:cstheme="majorBidi"/>
          <w:i/>
          <w:iCs/>
        </w:rPr>
        <w:t>The Law of Non-International Armed Conflict</w:t>
      </w:r>
      <w:r w:rsidRPr="00470A19">
        <w:rPr>
          <w:rFonts w:asciiTheme="majorBidi" w:hAnsiTheme="majorBidi" w:cstheme="majorBidi"/>
        </w:rPr>
        <w:t>, OUP Oxf</w:t>
      </w:r>
      <w:r>
        <w:rPr>
          <w:rFonts w:asciiTheme="majorBidi" w:hAnsiTheme="majorBidi" w:cstheme="majorBidi"/>
        </w:rPr>
        <w:t>or</w:t>
      </w:r>
      <w:r w:rsidRPr="00470A19">
        <w:rPr>
          <w:rFonts w:asciiTheme="majorBidi" w:hAnsiTheme="majorBidi" w:cstheme="majorBidi"/>
        </w:rPr>
        <w:t>d, 2012, P182.</w:t>
      </w:r>
    </w:p>
  </w:footnote>
  <w:footnote w:id="77">
    <w:p w:rsidR="00EF4037" w:rsidRDefault="00EF4037" w:rsidP="00EF4037">
      <w:pPr>
        <w:pStyle w:val="FootnoteText"/>
        <w:ind w:left="270"/>
        <w:rPr>
          <w:rFonts w:asciiTheme="majorBidi" w:hAnsiTheme="majorBidi" w:cstheme="majorBidi"/>
        </w:rPr>
      </w:pPr>
      <w:r w:rsidRPr="00242011">
        <w:rPr>
          <w:rStyle w:val="FootnoteReference"/>
          <w:rFonts w:asciiTheme="majorBidi" w:hAnsiTheme="majorBidi" w:cstheme="majorBidi"/>
        </w:rPr>
        <w:footnoteRef/>
      </w:r>
      <w:r w:rsidRPr="00242011">
        <w:rPr>
          <w:rFonts w:asciiTheme="majorBidi" w:hAnsiTheme="majorBidi" w:cstheme="majorBidi"/>
        </w:rPr>
        <w:t xml:space="preserve"> .</w:t>
      </w:r>
      <w:r>
        <w:rPr>
          <w:rFonts w:asciiTheme="majorBidi" w:hAnsiTheme="majorBidi" w:cstheme="majorBidi"/>
        </w:rPr>
        <w:t>T</w:t>
      </w:r>
      <w:r w:rsidRPr="00242011">
        <w:rPr>
          <w:rFonts w:asciiTheme="majorBidi" w:hAnsiTheme="majorBidi" w:cstheme="majorBidi"/>
        </w:rPr>
        <w:t>he text of the protocol</w:t>
      </w:r>
      <w:r>
        <w:rPr>
          <w:rFonts w:asciiTheme="majorBidi" w:hAnsiTheme="majorBidi" w:cstheme="majorBidi"/>
        </w:rPr>
        <w:t xml:space="preserve"> is reachable</w:t>
      </w:r>
      <w:r w:rsidRPr="00242011">
        <w:rPr>
          <w:rFonts w:asciiTheme="majorBidi" w:hAnsiTheme="majorBidi" w:cstheme="majorBidi"/>
        </w:rPr>
        <w:t xml:space="preserve"> at [http://treaties.un.org/doc].</w:t>
      </w:r>
    </w:p>
    <w:p w:rsidR="00EF4037" w:rsidRPr="00242011" w:rsidRDefault="00EF4037" w:rsidP="00EF4037">
      <w:pPr>
        <w:pStyle w:val="FootnoteText"/>
        <w:ind w:left="270"/>
      </w:pPr>
    </w:p>
  </w:footnote>
  <w:footnote w:id="78">
    <w:p w:rsidR="00EF4037" w:rsidRPr="000257BE" w:rsidRDefault="00EF4037" w:rsidP="00EF4037">
      <w:pPr>
        <w:pStyle w:val="Default"/>
        <w:ind w:left="270"/>
        <w:rPr>
          <w:rFonts w:asciiTheme="majorBidi" w:hAnsiTheme="majorBidi" w:cstheme="majorBidi"/>
          <w:color w:val="auto"/>
          <w:sz w:val="20"/>
          <w:szCs w:val="20"/>
        </w:rPr>
      </w:pPr>
      <w:r w:rsidRPr="000257BE">
        <w:rPr>
          <w:rStyle w:val="FootnoteReference"/>
          <w:rFonts w:asciiTheme="majorBidi" w:hAnsiTheme="majorBidi" w:cstheme="majorBidi"/>
          <w:color w:val="auto"/>
        </w:rPr>
        <w:footnoteRef/>
      </w:r>
      <w:r w:rsidRPr="000257BE">
        <w:rPr>
          <w:rFonts w:asciiTheme="majorBidi" w:hAnsiTheme="majorBidi" w:cstheme="majorBidi"/>
          <w:color w:val="auto"/>
          <w:sz w:val="20"/>
          <w:szCs w:val="20"/>
        </w:rPr>
        <w:t xml:space="preserve"> </w:t>
      </w:r>
      <w:r>
        <w:rPr>
          <w:rFonts w:asciiTheme="majorBidi" w:hAnsiTheme="majorBidi" w:cstheme="majorBidi"/>
          <w:color w:val="auto"/>
          <w:sz w:val="20"/>
          <w:szCs w:val="20"/>
        </w:rPr>
        <w:t xml:space="preserve">. Nawal War Colledge, </w:t>
      </w:r>
      <w:r w:rsidRPr="000257BE">
        <w:rPr>
          <w:rFonts w:asciiTheme="majorBidi" w:hAnsiTheme="majorBidi" w:cstheme="majorBidi"/>
          <w:i/>
          <w:iCs/>
          <w:color w:val="auto"/>
          <w:sz w:val="20"/>
          <w:szCs w:val="20"/>
        </w:rPr>
        <w:t>Non-International Armed Conflict in the Twenty-First Century</w:t>
      </w:r>
      <w:r>
        <w:rPr>
          <w:rFonts w:asciiTheme="majorBidi" w:hAnsiTheme="majorBidi" w:cstheme="majorBidi"/>
          <w:color w:val="auto"/>
          <w:sz w:val="20"/>
          <w:szCs w:val="20"/>
        </w:rPr>
        <w:t xml:space="preserve">, Government Printing Office, 2012, P128. </w:t>
      </w:r>
    </w:p>
    <w:p w:rsidR="00EF4037" w:rsidRPr="00CE3F4E" w:rsidRDefault="00EF4037" w:rsidP="00EF4037">
      <w:pPr>
        <w:pStyle w:val="Default"/>
        <w:ind w:left="270"/>
        <w:rPr>
          <w:rFonts w:asciiTheme="majorBidi" w:hAnsiTheme="majorBidi" w:cstheme="majorBidi"/>
          <w:sz w:val="20"/>
          <w:szCs w:val="20"/>
        </w:rPr>
      </w:pPr>
    </w:p>
  </w:footnote>
  <w:footnote w:id="79">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w:t>
      </w:r>
      <w:r>
        <w:rPr>
          <w:rFonts w:asciiTheme="majorBidi" w:hAnsiTheme="majorBidi" w:cstheme="majorBidi"/>
          <w:sz w:val="20"/>
          <w:szCs w:val="20"/>
        </w:rPr>
        <w:t xml:space="preserve">. Stephen Pomper, </w:t>
      </w:r>
      <w:r w:rsidRPr="007E53E8">
        <w:rPr>
          <w:rFonts w:asciiTheme="majorBidi" w:hAnsiTheme="majorBidi" w:cstheme="majorBidi"/>
          <w:sz w:val="20"/>
          <w:szCs w:val="20"/>
        </w:rPr>
        <w:t>“Toward a Limited Consensus on the Loss of Civilian Immunity in Non-International Armed Conflict: Making Progress through Practice,”</w:t>
      </w:r>
      <w:r w:rsidRPr="001B650D">
        <w:rPr>
          <w:rFonts w:asciiTheme="majorBidi" w:hAnsiTheme="majorBidi" w:cstheme="majorBidi"/>
          <w:sz w:val="20"/>
          <w:szCs w:val="20"/>
        </w:rPr>
        <w:t xml:space="preserve"> </w:t>
      </w:r>
      <w:r w:rsidRPr="007E53E8">
        <w:rPr>
          <w:rFonts w:asciiTheme="majorBidi" w:hAnsiTheme="majorBidi" w:cstheme="majorBidi"/>
          <w:i/>
          <w:iCs/>
          <w:sz w:val="20"/>
          <w:szCs w:val="20"/>
        </w:rPr>
        <w:t>International Law Studies</w:t>
      </w:r>
      <w:r w:rsidRPr="001B650D">
        <w:rPr>
          <w:rFonts w:asciiTheme="majorBidi" w:hAnsiTheme="majorBidi" w:cstheme="majorBidi"/>
          <w:sz w:val="20"/>
          <w:szCs w:val="20"/>
        </w:rPr>
        <w:t>, Volume 88, 2012</w:t>
      </w:r>
      <w:r w:rsidR="00DF6550">
        <w:rPr>
          <w:rFonts w:asciiTheme="majorBidi" w:hAnsiTheme="majorBidi" w:cstheme="majorBidi"/>
          <w:sz w:val="20"/>
          <w:szCs w:val="20"/>
        </w:rPr>
        <w:t>,</w:t>
      </w:r>
      <w:r w:rsidR="00DF6550" w:rsidRPr="001B650D">
        <w:rPr>
          <w:rFonts w:asciiTheme="majorBidi" w:hAnsiTheme="majorBidi" w:cstheme="majorBidi"/>
          <w:sz w:val="20"/>
          <w:szCs w:val="20"/>
        </w:rPr>
        <w:t xml:space="preserve"> P160</w:t>
      </w:r>
      <w:r w:rsidRPr="001B650D">
        <w:rPr>
          <w:rFonts w:asciiTheme="majorBidi" w:hAnsiTheme="majorBidi" w:cstheme="majorBidi"/>
          <w:sz w:val="20"/>
          <w:szCs w:val="20"/>
        </w:rPr>
        <w:t>.</w:t>
      </w:r>
    </w:p>
  </w:footnote>
  <w:footnote w:id="80">
    <w:p w:rsidR="00EF4037" w:rsidRPr="00853C4F" w:rsidRDefault="00EF4037" w:rsidP="00EF4037">
      <w:pPr>
        <w:ind w:left="270"/>
        <w:jc w:val="both"/>
        <w:rPr>
          <w:rFonts w:asciiTheme="majorBidi" w:hAnsiTheme="majorBidi" w:cstheme="majorBidi"/>
          <w:sz w:val="20"/>
          <w:szCs w:val="20"/>
        </w:rPr>
      </w:pPr>
      <w:r w:rsidRPr="00853C4F">
        <w:rPr>
          <w:rStyle w:val="FootnoteReference"/>
          <w:rFonts w:asciiTheme="majorBidi" w:hAnsiTheme="majorBidi" w:cstheme="majorBidi"/>
        </w:rPr>
        <w:footnoteRef/>
      </w:r>
      <w:r w:rsidRPr="00853C4F">
        <w:rPr>
          <w:rFonts w:asciiTheme="majorBidi" w:hAnsiTheme="majorBidi" w:cstheme="majorBidi"/>
          <w:sz w:val="20"/>
          <w:szCs w:val="20"/>
        </w:rPr>
        <w:t xml:space="preserve"> . Country Reports on Human Rights Practices for 2011 ,United States Department of State, P1 and Kenneth </w:t>
      </w:r>
      <w:r>
        <w:rPr>
          <w:rFonts w:asciiTheme="majorBidi" w:hAnsiTheme="majorBidi" w:cstheme="majorBidi"/>
          <w:sz w:val="20"/>
          <w:szCs w:val="20"/>
        </w:rPr>
        <w:t>O</w:t>
      </w:r>
      <w:r w:rsidRPr="00853C4F">
        <w:rPr>
          <w:rFonts w:asciiTheme="majorBidi" w:hAnsiTheme="majorBidi" w:cstheme="majorBidi"/>
          <w:sz w:val="20"/>
          <w:szCs w:val="20"/>
        </w:rPr>
        <w:t xml:space="preserve">hlenschlæger Buhl, </w:t>
      </w:r>
      <w:r w:rsidRPr="009F51B0">
        <w:rPr>
          <w:rFonts w:asciiTheme="majorBidi" w:hAnsiTheme="majorBidi" w:cstheme="majorBidi"/>
          <w:sz w:val="20"/>
          <w:szCs w:val="20"/>
        </w:rPr>
        <w:t>“Legalization of Civil Wars: The Legal Institutionalization of Non-international Armed Conflicts,”</w:t>
      </w:r>
      <w:r w:rsidRPr="009F51B0">
        <w:t xml:space="preserve"> </w:t>
      </w:r>
      <w:hyperlink r:id="rId8" w:history="1">
        <w:r w:rsidRPr="009F51B0">
          <w:rPr>
            <w:rStyle w:val="Hyperlink"/>
            <w:rFonts w:asciiTheme="majorBidi" w:hAnsiTheme="majorBidi" w:cstheme="majorBidi"/>
            <w:i/>
            <w:iCs/>
            <w:color w:val="auto"/>
            <w:sz w:val="20"/>
            <w:szCs w:val="20"/>
            <w:u w:val="none"/>
          </w:rPr>
          <w:t>Journal on</w:t>
        </w:r>
        <w:r w:rsidRPr="009F51B0">
          <w:rPr>
            <w:rStyle w:val="Hyperlink"/>
            <w:rFonts w:asciiTheme="majorBidi" w:hAnsiTheme="majorBidi" w:cstheme="majorBidi"/>
            <w:color w:val="auto"/>
            <w:sz w:val="20"/>
            <w:szCs w:val="20"/>
            <w:u w:val="none"/>
          </w:rPr>
          <w:t xml:space="preserve"> </w:t>
        </w:r>
        <w:r w:rsidRPr="009F51B0">
          <w:rPr>
            <w:rStyle w:val="Hyperlink"/>
            <w:rFonts w:asciiTheme="majorBidi" w:hAnsiTheme="majorBidi" w:cstheme="majorBidi"/>
            <w:i/>
            <w:iCs/>
            <w:color w:val="auto"/>
            <w:sz w:val="20"/>
            <w:szCs w:val="20"/>
            <w:u w:val="none"/>
          </w:rPr>
          <w:t>Ethnopolitics and Minority Issues in Europe</w:t>
        </w:r>
      </w:hyperlink>
      <w:r w:rsidRPr="009F51B0">
        <w:rPr>
          <w:rFonts w:asciiTheme="majorBidi" w:hAnsiTheme="majorBidi" w:cstheme="majorBidi"/>
          <w:sz w:val="20"/>
          <w:szCs w:val="20"/>
        </w:rPr>
        <w:t>( JEMIE ),2009, Volume 8, P3</w:t>
      </w:r>
      <w:r w:rsidRPr="009F51B0">
        <w:rPr>
          <w:rFonts w:asciiTheme="majorBidi" w:hAnsiTheme="majorBidi" w:cstheme="majorBidi"/>
          <w:sz w:val="20"/>
          <w:szCs w:val="20"/>
          <w:rtl/>
        </w:rPr>
        <w:t>6</w:t>
      </w:r>
      <w:r w:rsidRPr="009F51B0">
        <w:rPr>
          <w:rFonts w:asciiTheme="majorBidi" w:hAnsiTheme="majorBidi" w:cstheme="majorBidi"/>
          <w:sz w:val="20"/>
          <w:szCs w:val="20"/>
        </w:rPr>
        <w:t>.</w:t>
      </w:r>
    </w:p>
  </w:footnote>
  <w:footnote w:id="81">
    <w:p w:rsidR="00EF4037" w:rsidRPr="009F51B0" w:rsidRDefault="00EF4037" w:rsidP="00EF4037">
      <w:pPr>
        <w:tabs>
          <w:tab w:val="left" w:pos="3064"/>
        </w:tabs>
        <w:ind w:left="270"/>
        <w:jc w:val="both"/>
        <w:rPr>
          <w:rFonts w:asciiTheme="majorBidi" w:hAnsiTheme="majorBidi" w:cstheme="majorBidi"/>
          <w:sz w:val="20"/>
          <w:szCs w:val="20"/>
        </w:rPr>
      </w:pPr>
      <w:r w:rsidRPr="009F51B0">
        <w:rPr>
          <w:rStyle w:val="FootnoteReference"/>
          <w:rFonts w:asciiTheme="majorBidi" w:hAnsiTheme="majorBidi" w:cstheme="majorBidi"/>
        </w:rPr>
        <w:footnoteRef/>
      </w:r>
      <w:r w:rsidRPr="009F51B0">
        <w:rPr>
          <w:rFonts w:asciiTheme="majorBidi" w:hAnsiTheme="majorBidi" w:cstheme="majorBidi"/>
          <w:sz w:val="20"/>
          <w:szCs w:val="20"/>
        </w:rPr>
        <w:t xml:space="preserve"> . </w:t>
      </w:r>
      <w:r w:rsidRPr="009F51B0">
        <w:rPr>
          <w:rFonts w:asciiTheme="majorBidi" w:hAnsiTheme="majorBidi" w:cstheme="majorBidi"/>
          <w:i/>
          <w:iCs/>
          <w:sz w:val="20"/>
          <w:szCs w:val="20"/>
        </w:rPr>
        <w:t>Libya: A European War?</w:t>
      </w:r>
      <w:r w:rsidRPr="009F51B0">
        <w:rPr>
          <w:rFonts w:asciiTheme="majorBidi" w:hAnsiTheme="majorBidi" w:cstheme="majorBidi"/>
          <w:sz w:val="20"/>
          <w:szCs w:val="20"/>
        </w:rPr>
        <w:t xml:space="preserve"> , European Union Center of </w:t>
      </w:r>
      <w:r w:rsidR="00DF6550" w:rsidRPr="009F51B0">
        <w:rPr>
          <w:rFonts w:asciiTheme="majorBidi" w:hAnsiTheme="majorBidi" w:cstheme="majorBidi"/>
          <w:sz w:val="20"/>
          <w:szCs w:val="20"/>
        </w:rPr>
        <w:t>Excellence</w:t>
      </w:r>
      <w:r w:rsidRPr="009F51B0">
        <w:rPr>
          <w:rFonts w:asciiTheme="majorBidi" w:hAnsiTheme="majorBidi" w:cstheme="majorBidi"/>
          <w:sz w:val="20"/>
          <w:szCs w:val="20"/>
        </w:rPr>
        <w:t>, July 2011</w:t>
      </w:r>
      <w:r w:rsidR="00DF6550" w:rsidRPr="009F51B0">
        <w:rPr>
          <w:rFonts w:asciiTheme="majorBidi" w:hAnsiTheme="majorBidi" w:cstheme="majorBidi"/>
          <w:sz w:val="20"/>
          <w:szCs w:val="20"/>
        </w:rPr>
        <w:t>, P1. [Online</w:t>
      </w:r>
      <w:r w:rsidRPr="009F51B0">
        <w:rPr>
          <w:rFonts w:asciiTheme="majorBidi" w:hAnsiTheme="majorBidi" w:cstheme="majorBidi"/>
          <w:sz w:val="20"/>
          <w:szCs w:val="20"/>
        </w:rPr>
        <w:t xml:space="preserve">] Available from: </w:t>
      </w:r>
      <w:hyperlink r:id="rId9" w:history="1">
        <w:r w:rsidRPr="009F51B0">
          <w:rPr>
            <w:rStyle w:val="Hyperlink"/>
            <w:rFonts w:asciiTheme="majorBidi" w:hAnsiTheme="majorBidi" w:cstheme="majorBidi"/>
            <w:color w:val="auto"/>
            <w:sz w:val="20"/>
            <w:szCs w:val="20"/>
          </w:rPr>
          <w:t>http://www.unc.edu/</w:t>
        </w:r>
      </w:hyperlink>
      <w:r w:rsidRPr="009F51B0">
        <w:rPr>
          <w:rFonts w:asciiTheme="majorBidi" w:hAnsiTheme="majorBidi" w:cstheme="majorBidi"/>
          <w:sz w:val="20"/>
          <w:szCs w:val="20"/>
        </w:rPr>
        <w:t xml:space="preserve"> (retrieved: 2013).</w:t>
      </w:r>
    </w:p>
  </w:footnote>
  <w:footnote w:id="82">
    <w:p w:rsidR="00EF4037" w:rsidRPr="009F51B0" w:rsidRDefault="00EF4037" w:rsidP="00EF4037">
      <w:pPr>
        <w:ind w:left="270"/>
        <w:jc w:val="both"/>
        <w:rPr>
          <w:rFonts w:asciiTheme="majorBidi" w:hAnsiTheme="majorBidi" w:cstheme="majorBidi"/>
          <w:sz w:val="20"/>
          <w:szCs w:val="20"/>
        </w:rPr>
      </w:pPr>
      <w:r w:rsidRPr="009F51B0">
        <w:rPr>
          <w:rStyle w:val="FootnoteReference"/>
          <w:rFonts w:asciiTheme="majorBidi" w:hAnsiTheme="majorBidi" w:cstheme="majorBidi"/>
        </w:rPr>
        <w:footnoteRef/>
      </w:r>
      <w:r w:rsidRPr="009F51B0">
        <w:rPr>
          <w:rFonts w:asciiTheme="majorBidi" w:hAnsiTheme="majorBidi" w:cstheme="majorBidi"/>
          <w:sz w:val="20"/>
          <w:szCs w:val="20"/>
        </w:rPr>
        <w:t xml:space="preserve"> . The ICRC commentary to the article 4 explains that the organization in an armed group may not </w:t>
      </w:r>
      <w:r w:rsidR="00DF6550" w:rsidRPr="009F51B0">
        <w:rPr>
          <w:rFonts w:asciiTheme="majorBidi" w:hAnsiTheme="majorBidi" w:cstheme="majorBidi"/>
          <w:sz w:val="20"/>
          <w:szCs w:val="20"/>
        </w:rPr>
        <w:t>necessarily</w:t>
      </w:r>
      <w:r w:rsidRPr="009F51B0">
        <w:rPr>
          <w:rFonts w:asciiTheme="majorBidi" w:hAnsiTheme="majorBidi" w:cstheme="majorBidi"/>
          <w:sz w:val="20"/>
          <w:szCs w:val="20"/>
        </w:rPr>
        <w:t xml:space="preserve"> be the same as hierarchical as regular armed forces. Refer to</w:t>
      </w:r>
      <w:r>
        <w:rPr>
          <w:rFonts w:asciiTheme="majorBidi" w:hAnsiTheme="majorBidi" w:cstheme="majorBidi"/>
          <w:sz w:val="20"/>
          <w:szCs w:val="20"/>
        </w:rPr>
        <w:t xml:space="preserve"> </w:t>
      </w:r>
      <w:r w:rsidRPr="00470A19">
        <w:rPr>
          <w:rFonts w:asciiTheme="majorBidi" w:hAnsiTheme="majorBidi" w:cstheme="majorBidi"/>
          <w:sz w:val="20"/>
          <w:szCs w:val="20"/>
        </w:rPr>
        <w:t>Sandesh Sivakumaran</w:t>
      </w:r>
      <w:r>
        <w:rPr>
          <w:rFonts w:asciiTheme="majorBidi" w:hAnsiTheme="majorBidi" w:cstheme="majorBidi"/>
          <w:sz w:val="20"/>
          <w:szCs w:val="20"/>
        </w:rPr>
        <w:t xml:space="preserve">, </w:t>
      </w:r>
      <w:r w:rsidRPr="009F51B0">
        <w:rPr>
          <w:rFonts w:asciiTheme="majorBidi" w:hAnsiTheme="majorBidi" w:cstheme="majorBidi"/>
          <w:i/>
          <w:iCs/>
          <w:sz w:val="20"/>
          <w:szCs w:val="20"/>
        </w:rPr>
        <w:t>Note 76</w:t>
      </w:r>
      <w:r>
        <w:rPr>
          <w:rFonts w:asciiTheme="majorBidi" w:hAnsiTheme="majorBidi" w:cstheme="majorBidi"/>
          <w:sz w:val="20"/>
          <w:szCs w:val="20"/>
        </w:rPr>
        <w:t>, P174</w:t>
      </w:r>
      <w:r w:rsidRPr="009F51B0">
        <w:rPr>
          <w:rFonts w:asciiTheme="majorBidi" w:hAnsiTheme="majorBidi" w:cstheme="majorBidi"/>
          <w:sz w:val="20"/>
          <w:szCs w:val="20"/>
        </w:rPr>
        <w:t xml:space="preserve">. </w:t>
      </w:r>
    </w:p>
  </w:footnote>
  <w:footnote w:id="83">
    <w:p w:rsidR="00EF4037" w:rsidRPr="001B650D" w:rsidRDefault="00EF4037" w:rsidP="00EF4037">
      <w:pPr>
        <w:pStyle w:val="FootnoteText"/>
        <w:ind w:left="270"/>
        <w:jc w:val="both"/>
        <w:rPr>
          <w:rFonts w:asciiTheme="majorBidi" w:hAnsiTheme="majorBidi" w:cstheme="majorBidi"/>
          <w:rtl/>
        </w:rPr>
      </w:pPr>
      <w:r w:rsidRPr="001B650D">
        <w:rPr>
          <w:rStyle w:val="FootnoteReference"/>
          <w:rFonts w:asciiTheme="majorBidi" w:hAnsiTheme="majorBidi" w:cstheme="majorBidi"/>
        </w:rPr>
        <w:footnoteRef/>
      </w:r>
      <w:r w:rsidRPr="001B650D">
        <w:rPr>
          <w:rFonts w:asciiTheme="majorBidi" w:hAnsiTheme="majorBidi" w:cstheme="majorBidi"/>
        </w:rPr>
        <w:t xml:space="preserve"> . </w:t>
      </w:r>
      <w:r>
        <w:rPr>
          <w:rFonts w:asciiTheme="majorBidi" w:hAnsiTheme="majorBidi" w:cstheme="majorBidi"/>
        </w:rPr>
        <w:t xml:space="preserve">M Peterson, </w:t>
      </w:r>
      <w:r w:rsidRPr="00667187">
        <w:rPr>
          <w:rFonts w:asciiTheme="majorBidi" w:hAnsiTheme="majorBidi" w:cstheme="majorBidi"/>
          <w:i/>
          <w:iCs/>
        </w:rPr>
        <w:t>Recognition of Governments: Legal Doctrine and State Practice, 1815-</w:t>
      </w:r>
      <w:r w:rsidR="00DF6550" w:rsidRPr="00667187">
        <w:rPr>
          <w:rFonts w:asciiTheme="majorBidi" w:hAnsiTheme="majorBidi" w:cstheme="majorBidi"/>
          <w:i/>
          <w:iCs/>
        </w:rPr>
        <w:t>1995</w:t>
      </w:r>
      <w:r w:rsidR="00DF6550" w:rsidRPr="001B650D">
        <w:rPr>
          <w:rFonts w:asciiTheme="majorBidi" w:hAnsiTheme="majorBidi" w:cstheme="majorBidi"/>
        </w:rPr>
        <w:t>, England</w:t>
      </w:r>
      <w:r>
        <w:rPr>
          <w:rFonts w:asciiTheme="majorBidi" w:hAnsiTheme="majorBidi" w:cstheme="majorBidi"/>
        </w:rPr>
        <w:t xml:space="preserve">: </w:t>
      </w:r>
      <w:r w:rsidRPr="001B650D">
        <w:rPr>
          <w:rFonts w:asciiTheme="majorBidi" w:hAnsiTheme="majorBidi" w:cstheme="majorBidi"/>
        </w:rPr>
        <w:t>Palgrave Mac</w:t>
      </w:r>
      <w:r>
        <w:rPr>
          <w:rFonts w:asciiTheme="majorBidi" w:hAnsiTheme="majorBidi" w:cstheme="majorBidi"/>
        </w:rPr>
        <w:t>mill</w:t>
      </w:r>
      <w:r w:rsidRPr="001B650D">
        <w:rPr>
          <w:rFonts w:asciiTheme="majorBidi" w:hAnsiTheme="majorBidi" w:cstheme="majorBidi"/>
        </w:rPr>
        <w:t>an</w:t>
      </w:r>
      <w:r w:rsidR="00DF6550" w:rsidRPr="001B650D">
        <w:rPr>
          <w:rFonts w:asciiTheme="majorBidi" w:hAnsiTheme="majorBidi" w:cstheme="majorBidi"/>
        </w:rPr>
        <w:t>, 1997</w:t>
      </w:r>
      <w:r w:rsidRPr="001B650D">
        <w:rPr>
          <w:rFonts w:asciiTheme="majorBidi" w:hAnsiTheme="majorBidi" w:cstheme="majorBidi"/>
        </w:rPr>
        <w:t>, P36.</w:t>
      </w:r>
    </w:p>
    <w:p w:rsidR="00EF4037" w:rsidRPr="001B650D" w:rsidRDefault="00EF4037" w:rsidP="00EF4037">
      <w:pPr>
        <w:pStyle w:val="FootnoteText"/>
        <w:ind w:left="270"/>
        <w:jc w:val="both"/>
        <w:rPr>
          <w:rFonts w:asciiTheme="majorBidi" w:hAnsiTheme="majorBidi" w:cstheme="majorBidi"/>
        </w:rPr>
      </w:pPr>
    </w:p>
  </w:footnote>
  <w:footnote w:id="84">
    <w:p w:rsidR="00EF4037" w:rsidRDefault="00EF4037" w:rsidP="00EF4037">
      <w:pPr>
        <w:pStyle w:val="FootnoteText"/>
        <w:ind w:left="270"/>
        <w:jc w:val="both"/>
        <w:rPr>
          <w:rFonts w:asciiTheme="majorBidi" w:hAnsiTheme="majorBidi" w:cstheme="majorBidi"/>
        </w:rPr>
      </w:pPr>
      <w:r w:rsidRPr="001B650D">
        <w:rPr>
          <w:rStyle w:val="FootnoteReference"/>
          <w:rFonts w:asciiTheme="majorBidi" w:hAnsiTheme="majorBidi" w:cstheme="majorBidi"/>
        </w:rPr>
        <w:footnoteRef/>
      </w:r>
      <w:r w:rsidRPr="001B650D">
        <w:rPr>
          <w:rFonts w:asciiTheme="majorBidi" w:hAnsiTheme="majorBidi" w:cstheme="majorBidi"/>
        </w:rPr>
        <w:t xml:space="preserve"> . Rudiger Wolfrum and christiane E. </w:t>
      </w:r>
      <w:r w:rsidR="00DF6550" w:rsidRPr="001B650D">
        <w:rPr>
          <w:rFonts w:asciiTheme="majorBidi" w:hAnsiTheme="majorBidi" w:cstheme="majorBidi"/>
        </w:rPr>
        <w:t>Philipp,</w:t>
      </w:r>
      <w:r w:rsidRPr="001B650D">
        <w:rPr>
          <w:rFonts w:asciiTheme="majorBidi" w:hAnsiTheme="majorBidi" w:cstheme="majorBidi"/>
        </w:rPr>
        <w:t xml:space="preserve"> </w:t>
      </w:r>
      <w:r w:rsidRPr="003D7B63">
        <w:rPr>
          <w:rFonts w:asciiTheme="majorBidi" w:hAnsiTheme="majorBidi" w:cstheme="majorBidi"/>
          <w:i/>
          <w:iCs/>
        </w:rPr>
        <w:t>Note 56</w:t>
      </w:r>
      <w:r w:rsidRPr="001B650D">
        <w:rPr>
          <w:rFonts w:asciiTheme="majorBidi" w:hAnsiTheme="majorBidi" w:cstheme="majorBidi"/>
        </w:rPr>
        <w:t>, P562.</w:t>
      </w:r>
    </w:p>
    <w:p w:rsidR="00EF4037" w:rsidRPr="001B650D" w:rsidRDefault="00EF4037" w:rsidP="00EF4037">
      <w:pPr>
        <w:pStyle w:val="FootnoteText"/>
        <w:ind w:left="270"/>
        <w:jc w:val="both"/>
        <w:rPr>
          <w:rFonts w:asciiTheme="majorBidi" w:hAnsiTheme="majorBidi" w:cstheme="majorBidi"/>
        </w:rPr>
      </w:pPr>
    </w:p>
  </w:footnote>
  <w:footnote w:id="85">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w:t>
      </w:r>
      <w:r>
        <w:rPr>
          <w:rFonts w:asciiTheme="majorBidi" w:hAnsiTheme="majorBidi" w:cstheme="majorBidi"/>
          <w:sz w:val="20"/>
          <w:szCs w:val="20"/>
        </w:rPr>
        <w:t xml:space="preserve">Robin Geiss, et al., </w:t>
      </w:r>
      <w:r w:rsidRPr="00CD4F1B">
        <w:rPr>
          <w:rFonts w:asciiTheme="majorBidi" w:hAnsiTheme="majorBidi" w:cstheme="majorBidi"/>
          <w:i/>
          <w:iCs/>
          <w:sz w:val="20"/>
          <w:szCs w:val="20"/>
        </w:rPr>
        <w:t>Piracy and Armed Robbery at Sea: The Legal Framework for Counter-Piracy Operations in Somalia and the Gulf of Aden</w:t>
      </w:r>
      <w:r>
        <w:rPr>
          <w:rFonts w:asciiTheme="majorBidi" w:hAnsiTheme="majorBidi" w:cstheme="majorBidi"/>
          <w:sz w:val="20"/>
          <w:szCs w:val="20"/>
        </w:rPr>
        <w:t xml:space="preserve">, Oxford: OUP </w:t>
      </w:r>
      <w:r w:rsidR="00DF6550">
        <w:rPr>
          <w:rFonts w:asciiTheme="majorBidi" w:hAnsiTheme="majorBidi" w:cstheme="majorBidi"/>
          <w:sz w:val="20"/>
          <w:szCs w:val="20"/>
        </w:rPr>
        <w:t>Oxford,</w:t>
      </w:r>
      <w:r>
        <w:rPr>
          <w:rFonts w:asciiTheme="majorBidi" w:hAnsiTheme="majorBidi" w:cstheme="majorBidi"/>
          <w:sz w:val="20"/>
          <w:szCs w:val="20"/>
        </w:rPr>
        <w:t xml:space="preserve"> 2011, P 118. </w:t>
      </w:r>
    </w:p>
  </w:footnote>
  <w:footnote w:id="86">
    <w:p w:rsidR="00EF4037" w:rsidRDefault="00EF4037" w:rsidP="00EF4037">
      <w:pPr>
        <w:pStyle w:val="FootnoteText"/>
        <w:ind w:left="270"/>
        <w:jc w:val="both"/>
        <w:rPr>
          <w:rFonts w:asciiTheme="majorBidi" w:hAnsiTheme="majorBidi" w:cstheme="majorBidi"/>
        </w:rPr>
      </w:pPr>
      <w:r w:rsidRPr="001B650D">
        <w:rPr>
          <w:rStyle w:val="FootnoteReference"/>
          <w:rFonts w:asciiTheme="majorBidi" w:hAnsiTheme="majorBidi" w:cstheme="majorBidi"/>
        </w:rPr>
        <w:footnoteRef/>
      </w:r>
      <w:r w:rsidRPr="001B650D">
        <w:rPr>
          <w:rFonts w:asciiTheme="majorBidi" w:hAnsiTheme="majorBidi" w:cstheme="majorBidi"/>
        </w:rPr>
        <w:t xml:space="preserve"> </w:t>
      </w:r>
      <w:r>
        <w:rPr>
          <w:rFonts w:asciiTheme="majorBidi" w:hAnsiTheme="majorBidi" w:cstheme="majorBidi"/>
        </w:rPr>
        <w:t xml:space="preserve">. N. </w:t>
      </w:r>
      <w:r w:rsidR="00DF6550">
        <w:rPr>
          <w:rFonts w:asciiTheme="majorBidi" w:hAnsiTheme="majorBidi" w:cstheme="majorBidi"/>
        </w:rPr>
        <w:t>Shaw</w:t>
      </w:r>
      <w:r>
        <w:rPr>
          <w:rFonts w:asciiTheme="majorBidi" w:hAnsiTheme="majorBidi" w:cstheme="majorBidi"/>
        </w:rPr>
        <w:t xml:space="preserve">, </w:t>
      </w:r>
      <w:r>
        <w:rPr>
          <w:rFonts w:asciiTheme="majorBidi" w:hAnsiTheme="majorBidi" w:cstheme="majorBidi"/>
          <w:i/>
          <w:iCs/>
        </w:rPr>
        <w:t>Note 32</w:t>
      </w:r>
      <w:r w:rsidR="00DF6550" w:rsidRPr="001B650D">
        <w:rPr>
          <w:rFonts w:asciiTheme="majorBidi" w:hAnsiTheme="majorBidi" w:cstheme="majorBidi"/>
        </w:rPr>
        <w:t>, P641</w:t>
      </w:r>
      <w:r w:rsidRPr="001B650D">
        <w:rPr>
          <w:rFonts w:asciiTheme="majorBidi" w:hAnsiTheme="majorBidi" w:cstheme="majorBidi"/>
        </w:rPr>
        <w:t>.</w:t>
      </w:r>
    </w:p>
    <w:p w:rsidR="00EF4037" w:rsidRPr="001B650D" w:rsidRDefault="00EF4037" w:rsidP="00EF4037">
      <w:pPr>
        <w:pStyle w:val="FootnoteText"/>
        <w:ind w:left="270"/>
        <w:jc w:val="both"/>
        <w:rPr>
          <w:rFonts w:asciiTheme="majorBidi" w:hAnsiTheme="majorBidi" w:cstheme="majorBidi"/>
        </w:rPr>
      </w:pPr>
    </w:p>
  </w:footnote>
  <w:footnote w:id="87">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Odette Lienau, </w:t>
      </w:r>
      <w:r w:rsidRPr="007E53E8">
        <w:rPr>
          <w:rFonts w:asciiTheme="majorBidi" w:hAnsiTheme="majorBidi" w:cstheme="majorBidi"/>
          <w:sz w:val="20"/>
          <w:szCs w:val="20"/>
        </w:rPr>
        <w:t>“Who Is the ‘</w:t>
      </w:r>
      <w:r w:rsidR="00DF6550" w:rsidRPr="007E53E8">
        <w:rPr>
          <w:rFonts w:asciiTheme="majorBidi" w:hAnsiTheme="majorBidi" w:cstheme="majorBidi"/>
          <w:sz w:val="20"/>
          <w:szCs w:val="20"/>
        </w:rPr>
        <w:t>Sovereig</w:t>
      </w:r>
      <w:r w:rsidR="00DF6550">
        <w:rPr>
          <w:rFonts w:asciiTheme="majorBidi" w:hAnsiTheme="majorBidi" w:cstheme="majorBidi"/>
          <w:sz w:val="20"/>
          <w:szCs w:val="20"/>
        </w:rPr>
        <w:t>n’ in</w:t>
      </w:r>
      <w:r>
        <w:rPr>
          <w:rFonts w:asciiTheme="majorBidi" w:hAnsiTheme="majorBidi" w:cstheme="majorBidi"/>
          <w:sz w:val="20"/>
          <w:szCs w:val="20"/>
        </w:rPr>
        <w:t xml:space="preserve"> Sovereign Debt? Reinterpre</w:t>
      </w:r>
      <w:r w:rsidRPr="007E53E8">
        <w:rPr>
          <w:rFonts w:asciiTheme="majorBidi" w:hAnsiTheme="majorBidi" w:cstheme="majorBidi"/>
          <w:sz w:val="20"/>
          <w:szCs w:val="20"/>
        </w:rPr>
        <w:t>ting an Open</w:t>
      </w:r>
      <w:r w:rsidRPr="007E53E8">
        <w:rPr>
          <w:rFonts w:asciiTheme="majorBidi" w:hAnsiTheme="majorBidi" w:cstheme="majorBidi"/>
          <w:b/>
          <w:bCs/>
          <w:sz w:val="20"/>
          <w:szCs w:val="20"/>
        </w:rPr>
        <w:t xml:space="preserve"> </w:t>
      </w:r>
      <w:r w:rsidRPr="007E53E8">
        <w:rPr>
          <w:rFonts w:asciiTheme="majorBidi" w:hAnsiTheme="majorBidi" w:cstheme="majorBidi"/>
          <w:sz w:val="20"/>
          <w:szCs w:val="20"/>
        </w:rPr>
        <w:t>Moment in the Early 20</w:t>
      </w:r>
      <w:r w:rsidRPr="007E53E8">
        <w:rPr>
          <w:rFonts w:asciiTheme="majorBidi" w:hAnsiTheme="majorBidi" w:cstheme="majorBidi"/>
          <w:sz w:val="20"/>
          <w:szCs w:val="20"/>
          <w:vertAlign w:val="superscript"/>
        </w:rPr>
        <w:t>th</w:t>
      </w:r>
      <w:r w:rsidRPr="007E53E8">
        <w:rPr>
          <w:rFonts w:asciiTheme="majorBidi" w:hAnsiTheme="majorBidi" w:cstheme="majorBidi"/>
          <w:sz w:val="20"/>
          <w:szCs w:val="20"/>
        </w:rPr>
        <w:t xml:space="preserve"> Century,”</w:t>
      </w:r>
      <w:r w:rsidRPr="001B650D">
        <w:rPr>
          <w:rFonts w:asciiTheme="majorBidi" w:hAnsiTheme="majorBidi" w:cstheme="majorBidi"/>
          <w:sz w:val="20"/>
          <w:szCs w:val="20"/>
        </w:rPr>
        <w:t xml:space="preserve"> </w:t>
      </w:r>
      <w:r w:rsidRPr="007E53E8">
        <w:rPr>
          <w:rFonts w:asciiTheme="majorBidi" w:hAnsiTheme="majorBidi" w:cstheme="majorBidi"/>
          <w:i/>
          <w:iCs/>
          <w:sz w:val="20"/>
          <w:szCs w:val="20"/>
        </w:rPr>
        <w:t>International Law and Justice Working Papers, History and Theory of International Law Series</w:t>
      </w:r>
      <w:r>
        <w:rPr>
          <w:rFonts w:asciiTheme="majorBidi" w:hAnsiTheme="majorBidi" w:cstheme="majorBidi"/>
          <w:sz w:val="20"/>
          <w:szCs w:val="20"/>
        </w:rPr>
        <w:t xml:space="preserve"> , 2007, </w:t>
      </w:r>
      <w:r w:rsidRPr="001B650D">
        <w:rPr>
          <w:rFonts w:asciiTheme="majorBidi" w:hAnsiTheme="majorBidi" w:cstheme="majorBidi"/>
          <w:sz w:val="20"/>
          <w:szCs w:val="20"/>
        </w:rPr>
        <w:t xml:space="preserve"> P</w:t>
      </w:r>
      <w:r w:rsidRPr="001B650D">
        <w:rPr>
          <w:rFonts w:asciiTheme="majorBidi" w:hAnsiTheme="majorBidi" w:cstheme="majorBidi"/>
          <w:sz w:val="20"/>
          <w:szCs w:val="20"/>
          <w:rtl/>
        </w:rPr>
        <w:t>24</w:t>
      </w:r>
      <w:r w:rsidRPr="001B650D">
        <w:rPr>
          <w:rFonts w:asciiTheme="majorBidi" w:hAnsiTheme="majorBidi" w:cstheme="majorBidi"/>
          <w:sz w:val="20"/>
          <w:szCs w:val="20"/>
        </w:rPr>
        <w:t xml:space="preserve"> and  Jonte van Essen , </w:t>
      </w:r>
      <w:r w:rsidRPr="009B0253">
        <w:rPr>
          <w:rFonts w:asciiTheme="majorBidi" w:hAnsiTheme="majorBidi" w:cstheme="majorBidi"/>
          <w:i/>
          <w:iCs/>
          <w:sz w:val="20"/>
          <w:szCs w:val="20"/>
        </w:rPr>
        <w:t>Note 6</w:t>
      </w:r>
      <w:r>
        <w:rPr>
          <w:rFonts w:asciiTheme="majorBidi" w:hAnsiTheme="majorBidi" w:cstheme="majorBidi"/>
          <w:sz w:val="20"/>
          <w:szCs w:val="20"/>
        </w:rPr>
        <w:t xml:space="preserve"> </w:t>
      </w:r>
      <w:r w:rsidRPr="001B650D">
        <w:rPr>
          <w:rFonts w:asciiTheme="majorBidi" w:hAnsiTheme="majorBidi" w:cstheme="majorBidi"/>
          <w:sz w:val="20"/>
          <w:szCs w:val="20"/>
        </w:rPr>
        <w:t>,P</w:t>
      </w:r>
      <w:r w:rsidRPr="001B650D">
        <w:rPr>
          <w:rFonts w:asciiTheme="majorBidi" w:hAnsiTheme="majorBidi" w:cstheme="majorBidi"/>
          <w:sz w:val="20"/>
          <w:szCs w:val="20"/>
          <w:rtl/>
        </w:rPr>
        <w:t>47</w:t>
      </w:r>
      <w:r w:rsidRPr="001B650D">
        <w:rPr>
          <w:rFonts w:asciiTheme="majorBidi" w:hAnsiTheme="majorBidi" w:cstheme="majorBidi"/>
          <w:sz w:val="20"/>
          <w:szCs w:val="20"/>
        </w:rPr>
        <w:t>.</w:t>
      </w:r>
    </w:p>
  </w:footnote>
  <w:footnote w:id="88">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w:t>
      </w:r>
      <w:r w:rsidRPr="001B650D">
        <w:rPr>
          <w:rFonts w:asciiTheme="majorBidi" w:hAnsiTheme="majorBidi" w:cstheme="majorBidi"/>
          <w:sz w:val="20"/>
          <w:szCs w:val="20"/>
          <w:rtl/>
        </w:rPr>
        <w:t xml:space="preserve">. </w:t>
      </w:r>
      <w:r w:rsidRPr="001B650D">
        <w:rPr>
          <w:rFonts w:asciiTheme="majorBidi" w:hAnsiTheme="majorBidi" w:cstheme="majorBidi"/>
          <w:sz w:val="20"/>
          <w:szCs w:val="20"/>
        </w:rPr>
        <w:t xml:space="preserve">On the case of Libya the armed groups were </w:t>
      </w:r>
      <w:r w:rsidR="00DF6550" w:rsidRPr="001B650D">
        <w:rPr>
          <w:rFonts w:asciiTheme="majorBidi" w:hAnsiTheme="majorBidi" w:cstheme="majorBidi"/>
          <w:sz w:val="20"/>
          <w:szCs w:val="20"/>
        </w:rPr>
        <w:t>divided</w:t>
      </w:r>
      <w:r w:rsidRPr="001B650D">
        <w:rPr>
          <w:rFonts w:asciiTheme="majorBidi" w:hAnsiTheme="majorBidi" w:cstheme="majorBidi"/>
          <w:sz w:val="20"/>
          <w:szCs w:val="20"/>
        </w:rPr>
        <w:t xml:space="preserve"> into two parts: rebels and </w:t>
      </w:r>
      <w:r w:rsidR="00DF6550" w:rsidRPr="001B650D">
        <w:rPr>
          <w:rFonts w:asciiTheme="majorBidi" w:hAnsiTheme="majorBidi" w:cstheme="majorBidi"/>
          <w:sz w:val="20"/>
          <w:szCs w:val="20"/>
        </w:rPr>
        <w:t>Gadhafi</w:t>
      </w:r>
      <w:r w:rsidRPr="001B650D">
        <w:rPr>
          <w:rFonts w:asciiTheme="majorBidi" w:hAnsiTheme="majorBidi" w:cstheme="majorBidi"/>
          <w:sz w:val="20"/>
          <w:szCs w:val="20"/>
        </w:rPr>
        <w:t xml:space="preserve"> </w:t>
      </w:r>
      <w:r w:rsidR="00DF6550" w:rsidRPr="001B650D">
        <w:rPr>
          <w:rFonts w:asciiTheme="majorBidi" w:hAnsiTheme="majorBidi" w:cstheme="majorBidi"/>
          <w:sz w:val="20"/>
          <w:szCs w:val="20"/>
        </w:rPr>
        <w:t>loyalist</w:t>
      </w:r>
      <w:r w:rsidRPr="001B650D">
        <w:rPr>
          <w:rFonts w:asciiTheme="majorBidi" w:hAnsiTheme="majorBidi" w:cstheme="majorBidi"/>
          <w:sz w:val="20"/>
          <w:szCs w:val="20"/>
        </w:rPr>
        <w:t xml:space="preserve">. Refer to Emily O’Brien and Andrew Sinclair, </w:t>
      </w:r>
      <w:r w:rsidRPr="00E865DE">
        <w:rPr>
          <w:rFonts w:asciiTheme="majorBidi" w:hAnsiTheme="majorBidi" w:cstheme="majorBidi"/>
          <w:i/>
          <w:iCs/>
          <w:sz w:val="20"/>
          <w:szCs w:val="20"/>
        </w:rPr>
        <w:t>Note 6</w:t>
      </w:r>
      <w:r w:rsidRPr="001B650D">
        <w:rPr>
          <w:rFonts w:asciiTheme="majorBidi" w:hAnsiTheme="majorBidi" w:cstheme="majorBidi"/>
          <w:sz w:val="20"/>
          <w:szCs w:val="20"/>
        </w:rPr>
        <w:t>, P14.</w:t>
      </w:r>
    </w:p>
  </w:footnote>
  <w:footnote w:id="89">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w:t>
      </w:r>
      <w:r w:rsidRPr="00417919">
        <w:rPr>
          <w:rFonts w:asciiTheme="majorBidi" w:hAnsiTheme="majorBidi" w:cstheme="majorBidi"/>
          <w:sz w:val="20"/>
          <w:szCs w:val="20"/>
        </w:rPr>
        <w:t xml:space="preserve">This is exactly what happened in </w:t>
      </w:r>
      <w:r w:rsidR="00DF6550" w:rsidRPr="00417919">
        <w:rPr>
          <w:rFonts w:asciiTheme="majorBidi" w:hAnsiTheme="majorBidi" w:cstheme="majorBidi"/>
          <w:sz w:val="20"/>
          <w:szCs w:val="20"/>
        </w:rPr>
        <w:t>Chechnya</w:t>
      </w:r>
      <w:r w:rsidRPr="00417919">
        <w:rPr>
          <w:rFonts w:asciiTheme="majorBidi" w:hAnsiTheme="majorBidi" w:cstheme="majorBidi"/>
          <w:sz w:val="20"/>
          <w:szCs w:val="20"/>
        </w:rPr>
        <w:t xml:space="preserve">. The Russian troops oppressed local people and turned the population against their presence and resulted to increase of the legitimacy of the Chechen </w:t>
      </w:r>
      <w:r w:rsidR="00DF6550" w:rsidRPr="00417919">
        <w:rPr>
          <w:rFonts w:asciiTheme="majorBidi" w:hAnsiTheme="majorBidi" w:cstheme="majorBidi"/>
          <w:sz w:val="20"/>
          <w:szCs w:val="20"/>
        </w:rPr>
        <w:t>fighters. Please</w:t>
      </w:r>
      <w:r w:rsidRPr="00417919">
        <w:rPr>
          <w:rFonts w:asciiTheme="majorBidi" w:hAnsiTheme="majorBidi" w:cstheme="majorBidi"/>
          <w:sz w:val="20"/>
          <w:szCs w:val="20"/>
        </w:rPr>
        <w:t xml:space="preserve"> refer to:</w:t>
      </w:r>
      <w:r w:rsidRPr="001B650D">
        <w:rPr>
          <w:rFonts w:asciiTheme="majorBidi" w:hAnsiTheme="majorBidi" w:cstheme="majorBidi"/>
          <w:color w:val="0070C0"/>
          <w:sz w:val="20"/>
          <w:szCs w:val="20"/>
        </w:rPr>
        <w:t xml:space="preserve"> </w:t>
      </w:r>
      <w:r>
        <w:rPr>
          <w:rFonts w:asciiTheme="majorBidi" w:hAnsiTheme="majorBidi" w:cstheme="majorBidi"/>
          <w:sz w:val="20"/>
          <w:szCs w:val="20"/>
        </w:rPr>
        <w:t xml:space="preserve">Yury Scherbich, </w:t>
      </w:r>
      <w:r w:rsidRPr="007E53E8">
        <w:rPr>
          <w:rFonts w:asciiTheme="majorBidi" w:hAnsiTheme="majorBidi" w:cstheme="majorBidi"/>
          <w:sz w:val="20"/>
          <w:szCs w:val="20"/>
        </w:rPr>
        <w:t xml:space="preserve">“What Law Applies to the Conflict in  </w:t>
      </w:r>
      <w:r w:rsidR="00DF6550" w:rsidRPr="007E53E8">
        <w:rPr>
          <w:rFonts w:asciiTheme="majorBidi" w:hAnsiTheme="majorBidi" w:cstheme="majorBidi"/>
          <w:sz w:val="20"/>
          <w:szCs w:val="20"/>
        </w:rPr>
        <w:t>Chechnya</w:t>
      </w:r>
      <w:r w:rsidRPr="007E53E8">
        <w:rPr>
          <w:rFonts w:asciiTheme="majorBidi" w:hAnsiTheme="majorBidi" w:cstheme="majorBidi"/>
          <w:sz w:val="20"/>
          <w:szCs w:val="20"/>
        </w:rPr>
        <w:t>:</w:t>
      </w:r>
      <w:r w:rsidR="00DF6550">
        <w:rPr>
          <w:rFonts w:asciiTheme="majorBidi" w:hAnsiTheme="majorBidi" w:cstheme="majorBidi"/>
          <w:sz w:val="20"/>
          <w:szCs w:val="20"/>
        </w:rPr>
        <w:t xml:space="preserve"> </w:t>
      </w:r>
      <w:r w:rsidRPr="007E53E8">
        <w:rPr>
          <w:rFonts w:asciiTheme="majorBidi" w:hAnsiTheme="majorBidi" w:cstheme="majorBidi"/>
          <w:sz w:val="20"/>
          <w:szCs w:val="20"/>
        </w:rPr>
        <w:t xml:space="preserve">THE Legal Gap of Contemporary International </w:t>
      </w:r>
      <w:r w:rsidR="00DF6550" w:rsidRPr="007E53E8">
        <w:rPr>
          <w:rFonts w:asciiTheme="majorBidi" w:hAnsiTheme="majorBidi" w:cstheme="majorBidi"/>
          <w:sz w:val="20"/>
          <w:szCs w:val="20"/>
        </w:rPr>
        <w:t>Humanitarian</w:t>
      </w:r>
      <w:r w:rsidRPr="007E53E8">
        <w:rPr>
          <w:rFonts w:asciiTheme="majorBidi" w:hAnsiTheme="majorBidi" w:cstheme="majorBidi"/>
          <w:sz w:val="20"/>
          <w:szCs w:val="20"/>
        </w:rPr>
        <w:t xml:space="preserve"> Law of  Non-International Armed Conflicts,”</w:t>
      </w:r>
      <w:r w:rsidRPr="001B650D">
        <w:rPr>
          <w:rFonts w:asciiTheme="majorBidi" w:hAnsiTheme="majorBidi" w:cstheme="majorBidi"/>
          <w:sz w:val="20"/>
          <w:szCs w:val="20"/>
        </w:rPr>
        <w:t xml:space="preserve"> </w:t>
      </w:r>
      <w:r w:rsidRPr="007E53E8">
        <w:rPr>
          <w:rFonts w:asciiTheme="majorBidi" w:hAnsiTheme="majorBidi" w:cstheme="majorBidi"/>
          <w:i/>
          <w:iCs/>
          <w:sz w:val="20"/>
          <w:szCs w:val="20"/>
        </w:rPr>
        <w:t>Free Law Journal</w:t>
      </w:r>
      <w:r w:rsidRPr="001B650D">
        <w:rPr>
          <w:rFonts w:asciiTheme="majorBidi" w:hAnsiTheme="majorBidi" w:cstheme="majorBidi"/>
          <w:sz w:val="20"/>
          <w:szCs w:val="20"/>
        </w:rPr>
        <w:t xml:space="preserve">, Special Issue,- Volume 1, Number </w:t>
      </w:r>
      <w:r>
        <w:rPr>
          <w:rFonts w:asciiTheme="majorBidi" w:hAnsiTheme="majorBidi" w:cstheme="majorBidi"/>
          <w:sz w:val="20"/>
          <w:szCs w:val="20"/>
        </w:rPr>
        <w:t xml:space="preserve">1 , August 2005 </w:t>
      </w:r>
      <w:r w:rsidRPr="001B650D">
        <w:rPr>
          <w:rFonts w:asciiTheme="majorBidi" w:hAnsiTheme="majorBidi" w:cstheme="majorBidi"/>
          <w:sz w:val="20"/>
          <w:szCs w:val="20"/>
        </w:rPr>
        <w:t>, P</w:t>
      </w:r>
      <w:r w:rsidRPr="001B650D">
        <w:rPr>
          <w:rFonts w:asciiTheme="majorBidi" w:hAnsiTheme="majorBidi" w:cstheme="majorBidi"/>
          <w:sz w:val="20"/>
          <w:szCs w:val="20"/>
          <w:rtl/>
        </w:rPr>
        <w:t>63</w:t>
      </w:r>
      <w:r w:rsidRPr="001B650D">
        <w:rPr>
          <w:rFonts w:asciiTheme="majorBidi" w:hAnsiTheme="majorBidi" w:cstheme="majorBidi"/>
          <w:sz w:val="20"/>
          <w:szCs w:val="20"/>
        </w:rPr>
        <w:t>.</w:t>
      </w:r>
    </w:p>
  </w:footnote>
  <w:footnote w:id="90">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w:t>
      </w:r>
      <w:r>
        <w:rPr>
          <w:rFonts w:asciiTheme="majorBidi" w:hAnsiTheme="majorBidi" w:cstheme="majorBidi"/>
          <w:sz w:val="20"/>
          <w:szCs w:val="20"/>
        </w:rPr>
        <w:t>S</w:t>
      </w:r>
      <w:r w:rsidRPr="001B650D">
        <w:rPr>
          <w:rFonts w:asciiTheme="majorBidi" w:hAnsiTheme="majorBidi" w:cstheme="majorBidi"/>
          <w:sz w:val="20"/>
          <w:szCs w:val="20"/>
        </w:rPr>
        <w:t xml:space="preserve">uch as handling security of civilians and managing police force, public financial management, health and education. Media reform </w:t>
      </w:r>
      <w:r w:rsidRPr="00474DA1">
        <w:rPr>
          <w:rFonts w:asciiTheme="majorBidi" w:hAnsiTheme="majorBidi" w:cstheme="majorBidi"/>
          <w:sz w:val="20"/>
          <w:szCs w:val="20"/>
        </w:rPr>
        <w:t xml:space="preserve">and ….  Responding to the Challenge of </w:t>
      </w:r>
      <w:r w:rsidR="00DF6550" w:rsidRPr="00474DA1">
        <w:rPr>
          <w:rFonts w:asciiTheme="majorBidi" w:hAnsiTheme="majorBidi" w:cstheme="majorBidi"/>
          <w:sz w:val="20"/>
          <w:szCs w:val="20"/>
        </w:rPr>
        <w:t>Stabilization</w:t>
      </w:r>
      <w:r w:rsidRPr="00474DA1">
        <w:rPr>
          <w:rFonts w:asciiTheme="majorBidi" w:hAnsiTheme="majorBidi" w:cstheme="majorBidi"/>
          <w:sz w:val="20"/>
          <w:szCs w:val="20"/>
        </w:rPr>
        <w:t xml:space="preserve"> in post-conflict Libya.</w:t>
      </w:r>
    </w:p>
  </w:footnote>
  <w:footnote w:id="91">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w:t>
      </w:r>
      <w:r w:rsidRPr="00474DA1">
        <w:rPr>
          <w:rFonts w:asciiTheme="majorBidi" w:hAnsiTheme="majorBidi" w:cstheme="majorBidi"/>
          <w:sz w:val="20"/>
          <w:szCs w:val="20"/>
        </w:rPr>
        <w:t xml:space="preserve"> </w:t>
      </w:r>
      <w:r>
        <w:rPr>
          <w:rFonts w:asciiTheme="majorBidi" w:hAnsiTheme="majorBidi" w:cstheme="majorBidi"/>
          <w:sz w:val="20"/>
          <w:szCs w:val="20"/>
        </w:rPr>
        <w:t xml:space="preserve">Red Cross, </w:t>
      </w:r>
      <w:r w:rsidRPr="007E53E8">
        <w:rPr>
          <w:rFonts w:asciiTheme="majorBidi" w:hAnsiTheme="majorBidi" w:cstheme="majorBidi"/>
          <w:sz w:val="20"/>
          <w:szCs w:val="20"/>
        </w:rPr>
        <w:t>“Understanding armed groups and the applicable law,”</w:t>
      </w:r>
      <w:r w:rsidRPr="00474DA1">
        <w:rPr>
          <w:rFonts w:asciiTheme="majorBidi" w:hAnsiTheme="majorBidi" w:cstheme="majorBidi"/>
          <w:sz w:val="20"/>
          <w:szCs w:val="20"/>
        </w:rPr>
        <w:t xml:space="preserve"> </w:t>
      </w:r>
      <w:r w:rsidRPr="007E53E8">
        <w:rPr>
          <w:rFonts w:asciiTheme="majorBidi" w:hAnsiTheme="majorBidi" w:cstheme="majorBidi"/>
          <w:i/>
          <w:iCs/>
          <w:sz w:val="20"/>
          <w:szCs w:val="20"/>
        </w:rPr>
        <w:t>International Review of the Red Cross</w:t>
      </w:r>
      <w:r w:rsidRPr="00474DA1">
        <w:rPr>
          <w:rFonts w:asciiTheme="majorBidi" w:hAnsiTheme="majorBidi" w:cstheme="majorBidi"/>
          <w:sz w:val="20"/>
          <w:szCs w:val="20"/>
        </w:rPr>
        <w:t>, Volume 93, Number 882, June 2011, P214.</w:t>
      </w:r>
    </w:p>
  </w:footnote>
  <w:footnote w:id="92">
    <w:p w:rsidR="00EF4037" w:rsidRDefault="00EF4037" w:rsidP="00EF4037">
      <w:pPr>
        <w:pStyle w:val="FootnoteText"/>
        <w:ind w:left="270"/>
        <w:rPr>
          <w:rFonts w:asciiTheme="majorBidi" w:hAnsiTheme="majorBidi" w:cstheme="majorBidi"/>
        </w:rPr>
      </w:pPr>
      <w:r w:rsidRPr="001B650D">
        <w:rPr>
          <w:rStyle w:val="FootnoteReference"/>
          <w:rFonts w:asciiTheme="majorBidi" w:hAnsiTheme="majorBidi" w:cstheme="majorBidi"/>
        </w:rPr>
        <w:footnoteRef/>
      </w:r>
      <w:r w:rsidRPr="001B650D">
        <w:rPr>
          <w:rFonts w:asciiTheme="majorBidi" w:hAnsiTheme="majorBidi" w:cstheme="majorBidi"/>
        </w:rPr>
        <w:t xml:space="preserve"> . </w:t>
      </w:r>
      <w:r w:rsidR="00DF6550" w:rsidRPr="003E51DB">
        <w:rPr>
          <w:rFonts w:asciiTheme="majorBidi" w:hAnsiTheme="majorBidi" w:cstheme="majorBidi"/>
        </w:rPr>
        <w:t>On</w:t>
      </w:r>
      <w:r w:rsidRPr="003E51DB">
        <w:rPr>
          <w:rFonts w:asciiTheme="majorBidi" w:hAnsiTheme="majorBidi" w:cstheme="majorBidi"/>
        </w:rPr>
        <w:t xml:space="preserve"> 25 August 2011 Media</w:t>
      </w:r>
      <w:r w:rsidRPr="001B650D">
        <w:rPr>
          <w:rFonts w:asciiTheme="majorBidi" w:hAnsiTheme="majorBidi" w:cstheme="majorBidi"/>
        </w:rPr>
        <w:t xml:space="preserve"> reported that forces supporting the National Transitional Council (NTC) ha</w:t>
      </w:r>
      <w:r>
        <w:rPr>
          <w:rFonts w:asciiTheme="majorBidi" w:hAnsiTheme="majorBidi" w:cstheme="majorBidi"/>
        </w:rPr>
        <w:t xml:space="preserve">ve taken control of most of the </w:t>
      </w:r>
      <w:r w:rsidRPr="001B650D">
        <w:rPr>
          <w:rFonts w:asciiTheme="majorBidi" w:hAnsiTheme="majorBidi" w:cstheme="majorBidi"/>
        </w:rPr>
        <w:t xml:space="preserve">country. </w:t>
      </w:r>
      <w:r>
        <w:rPr>
          <w:rFonts w:asciiTheme="majorBidi" w:hAnsiTheme="majorBidi" w:cstheme="majorBidi"/>
        </w:rPr>
        <w:t xml:space="preserve">[Online] Available from: </w:t>
      </w:r>
      <w:hyperlink r:id="rId10" w:history="1">
        <w:r w:rsidRPr="00A26F4B">
          <w:rPr>
            <w:rStyle w:val="Hyperlink"/>
            <w:rFonts w:asciiTheme="majorBidi" w:hAnsiTheme="majorBidi" w:cstheme="majorBidi"/>
            <w:color w:val="auto"/>
            <w:u w:val="none"/>
          </w:rPr>
          <w:t>http://www.un.org/apps/news/story.asp?NewsID=39383&amp;Cr=libya&amp;Cr1][date</w:t>
        </w:r>
      </w:hyperlink>
      <w:r w:rsidRPr="00A26F4B">
        <w:rPr>
          <w:rFonts w:asciiTheme="majorBidi" w:hAnsiTheme="majorBidi" w:cstheme="majorBidi"/>
        </w:rPr>
        <w:t xml:space="preserve"> of access 4 Nov 2012/ (retrieved: 2013).</w:t>
      </w:r>
    </w:p>
    <w:p w:rsidR="00EF4037" w:rsidRPr="001B650D" w:rsidRDefault="00EF4037" w:rsidP="00EF4037">
      <w:pPr>
        <w:pStyle w:val="FootnoteText"/>
        <w:ind w:left="270"/>
        <w:rPr>
          <w:rFonts w:asciiTheme="majorBidi" w:hAnsiTheme="majorBidi" w:cstheme="majorBidi"/>
        </w:rPr>
      </w:pPr>
    </w:p>
  </w:footnote>
  <w:footnote w:id="93">
    <w:p w:rsidR="00EF4037" w:rsidRPr="005315D0" w:rsidRDefault="00EF4037" w:rsidP="00EF4037">
      <w:pPr>
        <w:ind w:left="270"/>
        <w:jc w:val="both"/>
        <w:rPr>
          <w:rFonts w:asciiTheme="majorBidi" w:hAnsiTheme="majorBidi" w:cstheme="majorBidi"/>
          <w:sz w:val="20"/>
          <w:szCs w:val="20"/>
        </w:rPr>
      </w:pPr>
      <w:r w:rsidRPr="005315D0">
        <w:rPr>
          <w:rStyle w:val="FootnoteReference"/>
          <w:rFonts w:asciiTheme="majorBidi" w:hAnsiTheme="majorBidi" w:cstheme="majorBidi"/>
        </w:rPr>
        <w:footnoteRef/>
      </w:r>
      <w:r w:rsidRPr="005315D0">
        <w:rPr>
          <w:rFonts w:asciiTheme="majorBidi" w:hAnsiTheme="majorBidi" w:cstheme="majorBidi"/>
          <w:sz w:val="20"/>
          <w:szCs w:val="20"/>
        </w:rPr>
        <w:t xml:space="preserve"> . Stefan Talmon, </w:t>
      </w:r>
      <w:r w:rsidRPr="005315D0">
        <w:rPr>
          <w:rFonts w:asciiTheme="majorBidi" w:hAnsiTheme="majorBidi" w:cstheme="majorBidi"/>
          <w:i/>
          <w:iCs/>
          <w:sz w:val="20"/>
          <w:szCs w:val="20"/>
        </w:rPr>
        <w:t>Note 14</w:t>
      </w:r>
      <w:r w:rsidR="00DF6550" w:rsidRPr="005315D0">
        <w:rPr>
          <w:rFonts w:asciiTheme="majorBidi" w:hAnsiTheme="majorBidi" w:cstheme="majorBidi"/>
          <w:sz w:val="20"/>
          <w:szCs w:val="20"/>
        </w:rPr>
        <w:t>, P7</w:t>
      </w:r>
      <w:r w:rsidRPr="005315D0">
        <w:rPr>
          <w:rFonts w:asciiTheme="majorBidi" w:hAnsiTheme="majorBidi" w:cstheme="majorBidi"/>
          <w:sz w:val="20"/>
          <w:szCs w:val="20"/>
        </w:rPr>
        <w:t xml:space="preserve">, </w:t>
      </w:r>
      <w:r w:rsidR="00DF6550" w:rsidRPr="005315D0">
        <w:rPr>
          <w:rFonts w:asciiTheme="majorBidi" w:hAnsiTheme="majorBidi" w:cstheme="majorBidi"/>
          <w:sz w:val="20"/>
          <w:szCs w:val="20"/>
        </w:rPr>
        <w:t>and Council</w:t>
      </w:r>
      <w:r w:rsidRPr="005315D0">
        <w:rPr>
          <w:rFonts w:asciiTheme="majorBidi" w:hAnsiTheme="majorBidi" w:cstheme="majorBidi"/>
          <w:sz w:val="20"/>
          <w:szCs w:val="20"/>
        </w:rPr>
        <w:t xml:space="preserve"> of the European Union, </w:t>
      </w:r>
      <w:r w:rsidRPr="005315D0">
        <w:rPr>
          <w:rFonts w:asciiTheme="majorBidi" w:hAnsiTheme="majorBidi" w:cstheme="majorBidi"/>
          <w:i/>
          <w:iCs/>
          <w:sz w:val="20"/>
          <w:szCs w:val="20"/>
        </w:rPr>
        <w:t>Note 15</w:t>
      </w:r>
      <w:r w:rsidRPr="005315D0">
        <w:rPr>
          <w:rFonts w:asciiTheme="majorBidi" w:hAnsiTheme="majorBidi" w:cstheme="majorBidi"/>
          <w:sz w:val="20"/>
          <w:szCs w:val="20"/>
        </w:rPr>
        <w:t xml:space="preserve">. </w:t>
      </w:r>
    </w:p>
  </w:footnote>
  <w:footnote w:id="94">
    <w:p w:rsidR="00EF4037" w:rsidRPr="00A26F4B" w:rsidRDefault="00EF4037" w:rsidP="00EF4037">
      <w:pPr>
        <w:pStyle w:val="FootnoteText"/>
        <w:ind w:left="270"/>
        <w:jc w:val="both"/>
        <w:rPr>
          <w:rFonts w:asciiTheme="majorBidi" w:hAnsiTheme="majorBidi" w:cstheme="majorBidi"/>
        </w:rPr>
      </w:pPr>
      <w:r w:rsidRPr="00A26F4B">
        <w:rPr>
          <w:rStyle w:val="FootnoteReference"/>
          <w:rFonts w:asciiTheme="majorBidi" w:hAnsiTheme="majorBidi" w:cstheme="majorBidi"/>
        </w:rPr>
        <w:footnoteRef/>
      </w:r>
      <w:r w:rsidRPr="00A26F4B">
        <w:rPr>
          <w:rFonts w:asciiTheme="majorBidi" w:hAnsiTheme="majorBidi" w:cstheme="majorBidi"/>
        </w:rPr>
        <w:t xml:space="preserve"> . Kieran Morris, “The Arab Spring: The Rise of </w:t>
      </w:r>
      <w:r w:rsidR="00DF6550" w:rsidRPr="00A26F4B">
        <w:rPr>
          <w:rFonts w:asciiTheme="majorBidi" w:hAnsiTheme="majorBidi" w:cstheme="majorBidi"/>
        </w:rPr>
        <w:t>Human Security</w:t>
      </w:r>
      <w:r w:rsidRPr="00A26F4B">
        <w:rPr>
          <w:rFonts w:asciiTheme="majorBidi" w:hAnsiTheme="majorBidi" w:cstheme="majorBidi"/>
        </w:rPr>
        <w:t xml:space="preserve"> and the </w:t>
      </w:r>
      <w:r w:rsidR="00DF6550" w:rsidRPr="00A26F4B">
        <w:rPr>
          <w:rFonts w:asciiTheme="majorBidi" w:hAnsiTheme="majorBidi" w:cstheme="majorBidi"/>
        </w:rPr>
        <w:t>fall</w:t>
      </w:r>
      <w:r w:rsidRPr="00A26F4B">
        <w:rPr>
          <w:rFonts w:asciiTheme="majorBidi" w:hAnsiTheme="majorBidi" w:cstheme="majorBidi"/>
        </w:rPr>
        <w:t xml:space="preserve"> of Dictatorship,</w:t>
      </w:r>
      <w:r w:rsidR="00DF6550" w:rsidRPr="00A26F4B">
        <w:rPr>
          <w:rFonts w:asciiTheme="majorBidi" w:hAnsiTheme="majorBidi" w:cstheme="majorBidi"/>
        </w:rPr>
        <w:t>” Internet</w:t>
      </w:r>
      <w:r w:rsidRPr="00A26F4B">
        <w:rPr>
          <w:rFonts w:asciiTheme="majorBidi" w:hAnsiTheme="majorBidi" w:cstheme="majorBidi"/>
          <w:i/>
          <w:iCs/>
        </w:rPr>
        <w:t xml:space="preserve"> Journal of Criminology</w:t>
      </w:r>
      <w:r w:rsidRPr="00A26F4B">
        <w:rPr>
          <w:rFonts w:asciiTheme="majorBidi" w:hAnsiTheme="majorBidi" w:cstheme="majorBidi"/>
        </w:rPr>
        <w:t xml:space="preserve">, ISSN 2045-6743 (Online), P19. [Online] Available from: </w:t>
      </w:r>
      <w:hyperlink r:id="rId11" w:history="1">
        <w:r w:rsidRPr="00A26F4B">
          <w:rPr>
            <w:rStyle w:val="Hyperlink"/>
            <w:rFonts w:asciiTheme="majorBidi" w:hAnsiTheme="majorBidi" w:cstheme="majorBidi"/>
            <w:color w:val="auto"/>
          </w:rPr>
          <w:t>http://www.internetjournalofcriminology.com/Morris_The_Arab_Spring_IJC_July_2012.pdf/</w:t>
        </w:r>
      </w:hyperlink>
      <w:r w:rsidRPr="00A26F4B">
        <w:rPr>
          <w:rFonts w:asciiTheme="majorBidi" w:hAnsiTheme="majorBidi" w:cstheme="majorBidi"/>
        </w:rPr>
        <w:t xml:space="preserve"> (retrieved: 2013).</w:t>
      </w:r>
    </w:p>
    <w:p w:rsidR="00EF4037" w:rsidRPr="00FC1B64" w:rsidRDefault="00EF4037" w:rsidP="00EF4037">
      <w:pPr>
        <w:pStyle w:val="FootnoteText"/>
        <w:ind w:left="270"/>
      </w:pPr>
    </w:p>
  </w:footnote>
  <w:footnote w:id="95">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Mr. Dix was an American national who involved business in Venezuela at the time of Venezuelan revolution in 1903. The revolutionaries stole Mr.Dix`s </w:t>
      </w:r>
      <w:r w:rsidR="00DF6550" w:rsidRPr="001B650D">
        <w:rPr>
          <w:rFonts w:asciiTheme="majorBidi" w:hAnsiTheme="majorBidi" w:cstheme="majorBidi"/>
          <w:sz w:val="20"/>
          <w:szCs w:val="20"/>
        </w:rPr>
        <w:t>cattle</w:t>
      </w:r>
      <w:r w:rsidRPr="001B650D">
        <w:rPr>
          <w:rFonts w:asciiTheme="majorBidi" w:hAnsiTheme="majorBidi" w:cstheme="majorBidi"/>
          <w:sz w:val="20"/>
          <w:szCs w:val="20"/>
        </w:rPr>
        <w:t xml:space="preserve"> and the tribunal decided compensation for his stolen cattle. Dix</w:t>
      </w:r>
      <w:r w:rsidRPr="001B650D">
        <w:rPr>
          <w:rFonts w:asciiTheme="majorBidi" w:hAnsiTheme="majorBidi" w:cstheme="majorBidi"/>
          <w:sz w:val="20"/>
          <w:szCs w:val="20"/>
          <w:rtl/>
        </w:rPr>
        <w:t xml:space="preserve"> </w:t>
      </w:r>
      <w:r w:rsidRPr="001B650D">
        <w:rPr>
          <w:rFonts w:asciiTheme="majorBidi" w:hAnsiTheme="majorBidi" w:cstheme="majorBidi"/>
          <w:sz w:val="20"/>
          <w:szCs w:val="20"/>
        </w:rPr>
        <w:t xml:space="preserve">case, US–Venezuela Commission, Award of 1903, at9 UNRIAA </w:t>
      </w:r>
      <w:r>
        <w:rPr>
          <w:rFonts w:asciiTheme="majorBidi" w:hAnsiTheme="majorBidi" w:cstheme="majorBidi"/>
          <w:sz w:val="20"/>
          <w:szCs w:val="20"/>
        </w:rPr>
        <w:t xml:space="preserve">119, at 120, Patrick Dumberry, </w:t>
      </w:r>
      <w:r>
        <w:rPr>
          <w:rFonts w:asciiTheme="majorBidi" w:hAnsiTheme="majorBidi" w:cstheme="majorBidi"/>
          <w:i/>
          <w:iCs/>
          <w:sz w:val="20"/>
          <w:szCs w:val="20"/>
        </w:rPr>
        <w:t>Note 54</w:t>
      </w:r>
      <w:r w:rsidRPr="001B650D">
        <w:rPr>
          <w:rFonts w:asciiTheme="majorBidi" w:hAnsiTheme="majorBidi" w:cstheme="majorBidi"/>
          <w:sz w:val="20"/>
          <w:szCs w:val="20"/>
        </w:rPr>
        <w:t xml:space="preserve">, P609. </w:t>
      </w:r>
    </w:p>
  </w:footnote>
  <w:footnote w:id="96">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 </w:t>
      </w:r>
      <w:r>
        <w:rPr>
          <w:rFonts w:asciiTheme="majorBidi" w:hAnsiTheme="majorBidi" w:cstheme="majorBidi"/>
          <w:sz w:val="20"/>
          <w:szCs w:val="20"/>
        </w:rPr>
        <w:t xml:space="preserve">James Crawford, </w:t>
      </w:r>
      <w:r w:rsidRPr="00D55921">
        <w:rPr>
          <w:rFonts w:asciiTheme="majorBidi" w:hAnsiTheme="majorBidi" w:cstheme="majorBidi"/>
          <w:i/>
          <w:iCs/>
          <w:sz w:val="20"/>
          <w:szCs w:val="20"/>
        </w:rPr>
        <w:t>The International Law Commissions Articles on State Responsibility: Introduction, Text and Commentaries</w:t>
      </w:r>
      <w:r>
        <w:rPr>
          <w:rFonts w:asciiTheme="majorBidi" w:hAnsiTheme="majorBidi" w:cstheme="majorBidi"/>
          <w:sz w:val="20"/>
          <w:szCs w:val="20"/>
        </w:rPr>
        <w:t xml:space="preserve">, </w:t>
      </w:r>
      <w:r w:rsidRPr="001B650D">
        <w:rPr>
          <w:rFonts w:asciiTheme="majorBidi" w:hAnsiTheme="majorBidi" w:cstheme="majorBidi"/>
          <w:sz w:val="20"/>
          <w:szCs w:val="20"/>
        </w:rPr>
        <w:t>Cambridge</w:t>
      </w:r>
      <w:r>
        <w:rPr>
          <w:rFonts w:asciiTheme="majorBidi" w:hAnsiTheme="majorBidi" w:cstheme="majorBidi"/>
          <w:sz w:val="20"/>
          <w:szCs w:val="20"/>
        </w:rPr>
        <w:t>: Cambridge University Press, 2002, P115.</w:t>
      </w:r>
    </w:p>
  </w:footnote>
  <w:footnote w:id="97">
    <w:p w:rsidR="00EF4037" w:rsidRPr="00A26F4B" w:rsidRDefault="00EF4037" w:rsidP="00EF4037">
      <w:pPr>
        <w:ind w:left="270"/>
        <w:jc w:val="both"/>
        <w:rPr>
          <w:rFonts w:asciiTheme="majorBidi" w:hAnsiTheme="majorBidi" w:cstheme="majorBidi"/>
          <w:sz w:val="20"/>
          <w:szCs w:val="20"/>
        </w:rPr>
      </w:pPr>
      <w:r w:rsidRPr="00A26F4B">
        <w:rPr>
          <w:rStyle w:val="FootnoteReference"/>
          <w:rFonts w:asciiTheme="majorBidi" w:hAnsiTheme="majorBidi" w:cstheme="majorBidi"/>
        </w:rPr>
        <w:footnoteRef/>
      </w:r>
      <w:r w:rsidRPr="00A26F4B">
        <w:rPr>
          <w:rFonts w:asciiTheme="majorBidi" w:hAnsiTheme="majorBidi" w:cstheme="majorBidi"/>
          <w:sz w:val="20"/>
          <w:szCs w:val="20"/>
        </w:rPr>
        <w:t xml:space="preserve"> . Country Reports on Human Rights Practices for 2011, United States Department of State.[Online] Available From: </w:t>
      </w:r>
      <w:hyperlink r:id="rId12" w:history="1">
        <w:r w:rsidRPr="00A26F4B">
          <w:rPr>
            <w:rStyle w:val="Hyperlink"/>
            <w:rFonts w:asciiTheme="majorBidi" w:hAnsiTheme="majorBidi" w:cstheme="majorBidi"/>
            <w:color w:val="auto"/>
            <w:sz w:val="20"/>
            <w:szCs w:val="20"/>
          </w:rPr>
          <w:t>www.state.gov/</w:t>
        </w:r>
      </w:hyperlink>
      <w:r w:rsidRPr="00A26F4B">
        <w:rPr>
          <w:rFonts w:asciiTheme="majorBidi" w:hAnsiTheme="majorBidi" w:cstheme="majorBidi"/>
          <w:sz w:val="20"/>
          <w:szCs w:val="20"/>
        </w:rPr>
        <w:t xml:space="preserve"> (retrieved: 2013)</w:t>
      </w:r>
    </w:p>
  </w:footnote>
  <w:footnote w:id="98">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w:t>
      </w:r>
      <w:r>
        <w:rPr>
          <w:rFonts w:asciiTheme="majorBidi" w:hAnsiTheme="majorBidi" w:cstheme="majorBidi"/>
          <w:sz w:val="20"/>
          <w:szCs w:val="20"/>
        </w:rPr>
        <w:t xml:space="preserve">. </w:t>
      </w:r>
      <w:r w:rsidRPr="001B650D">
        <w:rPr>
          <w:rFonts w:asciiTheme="majorBidi" w:hAnsiTheme="majorBidi" w:cstheme="majorBidi"/>
          <w:sz w:val="20"/>
          <w:szCs w:val="20"/>
        </w:rPr>
        <w:t xml:space="preserve">Amnesty International, </w:t>
      </w:r>
      <w:r>
        <w:rPr>
          <w:rFonts w:asciiTheme="majorBidi" w:hAnsiTheme="majorBidi" w:cstheme="majorBidi"/>
          <w:sz w:val="20"/>
          <w:szCs w:val="20"/>
        </w:rPr>
        <w:t>Note 6,</w:t>
      </w:r>
      <w:r w:rsidRPr="001B650D">
        <w:rPr>
          <w:rFonts w:asciiTheme="majorBidi" w:hAnsiTheme="majorBidi" w:cstheme="majorBidi"/>
          <w:sz w:val="20"/>
          <w:szCs w:val="20"/>
        </w:rPr>
        <w:t xml:space="preserve"> P23 </w:t>
      </w:r>
      <w:r w:rsidR="00DF6550" w:rsidRPr="001B650D">
        <w:rPr>
          <w:rFonts w:asciiTheme="majorBidi" w:hAnsiTheme="majorBidi" w:cstheme="majorBidi"/>
          <w:sz w:val="20"/>
          <w:szCs w:val="20"/>
        </w:rPr>
        <w:t>and Stefan</w:t>
      </w:r>
      <w:r w:rsidRPr="001B650D">
        <w:rPr>
          <w:rFonts w:asciiTheme="majorBidi" w:hAnsiTheme="majorBidi" w:cstheme="majorBidi"/>
          <w:sz w:val="20"/>
          <w:szCs w:val="20"/>
        </w:rPr>
        <w:t xml:space="preserve"> Talmon, </w:t>
      </w:r>
      <w:r w:rsidRPr="00BA6BA2">
        <w:rPr>
          <w:rFonts w:asciiTheme="majorBidi" w:hAnsiTheme="majorBidi" w:cstheme="majorBidi"/>
          <w:i/>
          <w:iCs/>
          <w:sz w:val="20"/>
          <w:szCs w:val="20"/>
        </w:rPr>
        <w:t xml:space="preserve">Note </w:t>
      </w:r>
      <w:r w:rsidR="00DF6550" w:rsidRPr="00BA6BA2">
        <w:rPr>
          <w:rFonts w:asciiTheme="majorBidi" w:hAnsiTheme="majorBidi" w:cstheme="majorBidi"/>
          <w:i/>
          <w:iCs/>
          <w:sz w:val="20"/>
          <w:szCs w:val="20"/>
        </w:rPr>
        <w:t>14</w:t>
      </w:r>
      <w:r w:rsidR="00DF6550">
        <w:rPr>
          <w:rFonts w:asciiTheme="majorBidi" w:hAnsiTheme="majorBidi" w:cstheme="majorBidi"/>
          <w:sz w:val="20"/>
          <w:szCs w:val="20"/>
        </w:rPr>
        <w:t>, P2</w:t>
      </w:r>
      <w:r w:rsidR="00DF6550" w:rsidRPr="001B650D">
        <w:rPr>
          <w:rFonts w:asciiTheme="majorBidi" w:hAnsiTheme="majorBidi" w:cstheme="majorBidi"/>
          <w:sz w:val="20"/>
          <w:szCs w:val="20"/>
        </w:rPr>
        <w:t>.</w:t>
      </w:r>
    </w:p>
  </w:footnote>
  <w:footnote w:id="99">
    <w:p w:rsidR="00EF4037" w:rsidRPr="00A26F4B" w:rsidRDefault="00EF4037" w:rsidP="00EF4037">
      <w:pPr>
        <w:pStyle w:val="FootnoteText"/>
        <w:ind w:left="270"/>
        <w:jc w:val="both"/>
        <w:rPr>
          <w:rFonts w:asciiTheme="majorBidi" w:hAnsiTheme="majorBidi" w:cstheme="majorBidi"/>
        </w:rPr>
      </w:pPr>
      <w:r w:rsidRPr="00A26F4B">
        <w:rPr>
          <w:rStyle w:val="FootnoteReference"/>
          <w:rFonts w:asciiTheme="majorBidi" w:hAnsiTheme="majorBidi" w:cstheme="majorBidi"/>
        </w:rPr>
        <w:footnoteRef/>
      </w:r>
      <w:r w:rsidR="00DF6550" w:rsidRPr="00A26F4B">
        <w:rPr>
          <w:rFonts w:asciiTheme="majorBidi" w:hAnsiTheme="majorBidi" w:cstheme="majorBidi"/>
        </w:rPr>
        <w:t>. [</w:t>
      </w:r>
      <w:r w:rsidRPr="00A26F4B">
        <w:rPr>
          <w:rFonts w:asciiTheme="majorBidi" w:hAnsiTheme="majorBidi" w:cstheme="majorBidi"/>
        </w:rPr>
        <w:t xml:space="preserve">Online] </w:t>
      </w:r>
      <w:r w:rsidR="00DF6550" w:rsidRPr="00A26F4B">
        <w:rPr>
          <w:rFonts w:asciiTheme="majorBidi" w:hAnsiTheme="majorBidi" w:cstheme="majorBidi"/>
        </w:rPr>
        <w:t>Available</w:t>
      </w:r>
      <w:r w:rsidRPr="00A26F4B">
        <w:rPr>
          <w:rFonts w:asciiTheme="majorBidi" w:hAnsiTheme="majorBidi" w:cstheme="majorBidi"/>
        </w:rPr>
        <w:t xml:space="preserve"> from: </w:t>
      </w:r>
      <w:hyperlink r:id="rId13" w:history="1">
        <w:r w:rsidRPr="00A26F4B">
          <w:rPr>
            <w:rStyle w:val="Hyperlink"/>
            <w:rFonts w:asciiTheme="majorBidi" w:hAnsiTheme="majorBidi" w:cstheme="majorBidi"/>
            <w:color w:val="auto"/>
            <w:u w:val="none"/>
          </w:rPr>
          <w:t>http://www.un.org/apps/news/story.asp?NewsID=39383&amp;Cr=libya&amp;Cr1</w:t>
        </w:r>
      </w:hyperlink>
      <w:r w:rsidRPr="00A26F4B">
        <w:rPr>
          <w:rFonts w:asciiTheme="majorBidi" w:hAnsiTheme="majorBidi" w:cstheme="majorBidi"/>
        </w:rPr>
        <w:t>][date of access 4.Nov.2012/ (retrieved: 2013)</w:t>
      </w:r>
      <w:r>
        <w:rPr>
          <w:rFonts w:asciiTheme="majorBidi" w:hAnsiTheme="majorBidi" w:cstheme="majorBidi"/>
        </w:rPr>
        <w:t>.</w:t>
      </w:r>
    </w:p>
    <w:p w:rsidR="00EF4037" w:rsidRPr="001B650D" w:rsidRDefault="00EF4037" w:rsidP="00EF4037">
      <w:pPr>
        <w:pStyle w:val="FootnoteText"/>
        <w:ind w:left="270"/>
        <w:jc w:val="both"/>
        <w:rPr>
          <w:rFonts w:asciiTheme="majorBidi" w:hAnsiTheme="majorBidi" w:cstheme="majorBidi"/>
        </w:rPr>
      </w:pPr>
    </w:p>
  </w:footnote>
  <w:footnote w:id="100">
    <w:p w:rsidR="00EF4037" w:rsidRPr="00487A08" w:rsidRDefault="00EF4037" w:rsidP="00EF4037">
      <w:pPr>
        <w:ind w:left="270"/>
        <w:jc w:val="both"/>
        <w:rPr>
          <w:rFonts w:asciiTheme="majorBidi" w:hAnsiTheme="majorBidi" w:cstheme="majorBidi"/>
          <w:sz w:val="20"/>
          <w:szCs w:val="20"/>
        </w:rPr>
      </w:pPr>
      <w:r w:rsidRPr="00487A08">
        <w:rPr>
          <w:rStyle w:val="FootnoteReference"/>
          <w:rFonts w:asciiTheme="majorBidi" w:hAnsiTheme="majorBidi" w:cstheme="majorBidi"/>
        </w:rPr>
        <w:footnoteRef/>
      </w:r>
      <w:r w:rsidRPr="00487A08">
        <w:rPr>
          <w:rFonts w:asciiTheme="majorBidi" w:hAnsiTheme="majorBidi" w:cstheme="majorBidi"/>
          <w:sz w:val="20"/>
          <w:szCs w:val="20"/>
        </w:rPr>
        <w:t xml:space="preserve"> . Malcom Shaw, Note 32, P460</w:t>
      </w:r>
    </w:p>
  </w:footnote>
  <w:footnote w:id="101">
    <w:p w:rsidR="00EF4037" w:rsidRPr="00A26F4B" w:rsidRDefault="00EF4037" w:rsidP="00EF4037">
      <w:pPr>
        <w:pStyle w:val="FootnoteText"/>
        <w:ind w:left="270"/>
        <w:jc w:val="both"/>
        <w:rPr>
          <w:rFonts w:asciiTheme="majorBidi" w:hAnsiTheme="majorBidi" w:cstheme="majorBidi"/>
        </w:rPr>
      </w:pPr>
      <w:r w:rsidRPr="00A26F4B">
        <w:rPr>
          <w:rStyle w:val="FootnoteReference"/>
          <w:rFonts w:asciiTheme="majorBidi" w:hAnsiTheme="majorBidi" w:cstheme="majorBidi"/>
        </w:rPr>
        <w:footnoteRef/>
      </w:r>
      <w:r w:rsidRPr="00A26F4B">
        <w:rPr>
          <w:rFonts w:asciiTheme="majorBidi" w:hAnsiTheme="majorBidi" w:cstheme="majorBidi"/>
        </w:rPr>
        <w:t xml:space="preserve"> </w:t>
      </w:r>
      <w:r w:rsidR="00DF6550" w:rsidRPr="00A26F4B">
        <w:rPr>
          <w:rFonts w:asciiTheme="majorBidi" w:hAnsiTheme="majorBidi" w:cstheme="majorBidi"/>
        </w:rPr>
        <w:t>. [</w:t>
      </w:r>
      <w:r w:rsidRPr="00A26F4B">
        <w:rPr>
          <w:rFonts w:asciiTheme="majorBidi" w:hAnsiTheme="majorBidi" w:cstheme="majorBidi"/>
        </w:rPr>
        <w:t xml:space="preserve">Online] Available from: </w:t>
      </w:r>
      <w:hyperlink r:id="rId14" w:history="1">
        <w:r w:rsidRPr="00A26F4B">
          <w:rPr>
            <w:rStyle w:val="Hyperlink"/>
            <w:rFonts w:asciiTheme="majorBidi" w:hAnsiTheme="majorBidi" w:cstheme="majorBidi"/>
            <w:color w:val="auto"/>
          </w:rPr>
          <w:t>http://www.un.org/apps/news/infocus/sgspeeches/statments_full.asp?statID=1277/ (</w:t>
        </w:r>
      </w:hyperlink>
      <w:r w:rsidRPr="00A26F4B">
        <w:rPr>
          <w:rStyle w:val="Hyperlink"/>
          <w:rFonts w:asciiTheme="majorBidi" w:hAnsiTheme="majorBidi" w:cstheme="majorBidi"/>
          <w:color w:val="auto"/>
          <w:u w:val="none"/>
        </w:rPr>
        <w:t>Retrieved</w:t>
      </w:r>
      <w:r w:rsidR="00DF6550" w:rsidRPr="00A26F4B">
        <w:rPr>
          <w:rStyle w:val="Hyperlink"/>
          <w:rFonts w:asciiTheme="majorBidi" w:hAnsiTheme="majorBidi" w:cstheme="majorBidi"/>
          <w:color w:val="auto"/>
          <w:u w:val="none"/>
        </w:rPr>
        <w:t>: 2013</w:t>
      </w:r>
      <w:r w:rsidRPr="00A26F4B">
        <w:rPr>
          <w:rStyle w:val="Hyperlink"/>
          <w:rFonts w:asciiTheme="majorBidi" w:hAnsiTheme="majorBidi" w:cstheme="majorBidi"/>
          <w:color w:val="auto"/>
          <w:u w:val="none"/>
        </w:rPr>
        <w:t>)</w:t>
      </w:r>
      <w:r w:rsidRPr="00A26F4B">
        <w:rPr>
          <w:rFonts w:asciiTheme="majorBidi" w:hAnsiTheme="majorBidi" w:cstheme="majorBidi"/>
        </w:rPr>
        <w:t>.</w:t>
      </w:r>
    </w:p>
  </w:footnote>
  <w:footnote w:id="102">
    <w:p w:rsidR="00EF4037" w:rsidRDefault="00EF4037" w:rsidP="00EF4037">
      <w:pPr>
        <w:pStyle w:val="FootnoteText"/>
        <w:ind w:left="270"/>
        <w:jc w:val="both"/>
        <w:rPr>
          <w:rFonts w:asciiTheme="majorBidi" w:hAnsiTheme="majorBidi" w:cstheme="majorBidi"/>
        </w:rPr>
      </w:pPr>
      <w:r w:rsidRPr="00A26F4B">
        <w:rPr>
          <w:rStyle w:val="FootnoteReference"/>
          <w:rFonts w:asciiTheme="majorBidi" w:hAnsiTheme="majorBidi" w:cstheme="majorBidi"/>
        </w:rPr>
        <w:footnoteRef/>
      </w:r>
      <w:r w:rsidRPr="00A26F4B">
        <w:rPr>
          <w:rFonts w:asciiTheme="majorBidi" w:hAnsiTheme="majorBidi" w:cstheme="majorBidi"/>
        </w:rPr>
        <w:t xml:space="preserve">. [online] Available from: </w:t>
      </w:r>
      <w:hyperlink r:id="rId15" w:history="1">
        <w:r w:rsidRPr="00A26F4B">
          <w:rPr>
            <w:rStyle w:val="Hyperlink"/>
            <w:rFonts w:asciiTheme="majorBidi" w:hAnsiTheme="majorBidi" w:cstheme="majorBidi"/>
            <w:color w:val="auto"/>
          </w:rPr>
          <w:t>http://www.un.org/sg/statements/index.asp?nid=5529/</w:t>
        </w:r>
      </w:hyperlink>
      <w:r w:rsidRPr="00A26F4B">
        <w:rPr>
          <w:rFonts w:asciiTheme="majorBidi" w:hAnsiTheme="majorBidi" w:cstheme="majorBidi"/>
        </w:rPr>
        <w:t xml:space="preserve"> (</w:t>
      </w:r>
      <w:r w:rsidR="00DF6550">
        <w:rPr>
          <w:rFonts w:asciiTheme="majorBidi" w:hAnsiTheme="majorBidi" w:cstheme="majorBidi"/>
        </w:rPr>
        <w:t>r</w:t>
      </w:r>
      <w:r w:rsidR="00DF6550" w:rsidRPr="00A26F4B">
        <w:rPr>
          <w:rFonts w:asciiTheme="majorBidi" w:hAnsiTheme="majorBidi" w:cstheme="majorBidi"/>
        </w:rPr>
        <w:t>etrieved</w:t>
      </w:r>
      <w:r w:rsidRPr="00A26F4B">
        <w:rPr>
          <w:rFonts w:asciiTheme="majorBidi" w:hAnsiTheme="majorBidi" w:cstheme="majorBidi"/>
        </w:rPr>
        <w:t>: Nov.2012)</w:t>
      </w:r>
      <w:r>
        <w:rPr>
          <w:rFonts w:asciiTheme="majorBidi" w:hAnsiTheme="majorBidi" w:cstheme="majorBidi"/>
        </w:rPr>
        <w:t>.</w:t>
      </w:r>
    </w:p>
    <w:p w:rsidR="00EF4037" w:rsidRPr="00A26F4B" w:rsidRDefault="00EF4037" w:rsidP="00EF4037">
      <w:pPr>
        <w:pStyle w:val="FootnoteText"/>
        <w:ind w:left="270"/>
        <w:jc w:val="both"/>
        <w:rPr>
          <w:rFonts w:asciiTheme="majorBidi" w:hAnsiTheme="majorBidi" w:cstheme="majorBidi"/>
        </w:rPr>
      </w:pPr>
    </w:p>
  </w:footnote>
  <w:footnote w:id="103">
    <w:p w:rsidR="00EF4037" w:rsidRPr="001B650D" w:rsidRDefault="00EF4037" w:rsidP="00EF4037">
      <w:pPr>
        <w:ind w:left="270"/>
        <w:jc w:val="both"/>
        <w:rPr>
          <w:rFonts w:asciiTheme="majorBidi" w:hAnsiTheme="majorBidi" w:cstheme="majorBidi"/>
          <w:sz w:val="20"/>
          <w:szCs w:val="20"/>
        </w:rPr>
      </w:pPr>
      <w:r w:rsidRPr="00A26F4B">
        <w:rPr>
          <w:rStyle w:val="FootnoteReference"/>
          <w:rFonts w:asciiTheme="majorBidi" w:hAnsiTheme="majorBidi" w:cstheme="majorBidi"/>
        </w:rPr>
        <w:footnoteRef/>
      </w:r>
      <w:r w:rsidRPr="00A26F4B">
        <w:rPr>
          <w:rFonts w:asciiTheme="majorBidi" w:hAnsiTheme="majorBidi" w:cstheme="majorBidi"/>
          <w:sz w:val="20"/>
          <w:szCs w:val="20"/>
        </w:rPr>
        <w:t xml:space="preserve"> . General Assembly GA/11137   Sixty-sixth General Assembly    Plenary 2nd </w:t>
      </w:r>
      <w:r w:rsidR="00DF6550" w:rsidRPr="00A26F4B">
        <w:rPr>
          <w:rFonts w:asciiTheme="majorBidi" w:hAnsiTheme="majorBidi" w:cstheme="majorBidi"/>
          <w:sz w:val="20"/>
          <w:szCs w:val="20"/>
        </w:rPr>
        <w:t>Meeting. [</w:t>
      </w:r>
      <w:r>
        <w:rPr>
          <w:rFonts w:asciiTheme="majorBidi" w:hAnsiTheme="majorBidi" w:cstheme="majorBidi"/>
          <w:sz w:val="20"/>
          <w:szCs w:val="20"/>
        </w:rPr>
        <w:t xml:space="preserve">Online] Available from: </w:t>
      </w:r>
      <w:hyperlink r:id="rId16" w:history="1">
        <w:r w:rsidRPr="001C419E">
          <w:rPr>
            <w:rStyle w:val="Hyperlink"/>
            <w:rFonts w:asciiTheme="majorBidi" w:hAnsiTheme="majorBidi" w:cstheme="majorBidi"/>
            <w:sz w:val="20"/>
            <w:szCs w:val="20"/>
          </w:rPr>
          <w:t>http://www.unric.org/html/english/library/backgrounders/libya.pdf/</w:t>
        </w:r>
      </w:hyperlink>
      <w:r>
        <w:rPr>
          <w:rFonts w:asciiTheme="majorBidi" w:hAnsiTheme="majorBidi" w:cstheme="majorBidi"/>
          <w:sz w:val="20"/>
          <w:szCs w:val="20"/>
        </w:rPr>
        <w:t xml:space="preserve"> (</w:t>
      </w:r>
      <w:r w:rsidR="00DF6550">
        <w:rPr>
          <w:rFonts w:asciiTheme="majorBidi" w:hAnsiTheme="majorBidi" w:cstheme="majorBidi"/>
          <w:sz w:val="20"/>
          <w:szCs w:val="20"/>
        </w:rPr>
        <w:t>retrieved: 2013</w:t>
      </w:r>
      <w:r>
        <w:rPr>
          <w:rFonts w:asciiTheme="majorBidi" w:hAnsiTheme="majorBidi" w:cstheme="majorBidi"/>
          <w:sz w:val="20"/>
          <w:szCs w:val="20"/>
        </w:rPr>
        <w:t>).</w:t>
      </w:r>
    </w:p>
  </w:footnote>
  <w:footnote w:id="104">
    <w:p w:rsidR="00EF4037" w:rsidRPr="001B650D" w:rsidRDefault="00EF4037" w:rsidP="00EF4037">
      <w:pPr>
        <w:ind w:left="270"/>
        <w:jc w:val="both"/>
        <w:rPr>
          <w:rFonts w:asciiTheme="majorBidi" w:hAnsiTheme="majorBidi" w:cstheme="majorBidi"/>
          <w:sz w:val="20"/>
          <w:szCs w:val="20"/>
        </w:rPr>
      </w:pPr>
      <w:r w:rsidRPr="005315D0">
        <w:rPr>
          <w:rStyle w:val="FootnoteReference"/>
          <w:rFonts w:asciiTheme="majorBidi" w:hAnsiTheme="majorBidi" w:cstheme="majorBidi"/>
        </w:rPr>
        <w:footnoteRef/>
      </w:r>
      <w:r w:rsidRPr="005315D0">
        <w:rPr>
          <w:rFonts w:asciiTheme="majorBidi" w:hAnsiTheme="majorBidi" w:cstheme="majorBidi"/>
          <w:sz w:val="20"/>
          <w:szCs w:val="20"/>
        </w:rPr>
        <w:t xml:space="preserve"> . Council of the European Union, Note 15. </w:t>
      </w:r>
    </w:p>
  </w:footnote>
  <w:footnote w:id="105">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w:t>
      </w:r>
      <w:r w:rsidRPr="001B650D">
        <w:rPr>
          <w:rFonts w:asciiTheme="majorBidi" w:hAnsiTheme="majorBidi" w:cstheme="majorBidi"/>
          <w:color w:val="007E39"/>
          <w:sz w:val="20"/>
          <w:szCs w:val="20"/>
        </w:rPr>
        <w:t xml:space="preserve"> </w:t>
      </w:r>
      <w:r w:rsidRPr="001B650D">
        <w:rPr>
          <w:rFonts w:asciiTheme="majorBidi" w:hAnsiTheme="majorBidi" w:cstheme="majorBidi"/>
          <w:sz w:val="20"/>
          <w:szCs w:val="20"/>
        </w:rPr>
        <w:t xml:space="preserve">Stefan Talmon, </w:t>
      </w:r>
      <w:r w:rsidRPr="00BA6BA2">
        <w:rPr>
          <w:rFonts w:asciiTheme="majorBidi" w:hAnsiTheme="majorBidi" w:cstheme="majorBidi"/>
          <w:i/>
          <w:iCs/>
          <w:sz w:val="20"/>
          <w:szCs w:val="20"/>
        </w:rPr>
        <w:t>Note 14</w:t>
      </w:r>
      <w:r>
        <w:rPr>
          <w:rFonts w:asciiTheme="majorBidi" w:hAnsiTheme="majorBidi" w:cstheme="majorBidi"/>
          <w:sz w:val="20"/>
          <w:szCs w:val="20"/>
        </w:rPr>
        <w:t>, P3.</w:t>
      </w:r>
    </w:p>
  </w:footnote>
  <w:footnote w:id="106">
    <w:p w:rsidR="00EF4037" w:rsidRPr="00A26F4B" w:rsidRDefault="00EF4037" w:rsidP="00EF4037">
      <w:pPr>
        <w:ind w:left="270"/>
        <w:jc w:val="both"/>
        <w:rPr>
          <w:rFonts w:asciiTheme="majorBidi" w:hAnsiTheme="majorBidi" w:cstheme="majorBidi"/>
          <w:sz w:val="20"/>
          <w:szCs w:val="20"/>
        </w:rPr>
      </w:pPr>
      <w:r w:rsidRPr="00A26F4B">
        <w:rPr>
          <w:rStyle w:val="FootnoteReference"/>
          <w:rFonts w:asciiTheme="majorBidi" w:hAnsiTheme="majorBidi" w:cstheme="majorBidi"/>
        </w:rPr>
        <w:footnoteRef/>
      </w:r>
      <w:r w:rsidRPr="00A26F4B">
        <w:rPr>
          <w:rFonts w:asciiTheme="majorBidi" w:hAnsiTheme="majorBidi" w:cstheme="majorBidi"/>
          <w:sz w:val="20"/>
          <w:szCs w:val="20"/>
        </w:rPr>
        <w:t xml:space="preserve"> . Report of the Secretary-General on the United Nations Support Mission in Libya to Security Council, 30 August 2012, S/2012/675. And  Christopher S. Chivvis, Keith Crane, Peter Mandaville, Jeffrey Martini, </w:t>
      </w:r>
      <w:r w:rsidRPr="00A26F4B">
        <w:rPr>
          <w:rFonts w:asciiTheme="majorBidi" w:hAnsiTheme="majorBidi" w:cstheme="majorBidi"/>
          <w:i/>
          <w:iCs/>
          <w:sz w:val="20"/>
          <w:szCs w:val="20"/>
        </w:rPr>
        <w:t>Libya’s Post-Qaddafi Transition The Nation-Building Challenge,</w:t>
      </w:r>
      <w:r w:rsidRPr="00A26F4B">
        <w:rPr>
          <w:rFonts w:asciiTheme="majorBidi" w:hAnsiTheme="majorBidi" w:cstheme="majorBidi"/>
          <w:sz w:val="20"/>
          <w:szCs w:val="20"/>
        </w:rPr>
        <w:t xml:space="preserve"> National Security Research Division,P10. </w:t>
      </w:r>
    </w:p>
  </w:footnote>
  <w:footnote w:id="107">
    <w:p w:rsidR="00EF4037" w:rsidRPr="00A26F4B" w:rsidRDefault="00EF4037" w:rsidP="00EF4037">
      <w:pPr>
        <w:ind w:left="270"/>
        <w:jc w:val="both"/>
        <w:rPr>
          <w:rFonts w:asciiTheme="majorBidi" w:hAnsiTheme="majorBidi" w:cstheme="majorBidi"/>
          <w:sz w:val="20"/>
          <w:szCs w:val="20"/>
        </w:rPr>
      </w:pPr>
      <w:r w:rsidRPr="00A26F4B">
        <w:rPr>
          <w:rStyle w:val="FootnoteReference"/>
          <w:rFonts w:asciiTheme="majorBidi" w:hAnsiTheme="majorBidi" w:cstheme="majorBidi"/>
        </w:rPr>
        <w:footnoteRef/>
      </w:r>
      <w:r w:rsidRPr="00A26F4B">
        <w:rPr>
          <w:rFonts w:asciiTheme="majorBidi" w:hAnsiTheme="majorBidi" w:cstheme="majorBidi"/>
          <w:sz w:val="20"/>
          <w:szCs w:val="20"/>
        </w:rPr>
        <w:t xml:space="preserve"> . Country Reports on Human Rights Practices for 2011 United States Department of State.[</w:t>
      </w:r>
      <w:r>
        <w:rPr>
          <w:rFonts w:asciiTheme="majorBidi" w:hAnsiTheme="majorBidi" w:cstheme="majorBidi"/>
          <w:sz w:val="20"/>
          <w:szCs w:val="20"/>
        </w:rPr>
        <w:t xml:space="preserve">Online] Available from: </w:t>
      </w:r>
      <w:hyperlink r:id="rId17" w:history="1">
        <w:r w:rsidRPr="001C419E">
          <w:rPr>
            <w:rStyle w:val="Hyperlink"/>
            <w:rFonts w:asciiTheme="majorBidi" w:hAnsiTheme="majorBidi" w:cstheme="majorBidi"/>
            <w:sz w:val="20"/>
            <w:szCs w:val="20"/>
          </w:rPr>
          <w:t>http://www.state.gov/</w:t>
        </w:r>
      </w:hyperlink>
      <w:r>
        <w:rPr>
          <w:rFonts w:asciiTheme="majorBidi" w:hAnsiTheme="majorBidi" w:cstheme="majorBidi"/>
          <w:sz w:val="20"/>
          <w:szCs w:val="20"/>
        </w:rPr>
        <w:t xml:space="preserve"> (retrived:2013).</w:t>
      </w:r>
    </w:p>
  </w:footnote>
  <w:footnote w:id="108">
    <w:p w:rsidR="00EF4037" w:rsidRPr="001B650D" w:rsidRDefault="00EF4037" w:rsidP="00EF4037">
      <w:pPr>
        <w:tabs>
          <w:tab w:val="left" w:pos="3064"/>
        </w:tabs>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w:t>
      </w:r>
      <w:r>
        <w:rPr>
          <w:rFonts w:asciiTheme="majorBidi" w:hAnsiTheme="majorBidi" w:cstheme="majorBidi"/>
          <w:sz w:val="20"/>
          <w:szCs w:val="20"/>
        </w:rPr>
        <w:t xml:space="preserve">. Kristina Kausch, </w:t>
      </w:r>
      <w:r w:rsidRPr="00E110DC">
        <w:rPr>
          <w:rFonts w:asciiTheme="majorBidi" w:hAnsiTheme="majorBidi" w:cstheme="majorBidi"/>
          <w:sz w:val="20"/>
          <w:szCs w:val="20"/>
        </w:rPr>
        <w:t>“Constitutional Reform in Young Arab Democracies</w:t>
      </w:r>
      <w:r w:rsidRPr="001B650D">
        <w:rPr>
          <w:rFonts w:asciiTheme="majorBidi" w:hAnsiTheme="majorBidi" w:cstheme="majorBidi"/>
          <w:sz w:val="20"/>
          <w:szCs w:val="20"/>
        </w:rPr>
        <w:t>,</w:t>
      </w:r>
      <w:r>
        <w:rPr>
          <w:rFonts w:asciiTheme="majorBidi" w:hAnsiTheme="majorBidi" w:cstheme="majorBidi"/>
          <w:sz w:val="20"/>
          <w:szCs w:val="20"/>
        </w:rPr>
        <w:t>”</w:t>
      </w:r>
      <w:r w:rsidRPr="001B650D">
        <w:rPr>
          <w:rFonts w:asciiTheme="majorBidi" w:hAnsiTheme="majorBidi" w:cstheme="majorBidi"/>
          <w:sz w:val="20"/>
          <w:szCs w:val="20"/>
        </w:rPr>
        <w:t xml:space="preserve"> </w:t>
      </w:r>
      <w:r w:rsidRPr="00E110DC">
        <w:rPr>
          <w:rFonts w:asciiTheme="majorBidi" w:hAnsiTheme="majorBidi" w:cstheme="majorBidi"/>
          <w:i/>
          <w:iCs/>
          <w:sz w:val="20"/>
          <w:szCs w:val="20"/>
        </w:rPr>
        <w:t>Policy Brief</w:t>
      </w:r>
      <w:r w:rsidRPr="001B650D">
        <w:rPr>
          <w:rFonts w:asciiTheme="majorBidi" w:hAnsiTheme="majorBidi" w:cstheme="majorBidi"/>
          <w:sz w:val="20"/>
          <w:szCs w:val="20"/>
        </w:rPr>
        <w:t xml:space="preserve">, Number 101 - October 2011, </w:t>
      </w:r>
      <w:r w:rsidR="00DF6550" w:rsidRPr="001B650D">
        <w:rPr>
          <w:rFonts w:asciiTheme="majorBidi" w:hAnsiTheme="majorBidi" w:cstheme="majorBidi"/>
          <w:sz w:val="20"/>
          <w:szCs w:val="20"/>
        </w:rPr>
        <w:t>and ISSN</w:t>
      </w:r>
      <w:r w:rsidRPr="001B650D">
        <w:rPr>
          <w:rFonts w:asciiTheme="majorBidi" w:hAnsiTheme="majorBidi" w:cstheme="majorBidi"/>
          <w:sz w:val="20"/>
          <w:szCs w:val="20"/>
        </w:rPr>
        <w:t>: 1989-2667</w:t>
      </w:r>
      <w:r w:rsidR="00DF6550" w:rsidRPr="001B650D">
        <w:rPr>
          <w:rFonts w:asciiTheme="majorBidi" w:hAnsiTheme="majorBidi" w:cstheme="majorBidi"/>
          <w:sz w:val="20"/>
          <w:szCs w:val="20"/>
        </w:rPr>
        <w:t>, P3</w:t>
      </w:r>
      <w:r w:rsidRPr="001B650D">
        <w:rPr>
          <w:rFonts w:asciiTheme="majorBidi" w:hAnsiTheme="majorBidi" w:cstheme="majorBidi"/>
          <w:sz w:val="20"/>
          <w:szCs w:val="20"/>
        </w:rPr>
        <w:t>.</w:t>
      </w:r>
    </w:p>
  </w:footnote>
  <w:footnote w:id="109">
    <w:p w:rsidR="00EF4037" w:rsidRPr="00A26F4B" w:rsidRDefault="00EF4037" w:rsidP="00EF4037">
      <w:pPr>
        <w:ind w:left="270"/>
        <w:jc w:val="both"/>
        <w:rPr>
          <w:rFonts w:asciiTheme="majorBidi" w:hAnsiTheme="majorBidi" w:cstheme="majorBidi"/>
          <w:sz w:val="20"/>
          <w:szCs w:val="20"/>
        </w:rPr>
      </w:pPr>
      <w:r w:rsidRPr="00A26F4B">
        <w:rPr>
          <w:rStyle w:val="FootnoteReference"/>
          <w:rFonts w:asciiTheme="majorBidi" w:hAnsiTheme="majorBidi" w:cstheme="majorBidi"/>
        </w:rPr>
        <w:footnoteRef/>
      </w:r>
      <w:r w:rsidRPr="00A26F4B">
        <w:rPr>
          <w:rFonts w:asciiTheme="majorBidi" w:hAnsiTheme="majorBidi" w:cstheme="majorBidi"/>
          <w:sz w:val="20"/>
          <w:szCs w:val="20"/>
        </w:rPr>
        <w:t xml:space="preserve"> . Council of the European Union, 3082nd </w:t>
      </w:r>
      <w:r w:rsidR="00DF6550" w:rsidRPr="00A26F4B">
        <w:rPr>
          <w:rFonts w:asciiTheme="majorBidi" w:hAnsiTheme="majorBidi" w:cstheme="majorBidi"/>
          <w:sz w:val="20"/>
          <w:szCs w:val="20"/>
        </w:rPr>
        <w:t>Foreign</w:t>
      </w:r>
      <w:r w:rsidRPr="00A26F4B">
        <w:rPr>
          <w:rFonts w:asciiTheme="majorBidi" w:hAnsiTheme="majorBidi" w:cstheme="majorBidi"/>
          <w:sz w:val="20"/>
          <w:szCs w:val="20"/>
        </w:rPr>
        <w:t xml:space="preserve"> </w:t>
      </w:r>
      <w:r w:rsidR="00DF6550" w:rsidRPr="00A26F4B">
        <w:rPr>
          <w:rFonts w:asciiTheme="majorBidi" w:hAnsiTheme="majorBidi" w:cstheme="majorBidi"/>
          <w:sz w:val="20"/>
          <w:szCs w:val="20"/>
        </w:rPr>
        <w:t>Affairs,</w:t>
      </w:r>
      <w:r w:rsidRPr="00A26F4B">
        <w:rPr>
          <w:rFonts w:asciiTheme="majorBidi" w:hAnsiTheme="majorBidi" w:cstheme="majorBidi"/>
          <w:sz w:val="20"/>
          <w:szCs w:val="20"/>
        </w:rPr>
        <w:t xml:space="preserve"> meeting Luxembourg, 12 April 2011</w:t>
      </w:r>
      <w:r w:rsidR="00DF6550" w:rsidRPr="00A26F4B">
        <w:rPr>
          <w:rFonts w:asciiTheme="majorBidi" w:hAnsiTheme="majorBidi" w:cstheme="majorBidi"/>
          <w:sz w:val="20"/>
          <w:szCs w:val="20"/>
        </w:rPr>
        <w:t>, and Paul</w:t>
      </w:r>
      <w:r w:rsidRPr="00A26F4B">
        <w:rPr>
          <w:rFonts w:asciiTheme="majorBidi" w:hAnsiTheme="majorBidi"/>
          <w:sz w:val="20"/>
          <w:szCs w:val="20"/>
        </w:rPr>
        <w:t xml:space="preserve"> Salem and Amanda Kadlec</w:t>
      </w:r>
      <w:r w:rsidRPr="00A26F4B">
        <w:rPr>
          <w:rFonts w:asciiTheme="majorBidi" w:hAnsiTheme="majorBidi" w:cstheme="majorBidi"/>
          <w:sz w:val="20"/>
          <w:szCs w:val="20"/>
        </w:rPr>
        <w:t xml:space="preserve">, </w:t>
      </w:r>
      <w:r w:rsidRPr="00A26F4B">
        <w:rPr>
          <w:rFonts w:asciiTheme="majorBidi" w:hAnsiTheme="majorBidi" w:cstheme="majorBidi"/>
          <w:i/>
          <w:iCs/>
          <w:sz w:val="20"/>
          <w:szCs w:val="20"/>
        </w:rPr>
        <w:t>Note 5</w:t>
      </w:r>
      <w:r w:rsidRPr="00A26F4B">
        <w:rPr>
          <w:rFonts w:asciiTheme="majorBidi" w:hAnsiTheme="majorBidi" w:cstheme="majorBidi"/>
          <w:sz w:val="20"/>
          <w:szCs w:val="20"/>
        </w:rPr>
        <w:t>, P3.</w:t>
      </w:r>
    </w:p>
  </w:footnote>
  <w:footnote w:id="110">
    <w:p w:rsidR="00EF4037" w:rsidRPr="00A26F4B" w:rsidRDefault="00EF4037" w:rsidP="00EF4037">
      <w:pPr>
        <w:ind w:left="270"/>
        <w:jc w:val="both"/>
        <w:rPr>
          <w:rFonts w:asciiTheme="majorBidi" w:hAnsiTheme="majorBidi" w:cstheme="majorBidi"/>
          <w:sz w:val="20"/>
          <w:szCs w:val="20"/>
        </w:rPr>
      </w:pPr>
      <w:r w:rsidRPr="00A26F4B">
        <w:rPr>
          <w:rStyle w:val="FootnoteReference"/>
          <w:rFonts w:asciiTheme="majorBidi" w:hAnsiTheme="majorBidi" w:cstheme="majorBidi"/>
        </w:rPr>
        <w:footnoteRef/>
      </w:r>
      <w:r w:rsidRPr="00A26F4B">
        <w:rPr>
          <w:rFonts w:asciiTheme="majorBidi" w:hAnsiTheme="majorBidi" w:cstheme="majorBidi"/>
          <w:sz w:val="20"/>
          <w:szCs w:val="20"/>
        </w:rPr>
        <w:t xml:space="preserve"> . A Report of the Secretary-General on the United Nations Support Mission in Libya to Security Council, 22 November 2011, S/2011/727.</w:t>
      </w:r>
    </w:p>
  </w:footnote>
  <w:footnote w:id="111">
    <w:p w:rsidR="00EF4037" w:rsidRPr="00A26F4B" w:rsidRDefault="00EF4037" w:rsidP="00EF4037">
      <w:pPr>
        <w:ind w:left="270"/>
        <w:jc w:val="both"/>
        <w:rPr>
          <w:rFonts w:asciiTheme="majorBidi" w:hAnsiTheme="majorBidi" w:cstheme="majorBidi"/>
          <w:sz w:val="20"/>
          <w:szCs w:val="20"/>
        </w:rPr>
      </w:pPr>
      <w:r w:rsidRPr="00A26F4B">
        <w:rPr>
          <w:rStyle w:val="FootnoteReference"/>
          <w:rFonts w:asciiTheme="majorBidi" w:hAnsiTheme="majorBidi" w:cstheme="majorBidi"/>
        </w:rPr>
        <w:footnoteRef/>
      </w:r>
      <w:r w:rsidRPr="00A26F4B">
        <w:rPr>
          <w:rFonts w:asciiTheme="majorBidi" w:hAnsiTheme="majorBidi" w:cstheme="majorBidi"/>
          <w:sz w:val="20"/>
          <w:szCs w:val="20"/>
        </w:rPr>
        <w:t xml:space="preserve"> . Libya Working Group Report: MENA Programme, “Libya: Challenges after Liberation”, November </w:t>
      </w:r>
      <w:r w:rsidR="00DF6550" w:rsidRPr="00A26F4B">
        <w:rPr>
          <w:rFonts w:asciiTheme="majorBidi" w:hAnsiTheme="majorBidi" w:cstheme="majorBidi"/>
          <w:sz w:val="20"/>
          <w:szCs w:val="20"/>
        </w:rPr>
        <w:t>2011, P9</w:t>
      </w:r>
      <w:r w:rsidRPr="00A26F4B">
        <w:rPr>
          <w:rFonts w:asciiTheme="majorBidi" w:hAnsiTheme="majorBidi" w:cstheme="majorBidi"/>
          <w:sz w:val="20"/>
          <w:szCs w:val="20"/>
        </w:rPr>
        <w:t>.</w:t>
      </w:r>
    </w:p>
  </w:footnote>
  <w:footnote w:id="112">
    <w:p w:rsidR="00EF4037" w:rsidRPr="006069E4" w:rsidRDefault="00EF4037" w:rsidP="00EF4037">
      <w:pPr>
        <w:ind w:left="270"/>
        <w:jc w:val="both"/>
        <w:rPr>
          <w:rFonts w:asciiTheme="majorBidi" w:hAnsiTheme="majorBidi" w:cstheme="majorBidi"/>
          <w:sz w:val="20"/>
          <w:szCs w:val="20"/>
        </w:rPr>
      </w:pPr>
      <w:r w:rsidRPr="006069E4">
        <w:rPr>
          <w:rStyle w:val="FootnoteReference"/>
          <w:rFonts w:asciiTheme="majorBidi" w:hAnsiTheme="majorBidi" w:cstheme="majorBidi"/>
        </w:rPr>
        <w:footnoteRef/>
      </w:r>
      <w:r w:rsidRPr="006069E4">
        <w:rPr>
          <w:rFonts w:asciiTheme="majorBidi" w:hAnsiTheme="majorBidi" w:cstheme="majorBidi"/>
          <w:sz w:val="20"/>
          <w:szCs w:val="20"/>
        </w:rPr>
        <w:t xml:space="preserve"> . </w:t>
      </w:r>
      <w:r w:rsidRPr="00A87974">
        <w:rPr>
          <w:rFonts w:asciiTheme="majorBidi" w:hAnsiTheme="majorBidi"/>
          <w:sz w:val="20"/>
          <w:szCs w:val="20"/>
        </w:rPr>
        <w:t xml:space="preserve">Paul Salem and Amanda Kadlec, </w:t>
      </w:r>
      <w:r w:rsidRPr="00A87974">
        <w:rPr>
          <w:rFonts w:asciiTheme="majorBidi" w:hAnsiTheme="majorBidi"/>
          <w:i/>
          <w:iCs/>
          <w:sz w:val="20"/>
          <w:szCs w:val="20"/>
        </w:rPr>
        <w:t>Note 5</w:t>
      </w:r>
      <w:r w:rsidRPr="00A87974">
        <w:rPr>
          <w:rFonts w:asciiTheme="majorBidi" w:hAnsiTheme="majorBidi"/>
          <w:sz w:val="20"/>
          <w:szCs w:val="20"/>
        </w:rPr>
        <w:t>,</w:t>
      </w:r>
      <w:r>
        <w:rPr>
          <w:rFonts w:asciiTheme="majorBidi" w:hAnsiTheme="majorBidi"/>
          <w:b/>
          <w:bCs/>
          <w:sz w:val="20"/>
          <w:szCs w:val="20"/>
        </w:rPr>
        <w:t xml:space="preserve"> </w:t>
      </w:r>
      <w:r w:rsidRPr="006069E4">
        <w:rPr>
          <w:rFonts w:asciiTheme="majorBidi" w:hAnsiTheme="majorBidi" w:cstheme="majorBidi"/>
          <w:sz w:val="20"/>
          <w:szCs w:val="20"/>
        </w:rPr>
        <w:t>P5.</w:t>
      </w:r>
    </w:p>
  </w:footnote>
  <w:footnote w:id="113">
    <w:p w:rsidR="00EF4037" w:rsidRDefault="00EF4037" w:rsidP="00EF4037">
      <w:pPr>
        <w:pStyle w:val="FootnoteText"/>
        <w:ind w:left="270"/>
        <w:jc w:val="both"/>
        <w:rPr>
          <w:rFonts w:asciiTheme="majorBidi" w:hAnsiTheme="majorBidi" w:cstheme="majorBidi"/>
        </w:rPr>
      </w:pPr>
      <w:r w:rsidRPr="006069E4">
        <w:rPr>
          <w:rStyle w:val="FootnoteReference"/>
          <w:rFonts w:asciiTheme="majorBidi" w:hAnsiTheme="majorBidi" w:cstheme="majorBidi"/>
        </w:rPr>
        <w:footnoteRef/>
      </w:r>
      <w:r w:rsidRPr="006069E4">
        <w:rPr>
          <w:rFonts w:asciiTheme="majorBidi" w:hAnsiTheme="majorBidi" w:cstheme="majorBidi"/>
        </w:rPr>
        <w:t xml:space="preserve"> . </w:t>
      </w:r>
      <w:r>
        <w:rPr>
          <w:rFonts w:asciiTheme="majorBidi" w:hAnsiTheme="majorBidi" w:cstheme="majorBidi"/>
        </w:rPr>
        <w:t xml:space="preserve">Raja Pingua, “Role of the United Nations in India-Kazakhstan </w:t>
      </w:r>
      <w:r w:rsidR="00B86BF0">
        <w:rPr>
          <w:rFonts w:asciiTheme="majorBidi" w:hAnsiTheme="majorBidi" w:cstheme="majorBidi"/>
        </w:rPr>
        <w:t>Cooperation</w:t>
      </w:r>
      <w:r>
        <w:rPr>
          <w:rFonts w:asciiTheme="majorBidi" w:hAnsiTheme="majorBidi" w:cstheme="majorBidi"/>
        </w:rPr>
        <w:t xml:space="preserve"> on </w:t>
      </w:r>
      <w:r w:rsidR="00B86BF0">
        <w:rPr>
          <w:rFonts w:asciiTheme="majorBidi" w:hAnsiTheme="majorBidi" w:cstheme="majorBidi"/>
        </w:rPr>
        <w:t>Afghanistan</w:t>
      </w:r>
      <w:r>
        <w:rPr>
          <w:rFonts w:asciiTheme="majorBidi" w:hAnsiTheme="majorBidi" w:cstheme="majorBidi"/>
        </w:rPr>
        <w:t xml:space="preserve">: Challenges and </w:t>
      </w:r>
      <w:r w:rsidR="00B86BF0">
        <w:rPr>
          <w:rFonts w:asciiTheme="majorBidi" w:hAnsiTheme="majorBidi" w:cstheme="majorBidi"/>
        </w:rPr>
        <w:t>Opportunities</w:t>
      </w:r>
      <w:r>
        <w:rPr>
          <w:rFonts w:asciiTheme="majorBidi" w:hAnsiTheme="majorBidi" w:cstheme="majorBidi"/>
        </w:rPr>
        <w:t xml:space="preserve">,” </w:t>
      </w:r>
      <w:r w:rsidRPr="00D55921">
        <w:rPr>
          <w:rFonts w:asciiTheme="majorBidi" w:hAnsiTheme="majorBidi" w:cstheme="majorBidi"/>
          <w:i/>
          <w:iCs/>
        </w:rPr>
        <w:t>The International Journal of Humanities &amp; Social Studies</w:t>
      </w:r>
      <w:r>
        <w:rPr>
          <w:rFonts w:asciiTheme="majorBidi" w:hAnsiTheme="majorBidi" w:cstheme="majorBidi"/>
        </w:rPr>
        <w:t xml:space="preserve">, Vol.4, Issue 3, 2016, P 248. </w:t>
      </w:r>
    </w:p>
    <w:p w:rsidR="00EF4037" w:rsidRPr="006069E4" w:rsidRDefault="00EF4037" w:rsidP="00EF4037">
      <w:pPr>
        <w:pStyle w:val="FootnoteText"/>
        <w:ind w:left="270"/>
      </w:pPr>
    </w:p>
  </w:footnote>
  <w:footnote w:id="114">
    <w:p w:rsidR="00EF4037" w:rsidRPr="001B650D" w:rsidRDefault="00EF4037" w:rsidP="00EF4037">
      <w:pPr>
        <w:ind w:left="270"/>
        <w:jc w:val="both"/>
        <w:rPr>
          <w:rFonts w:asciiTheme="majorBidi" w:hAnsiTheme="majorBidi" w:cstheme="majorBidi"/>
          <w:sz w:val="20"/>
          <w:szCs w:val="20"/>
        </w:rPr>
      </w:pPr>
      <w:r w:rsidRPr="001B650D">
        <w:rPr>
          <w:rStyle w:val="FootnoteReference"/>
          <w:rFonts w:asciiTheme="majorBidi" w:hAnsiTheme="majorBidi" w:cstheme="majorBidi"/>
        </w:rPr>
        <w:footnoteRef/>
      </w:r>
      <w:r w:rsidRPr="001B650D">
        <w:rPr>
          <w:rFonts w:asciiTheme="majorBidi" w:hAnsiTheme="majorBidi" w:cstheme="majorBidi"/>
          <w:sz w:val="20"/>
          <w:szCs w:val="20"/>
        </w:rPr>
        <w:t xml:space="preserve"> </w:t>
      </w:r>
      <w:r w:rsidRPr="001B650D">
        <w:rPr>
          <w:rFonts w:asciiTheme="majorBidi" w:hAnsiTheme="majorBidi" w:cstheme="majorBidi"/>
          <w:sz w:val="20"/>
          <w:szCs w:val="20"/>
          <w:rtl/>
        </w:rPr>
        <w:t>.</w:t>
      </w:r>
      <w:r w:rsidRPr="001B650D">
        <w:rPr>
          <w:rFonts w:asciiTheme="majorBidi" w:hAnsiTheme="majorBidi" w:cstheme="majorBidi"/>
          <w:sz w:val="20"/>
          <w:szCs w:val="20"/>
        </w:rPr>
        <w:t xml:space="preserve"> </w:t>
      </w:r>
      <w:r>
        <w:rPr>
          <w:rFonts w:asciiTheme="majorBidi" w:hAnsiTheme="majorBidi" w:cstheme="majorBidi"/>
          <w:sz w:val="20"/>
          <w:szCs w:val="20"/>
        </w:rPr>
        <w:t>T</w:t>
      </w:r>
      <w:r w:rsidRPr="001B650D">
        <w:rPr>
          <w:rFonts w:asciiTheme="majorBidi" w:hAnsiTheme="majorBidi" w:cstheme="majorBidi"/>
          <w:sz w:val="20"/>
          <w:szCs w:val="20"/>
        </w:rPr>
        <w:t xml:space="preserve">he resolution of Security Council </w:t>
      </w:r>
      <w:r w:rsidR="00DF6550" w:rsidRPr="001B650D">
        <w:rPr>
          <w:rFonts w:asciiTheme="majorBidi" w:hAnsiTheme="majorBidi" w:cstheme="majorBidi"/>
          <w:sz w:val="20"/>
          <w:szCs w:val="20"/>
        </w:rPr>
        <w:t>reiterated</w:t>
      </w:r>
      <w:r w:rsidRPr="001B650D">
        <w:rPr>
          <w:rFonts w:asciiTheme="majorBidi" w:hAnsiTheme="majorBidi" w:cstheme="majorBidi"/>
          <w:sz w:val="20"/>
          <w:szCs w:val="20"/>
        </w:rPr>
        <w:t xml:space="preserve"> the role of NTC in transition SC Resolution 2040. NTC also established judicial committees refer to Ali Abdullatif Ahmida, </w:t>
      </w:r>
      <w:r w:rsidRPr="00E110DC">
        <w:rPr>
          <w:rFonts w:asciiTheme="majorBidi" w:hAnsiTheme="majorBidi" w:cstheme="majorBidi"/>
          <w:sz w:val="20"/>
          <w:szCs w:val="20"/>
        </w:rPr>
        <w:t>“The Libyan National Transitional Council: Social Bases, Membership and Political Trends”</w:t>
      </w:r>
      <w:r w:rsidRPr="001B650D">
        <w:rPr>
          <w:rFonts w:asciiTheme="majorBidi" w:hAnsiTheme="majorBidi" w:cstheme="majorBidi"/>
          <w:sz w:val="20"/>
          <w:szCs w:val="20"/>
        </w:rPr>
        <w:t xml:space="preserve">, </w:t>
      </w:r>
      <w:r w:rsidRPr="00E110DC">
        <w:rPr>
          <w:rFonts w:asciiTheme="majorBidi" w:hAnsiTheme="majorBidi" w:cstheme="majorBidi"/>
          <w:i/>
          <w:iCs/>
          <w:sz w:val="20"/>
          <w:szCs w:val="20"/>
        </w:rPr>
        <w:t>Al Jazeera Centre for Studies</w:t>
      </w:r>
      <w:r w:rsidRPr="001B650D">
        <w:rPr>
          <w:rFonts w:asciiTheme="majorBidi" w:hAnsiTheme="majorBidi" w:cstheme="majorBidi"/>
          <w:sz w:val="20"/>
          <w:szCs w:val="20"/>
        </w:rPr>
        <w:t xml:space="preserve">, October </w:t>
      </w:r>
      <w:r w:rsidR="00DF6550" w:rsidRPr="001B650D">
        <w:rPr>
          <w:rFonts w:asciiTheme="majorBidi" w:hAnsiTheme="majorBidi" w:cstheme="majorBidi"/>
          <w:sz w:val="20"/>
          <w:szCs w:val="20"/>
        </w:rPr>
        <w:t>2011,</w:t>
      </w:r>
      <w:r w:rsidRPr="001B650D">
        <w:rPr>
          <w:rFonts w:asciiTheme="majorBidi" w:hAnsiTheme="majorBidi" w:cstheme="majorBidi"/>
          <w:sz w:val="20"/>
          <w:szCs w:val="20"/>
        </w:rPr>
        <w:t xml:space="preserve"> Al Jazeera Centre for </w:t>
      </w:r>
      <w:r w:rsidR="00DF6550" w:rsidRPr="001B650D">
        <w:rPr>
          <w:rFonts w:asciiTheme="majorBidi" w:hAnsiTheme="majorBidi" w:cstheme="majorBidi"/>
          <w:sz w:val="20"/>
          <w:szCs w:val="20"/>
        </w:rPr>
        <w:t>Studies, P5</w:t>
      </w:r>
      <w:r w:rsidRPr="001B650D">
        <w:rPr>
          <w:rFonts w:asciiTheme="majorBidi" w:hAnsiTheme="majorBidi" w:cstheme="majorBidi"/>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31C98"/>
    <w:multiLevelType w:val="hybridMultilevel"/>
    <w:tmpl w:val="A4CA6AD4"/>
    <w:lvl w:ilvl="0" w:tplc="631E09C8">
      <w:start w:val="1"/>
      <w:numFmt w:val="decimal"/>
      <w:lvlText w:val="%1."/>
      <w:lvlJc w:val="left"/>
      <w:pPr>
        <w:ind w:left="2340" w:hanging="360"/>
      </w:pPr>
      <w:rPr>
        <w:rFonts w:hint="default"/>
        <w:b w:val="0"/>
        <w:i/>
        <w:sz w:val="16"/>
      </w:rPr>
    </w:lvl>
    <w:lvl w:ilvl="1" w:tplc="04090019" w:tentative="1">
      <w:start w:val="1"/>
      <w:numFmt w:val="lowerLetter"/>
      <w:lvlText w:val="%2."/>
      <w:lvlJc w:val="left"/>
      <w:pPr>
        <w:ind w:left="1440" w:hanging="360"/>
      </w:pPr>
    </w:lvl>
    <w:lvl w:ilvl="2" w:tplc="631E09C8">
      <w:start w:val="1"/>
      <w:numFmt w:val="decimal"/>
      <w:lvlText w:val="%3."/>
      <w:lvlJc w:val="left"/>
      <w:pPr>
        <w:ind w:left="2160" w:hanging="180"/>
      </w:pPr>
      <w:rPr>
        <w:rFonts w:hint="default"/>
        <w:b w:val="0"/>
        <w:i/>
        <w:sz w:val="1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F19"/>
    <w:rsid w:val="00074353"/>
    <w:rsid w:val="00225096"/>
    <w:rsid w:val="00255006"/>
    <w:rsid w:val="00265FD2"/>
    <w:rsid w:val="00283CF9"/>
    <w:rsid w:val="00AF70EB"/>
    <w:rsid w:val="00B86BF0"/>
    <w:rsid w:val="00C56874"/>
    <w:rsid w:val="00DF6550"/>
    <w:rsid w:val="00EF4037"/>
    <w:rsid w:val="00FE7F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F4037"/>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SG" w:bidi="fa-IR"/>
    </w:rPr>
  </w:style>
  <w:style w:type="paragraph" w:styleId="Heading3">
    <w:name w:val="heading 3"/>
    <w:basedOn w:val="Normal"/>
    <w:next w:val="Normal"/>
    <w:link w:val="Heading3Char"/>
    <w:uiPriority w:val="9"/>
    <w:unhideWhenUsed/>
    <w:qFormat/>
    <w:rsid w:val="00EF4037"/>
    <w:pPr>
      <w:keepNext/>
      <w:keepLines/>
      <w:spacing w:before="200" w:after="0" w:line="276" w:lineRule="auto"/>
      <w:outlineLvl w:val="2"/>
    </w:pPr>
    <w:rPr>
      <w:rFonts w:asciiTheme="majorHAnsi" w:eastAsiaTheme="majorEastAsia" w:hAnsiTheme="majorHAnsi" w:cstheme="majorBidi"/>
      <w:b/>
      <w:bCs/>
      <w:color w:val="5B9BD5" w:themeColor="accent1"/>
      <w:lang w:val="en-S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E7F19"/>
    <w:pPr>
      <w:spacing w:after="0" w:line="240" w:lineRule="auto"/>
    </w:pPr>
    <w:rPr>
      <w:sz w:val="20"/>
      <w:szCs w:val="20"/>
    </w:rPr>
  </w:style>
  <w:style w:type="character" w:customStyle="1" w:styleId="FootnoteTextChar">
    <w:name w:val="Footnote Text Char"/>
    <w:basedOn w:val="DefaultParagraphFont"/>
    <w:link w:val="FootnoteText"/>
    <w:uiPriority w:val="99"/>
    <w:rsid w:val="00FE7F19"/>
    <w:rPr>
      <w:sz w:val="20"/>
      <w:szCs w:val="20"/>
    </w:rPr>
  </w:style>
  <w:style w:type="character" w:styleId="FootnoteReference">
    <w:name w:val="footnote reference"/>
    <w:basedOn w:val="DefaultParagraphFont"/>
    <w:uiPriority w:val="99"/>
    <w:semiHidden/>
    <w:unhideWhenUsed/>
    <w:rsid w:val="00FE7F19"/>
    <w:rPr>
      <w:vertAlign w:val="superscript"/>
    </w:rPr>
  </w:style>
  <w:style w:type="paragraph" w:styleId="ListParagraph">
    <w:name w:val="List Paragraph"/>
    <w:basedOn w:val="Normal"/>
    <w:uiPriority w:val="34"/>
    <w:qFormat/>
    <w:rsid w:val="00C56874"/>
    <w:pPr>
      <w:ind w:left="720"/>
      <w:contextualSpacing/>
    </w:pPr>
  </w:style>
  <w:style w:type="character" w:styleId="Hyperlink">
    <w:name w:val="Hyperlink"/>
    <w:basedOn w:val="DefaultParagraphFont"/>
    <w:uiPriority w:val="99"/>
    <w:unhideWhenUsed/>
    <w:rsid w:val="00283CF9"/>
    <w:rPr>
      <w:color w:val="0563C1" w:themeColor="hyperlink"/>
      <w:u w:val="single"/>
    </w:rPr>
  </w:style>
  <w:style w:type="character" w:customStyle="1" w:styleId="Heading2Char">
    <w:name w:val="Heading 2 Char"/>
    <w:basedOn w:val="DefaultParagraphFont"/>
    <w:link w:val="Heading2"/>
    <w:uiPriority w:val="9"/>
    <w:rsid w:val="00EF4037"/>
    <w:rPr>
      <w:rFonts w:asciiTheme="majorHAnsi" w:eastAsiaTheme="majorEastAsia" w:hAnsiTheme="majorHAnsi" w:cstheme="majorBidi"/>
      <w:b/>
      <w:bCs/>
      <w:color w:val="5B9BD5" w:themeColor="accent1"/>
      <w:sz w:val="26"/>
      <w:szCs w:val="26"/>
      <w:lang w:val="en-SG" w:bidi="fa-IR"/>
    </w:rPr>
  </w:style>
  <w:style w:type="character" w:customStyle="1" w:styleId="Heading3Char">
    <w:name w:val="Heading 3 Char"/>
    <w:basedOn w:val="DefaultParagraphFont"/>
    <w:link w:val="Heading3"/>
    <w:uiPriority w:val="9"/>
    <w:rsid w:val="00EF4037"/>
    <w:rPr>
      <w:rFonts w:asciiTheme="majorHAnsi" w:eastAsiaTheme="majorEastAsia" w:hAnsiTheme="majorHAnsi" w:cstheme="majorBidi"/>
      <w:b/>
      <w:bCs/>
      <w:color w:val="5B9BD5" w:themeColor="accent1"/>
      <w:lang w:val="en-SG" w:bidi="fa-IR"/>
    </w:rPr>
  </w:style>
  <w:style w:type="character" w:customStyle="1" w:styleId="st">
    <w:name w:val="st"/>
    <w:basedOn w:val="DefaultParagraphFont"/>
    <w:rsid w:val="00EF4037"/>
  </w:style>
  <w:style w:type="character" w:styleId="Emphasis">
    <w:name w:val="Emphasis"/>
    <w:basedOn w:val="DefaultParagraphFont"/>
    <w:uiPriority w:val="20"/>
    <w:qFormat/>
    <w:rsid w:val="00EF4037"/>
    <w:rPr>
      <w:i/>
      <w:iCs/>
    </w:rPr>
  </w:style>
  <w:style w:type="character" w:styleId="Strong">
    <w:name w:val="Strong"/>
    <w:basedOn w:val="DefaultParagraphFont"/>
    <w:uiPriority w:val="22"/>
    <w:qFormat/>
    <w:rsid w:val="00EF4037"/>
    <w:rPr>
      <w:b/>
      <w:bCs/>
    </w:rPr>
  </w:style>
  <w:style w:type="paragraph" w:customStyle="1" w:styleId="Default">
    <w:name w:val="Default"/>
    <w:rsid w:val="00EF4037"/>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F4037"/>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SG" w:bidi="fa-IR"/>
    </w:rPr>
  </w:style>
  <w:style w:type="paragraph" w:styleId="Heading3">
    <w:name w:val="heading 3"/>
    <w:basedOn w:val="Normal"/>
    <w:next w:val="Normal"/>
    <w:link w:val="Heading3Char"/>
    <w:uiPriority w:val="9"/>
    <w:unhideWhenUsed/>
    <w:qFormat/>
    <w:rsid w:val="00EF4037"/>
    <w:pPr>
      <w:keepNext/>
      <w:keepLines/>
      <w:spacing w:before="200" w:after="0" w:line="276" w:lineRule="auto"/>
      <w:outlineLvl w:val="2"/>
    </w:pPr>
    <w:rPr>
      <w:rFonts w:asciiTheme="majorHAnsi" w:eastAsiaTheme="majorEastAsia" w:hAnsiTheme="majorHAnsi" w:cstheme="majorBidi"/>
      <w:b/>
      <w:bCs/>
      <w:color w:val="5B9BD5" w:themeColor="accent1"/>
      <w:lang w:val="en-S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E7F19"/>
    <w:pPr>
      <w:spacing w:after="0" w:line="240" w:lineRule="auto"/>
    </w:pPr>
    <w:rPr>
      <w:sz w:val="20"/>
      <w:szCs w:val="20"/>
    </w:rPr>
  </w:style>
  <w:style w:type="character" w:customStyle="1" w:styleId="FootnoteTextChar">
    <w:name w:val="Footnote Text Char"/>
    <w:basedOn w:val="DefaultParagraphFont"/>
    <w:link w:val="FootnoteText"/>
    <w:uiPriority w:val="99"/>
    <w:rsid w:val="00FE7F19"/>
    <w:rPr>
      <w:sz w:val="20"/>
      <w:szCs w:val="20"/>
    </w:rPr>
  </w:style>
  <w:style w:type="character" w:styleId="FootnoteReference">
    <w:name w:val="footnote reference"/>
    <w:basedOn w:val="DefaultParagraphFont"/>
    <w:uiPriority w:val="99"/>
    <w:semiHidden/>
    <w:unhideWhenUsed/>
    <w:rsid w:val="00FE7F19"/>
    <w:rPr>
      <w:vertAlign w:val="superscript"/>
    </w:rPr>
  </w:style>
  <w:style w:type="paragraph" w:styleId="ListParagraph">
    <w:name w:val="List Paragraph"/>
    <w:basedOn w:val="Normal"/>
    <w:uiPriority w:val="34"/>
    <w:qFormat/>
    <w:rsid w:val="00C56874"/>
    <w:pPr>
      <w:ind w:left="720"/>
      <w:contextualSpacing/>
    </w:pPr>
  </w:style>
  <w:style w:type="character" w:styleId="Hyperlink">
    <w:name w:val="Hyperlink"/>
    <w:basedOn w:val="DefaultParagraphFont"/>
    <w:uiPriority w:val="99"/>
    <w:unhideWhenUsed/>
    <w:rsid w:val="00283CF9"/>
    <w:rPr>
      <w:color w:val="0563C1" w:themeColor="hyperlink"/>
      <w:u w:val="single"/>
    </w:rPr>
  </w:style>
  <w:style w:type="character" w:customStyle="1" w:styleId="Heading2Char">
    <w:name w:val="Heading 2 Char"/>
    <w:basedOn w:val="DefaultParagraphFont"/>
    <w:link w:val="Heading2"/>
    <w:uiPriority w:val="9"/>
    <w:rsid w:val="00EF4037"/>
    <w:rPr>
      <w:rFonts w:asciiTheme="majorHAnsi" w:eastAsiaTheme="majorEastAsia" w:hAnsiTheme="majorHAnsi" w:cstheme="majorBidi"/>
      <w:b/>
      <w:bCs/>
      <w:color w:val="5B9BD5" w:themeColor="accent1"/>
      <w:sz w:val="26"/>
      <w:szCs w:val="26"/>
      <w:lang w:val="en-SG" w:bidi="fa-IR"/>
    </w:rPr>
  </w:style>
  <w:style w:type="character" w:customStyle="1" w:styleId="Heading3Char">
    <w:name w:val="Heading 3 Char"/>
    <w:basedOn w:val="DefaultParagraphFont"/>
    <w:link w:val="Heading3"/>
    <w:uiPriority w:val="9"/>
    <w:rsid w:val="00EF4037"/>
    <w:rPr>
      <w:rFonts w:asciiTheme="majorHAnsi" w:eastAsiaTheme="majorEastAsia" w:hAnsiTheme="majorHAnsi" w:cstheme="majorBidi"/>
      <w:b/>
      <w:bCs/>
      <w:color w:val="5B9BD5" w:themeColor="accent1"/>
      <w:lang w:val="en-SG" w:bidi="fa-IR"/>
    </w:rPr>
  </w:style>
  <w:style w:type="character" w:customStyle="1" w:styleId="st">
    <w:name w:val="st"/>
    <w:basedOn w:val="DefaultParagraphFont"/>
    <w:rsid w:val="00EF4037"/>
  </w:style>
  <w:style w:type="character" w:styleId="Emphasis">
    <w:name w:val="Emphasis"/>
    <w:basedOn w:val="DefaultParagraphFont"/>
    <w:uiPriority w:val="20"/>
    <w:qFormat/>
    <w:rsid w:val="00EF4037"/>
    <w:rPr>
      <w:i/>
      <w:iCs/>
    </w:rPr>
  </w:style>
  <w:style w:type="character" w:styleId="Strong">
    <w:name w:val="Strong"/>
    <w:basedOn w:val="DefaultParagraphFont"/>
    <w:uiPriority w:val="22"/>
    <w:qFormat/>
    <w:rsid w:val="00EF4037"/>
    <w:rPr>
      <w:b/>
      <w:bCs/>
    </w:rPr>
  </w:style>
  <w:style w:type="paragraph" w:customStyle="1" w:styleId="Default">
    <w:name w:val="Default"/>
    <w:rsid w:val="00EF4037"/>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adllaw.org/" TargetMode="External"/><Relationship Id="rId5" Type="http://schemas.openxmlformats.org/officeDocument/2006/relationships/settings" Target="settings.xml"/><Relationship Id="rId10" Type="http://schemas.openxmlformats.org/officeDocument/2006/relationships/hyperlink" Target="http://www.acus.org/files/ME/020112_Libya_Country_Profile.pdf" TargetMode="External"/><Relationship Id="rId4" Type="http://schemas.microsoft.com/office/2007/relationships/stylesWithEffects" Target="stylesWithEffects.xml"/><Relationship Id="rId9" Type="http://schemas.openxmlformats.org/officeDocument/2006/relationships/hyperlink" Target="http://www.amnesty.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doaj.org/doaj?func=openurl&amp;issn=16175247&amp;genre=journal&amp;uiLanguage=en" TargetMode="External"/><Relationship Id="rId13" Type="http://schemas.openxmlformats.org/officeDocument/2006/relationships/hyperlink" Target="http://www.un.org/apps/news/story.asp?NewsID=39383&amp;Cr=libya&amp;Cr1" TargetMode="External"/><Relationship Id="rId3" Type="http://schemas.openxmlformats.org/officeDocument/2006/relationships/hyperlink" Target="http://www.ambafrance-us.org/spip.php?article989" TargetMode="External"/><Relationship Id="rId7" Type="http://schemas.openxmlformats.org/officeDocument/2006/relationships/hyperlink" Target="http://www.eeas.europa.eu/" TargetMode="External"/><Relationship Id="rId12" Type="http://schemas.openxmlformats.org/officeDocument/2006/relationships/hyperlink" Target="http://www.state.gov/" TargetMode="External"/><Relationship Id="rId17" Type="http://schemas.openxmlformats.org/officeDocument/2006/relationships/hyperlink" Target="http://www.state.gov/" TargetMode="External"/><Relationship Id="rId2" Type="http://schemas.openxmlformats.org/officeDocument/2006/relationships/hyperlink" Target="http://www.acus.org/files/ME/020112_Libya_Country_Profile.pd/" TargetMode="External"/><Relationship Id="rId16" Type="http://schemas.openxmlformats.org/officeDocument/2006/relationships/hyperlink" Target="http://www.unric.org/html/english/library/backgrounders/libya.pdf/" TargetMode="External"/><Relationship Id="rId1" Type="http://schemas.openxmlformats.org/officeDocument/2006/relationships/hyperlink" Target="http://www.amnesty.org/" TargetMode="External"/><Relationship Id="rId6" Type="http://schemas.openxmlformats.org/officeDocument/2006/relationships/hyperlink" Target="Http://www.nytimes.com/2011/02/22/world/Africa/%20(retrived" TargetMode="External"/><Relationship Id="rId11" Type="http://schemas.openxmlformats.org/officeDocument/2006/relationships/hyperlink" Target="http://www.internetjournalofcriminology.com/Morris_The_Arab_Spring_IJC_July_2012.pdf/" TargetMode="External"/><Relationship Id="rId5" Type="http://schemas.openxmlformats.org/officeDocument/2006/relationships/hyperlink" Target="http://www.iadllaw.org/" TargetMode="External"/><Relationship Id="rId15" Type="http://schemas.openxmlformats.org/officeDocument/2006/relationships/hyperlink" Target="http://www.un.org/sg/statements/index.asp?nid=5529/" TargetMode="External"/><Relationship Id="rId10" Type="http://schemas.openxmlformats.org/officeDocument/2006/relationships/hyperlink" Target="http://www.un.org/apps/news/story.asp?NewsID=39383&amp;Cr=libya&amp;Cr1%5d%5bdate" TargetMode="External"/><Relationship Id="rId4" Type="http://schemas.openxmlformats.org/officeDocument/2006/relationships/hyperlink" Target="http://ssrn.com/abstract=1663477/" TargetMode="External"/><Relationship Id="rId9" Type="http://schemas.openxmlformats.org/officeDocument/2006/relationships/hyperlink" Target="http://www.unc.edu/" TargetMode="External"/><Relationship Id="rId14" Type="http://schemas.openxmlformats.org/officeDocument/2006/relationships/hyperlink" Target="http://www.un.org/apps/news/infocus/sgspeeches/statments_full.asp?statID=127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EFF8D-59AA-482E-BB2A-1443632E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4920</Words>
  <Characters>28046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ismail - [2010]</cp:lastModifiedBy>
  <cp:revision>3</cp:revision>
  <dcterms:created xsi:type="dcterms:W3CDTF">2017-04-22T06:44:00Z</dcterms:created>
  <dcterms:modified xsi:type="dcterms:W3CDTF">2018-10-07T19:12:00Z</dcterms:modified>
</cp:coreProperties>
</file>