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FC5" w:rsidRDefault="003A7FC5" w:rsidP="003A7FC5">
      <w:pPr>
        <w:spacing w:after="0" w:line="240" w:lineRule="auto"/>
      </w:pPr>
      <w:r>
        <w:rPr>
          <w:noProof/>
          <w:lang w:bidi="my-MM"/>
        </w:rPr>
        <w:drawing>
          <wp:inline distT="0" distB="0" distL="114300" distR="114300" wp14:anchorId="31891C72" wp14:editId="74150825">
            <wp:extent cx="5666105" cy="1366520"/>
            <wp:effectExtent l="0" t="0" r="10795" b="508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pic:cNvPicPr>
                  </pic:nvPicPr>
                  <pic:blipFill>
                    <a:blip r:embed="rId9"/>
                    <a:srcRect l="4859" t="25868" r="5197" b="39429"/>
                    <a:stretch>
                      <a:fillRect/>
                    </a:stretch>
                  </pic:blipFill>
                  <pic:spPr>
                    <a:xfrm>
                      <a:off x="0" y="0"/>
                      <a:ext cx="5666105" cy="1366520"/>
                    </a:xfrm>
                    <a:prstGeom prst="rect">
                      <a:avLst/>
                    </a:prstGeom>
                    <a:noFill/>
                    <a:ln>
                      <a:noFill/>
                    </a:ln>
                  </pic:spPr>
                </pic:pic>
              </a:graphicData>
            </a:graphic>
          </wp:inline>
        </w:drawing>
      </w:r>
    </w:p>
    <w:p w:rsidR="003A7FC5" w:rsidRDefault="003A7FC5" w:rsidP="003A7FC5">
      <w:pPr>
        <w:pBdr>
          <w:top w:val="none" w:sz="0" w:space="1" w:color="auto"/>
          <w:left w:val="none" w:sz="0" w:space="4" w:color="auto"/>
          <w:bottom w:val="thinThickSmallGap" w:sz="24" w:space="0" w:color="auto"/>
          <w:right w:val="none" w:sz="0" w:space="4" w:color="auto"/>
        </w:pBdr>
        <w:spacing w:after="0" w:line="240" w:lineRule="auto"/>
        <w:rPr>
          <w:sz w:val="6"/>
          <w:szCs w:val="6"/>
          <w:lang w:val="nl-NL"/>
        </w:rPr>
      </w:pPr>
    </w:p>
    <w:p w:rsidR="003A7FC5" w:rsidRDefault="003A7FC5" w:rsidP="003A7FC5">
      <w:pPr>
        <w:spacing w:after="0" w:line="240" w:lineRule="auto"/>
        <w:rPr>
          <w:lang w:val="nl-NL"/>
        </w:rPr>
      </w:pPr>
    </w:p>
    <w:p w:rsidR="003A7FC5" w:rsidRDefault="003A7FC5" w:rsidP="003A7FC5">
      <w:pPr>
        <w:pStyle w:val="NoSpacing"/>
        <w:jc w:val="center"/>
        <w:rPr>
          <w:rFonts w:ascii="Times New Roman" w:eastAsia="Times New Roman" w:hAnsi="Times New Roman"/>
          <w:b/>
          <w:sz w:val="28"/>
          <w:lang w:val="en-US"/>
        </w:rPr>
      </w:pPr>
      <w:r w:rsidRPr="003A7FC5">
        <w:rPr>
          <w:rFonts w:ascii="Times New Roman" w:eastAsia="Times New Roman" w:hAnsi="Times New Roman"/>
          <w:b/>
          <w:sz w:val="28"/>
          <w:lang w:val="en-US"/>
        </w:rPr>
        <w:t xml:space="preserve">SOME COMMENTARY NOTES </w:t>
      </w:r>
      <w:proofErr w:type="gramStart"/>
      <w:r w:rsidRPr="003A7FC5">
        <w:rPr>
          <w:rFonts w:ascii="Times New Roman" w:eastAsia="Times New Roman" w:hAnsi="Times New Roman"/>
          <w:b/>
          <w:sz w:val="28"/>
          <w:lang w:val="en-US"/>
        </w:rPr>
        <w:t xml:space="preserve">ON </w:t>
      </w:r>
      <w:r>
        <w:rPr>
          <w:rFonts w:ascii="Times New Roman" w:eastAsia="Times New Roman" w:hAnsi="Times New Roman"/>
          <w:b/>
          <w:sz w:val="28"/>
          <w:lang w:val="en-US"/>
        </w:rPr>
        <w:t xml:space="preserve"> </w:t>
      </w:r>
      <w:r w:rsidRPr="003A7FC5">
        <w:rPr>
          <w:rFonts w:ascii="Times New Roman" w:eastAsia="Times New Roman" w:hAnsi="Times New Roman"/>
          <w:b/>
          <w:sz w:val="28"/>
          <w:lang w:val="en-US"/>
        </w:rPr>
        <w:t>LAW</w:t>
      </w:r>
      <w:proofErr w:type="gramEnd"/>
      <w:r w:rsidRPr="003A7FC5">
        <w:rPr>
          <w:rFonts w:ascii="Times New Roman" w:eastAsia="Times New Roman" w:hAnsi="Times New Roman"/>
          <w:b/>
          <w:sz w:val="28"/>
          <w:lang w:val="en-US"/>
        </w:rPr>
        <w:t xml:space="preserve"> NUMBER 30 OF 2014 CONCERNING GOVERNMENT ADMINISTRATION</w:t>
      </w:r>
    </w:p>
    <w:p w:rsidR="003A7FC5" w:rsidRDefault="003A7FC5" w:rsidP="003A7FC5">
      <w:pPr>
        <w:pStyle w:val="NoSpacing"/>
        <w:spacing w:line="360" w:lineRule="auto"/>
        <w:jc w:val="center"/>
        <w:rPr>
          <w:rFonts w:ascii="Times New Roman" w:eastAsia="Times New Roman" w:hAnsi="Times New Roman"/>
          <w:sz w:val="24"/>
          <w:lang w:val="en-US"/>
        </w:rPr>
      </w:pPr>
    </w:p>
    <w:p w:rsidR="003A7FC5" w:rsidRPr="00A875DC" w:rsidRDefault="003A7FC5" w:rsidP="003A7FC5">
      <w:pPr>
        <w:pStyle w:val="NoSpacing"/>
        <w:spacing w:line="360" w:lineRule="auto"/>
        <w:jc w:val="center"/>
        <w:rPr>
          <w:rFonts w:ascii="Times New Roman" w:eastAsia="Times New Roman" w:hAnsi="Times New Roman"/>
          <w:sz w:val="24"/>
          <w:lang w:val="en-US"/>
        </w:rPr>
      </w:pPr>
      <w:proofErr w:type="spellStart"/>
      <w:r>
        <w:rPr>
          <w:rFonts w:ascii="Times New Roman" w:eastAsia="Times New Roman" w:hAnsi="Times New Roman"/>
          <w:sz w:val="24"/>
          <w:lang w:val="en-US"/>
        </w:rPr>
        <w:t>Muklis</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Al’anam</w:t>
      </w:r>
      <w:proofErr w:type="spellEnd"/>
      <w:r>
        <w:rPr>
          <w:rFonts w:ascii="Times New Roman" w:eastAsia="Times New Roman" w:hAnsi="Times New Roman" w:hint="eastAsia"/>
          <w:sz w:val="24"/>
          <w:vertAlign w:val="superscript"/>
        </w:rPr>
        <w:t>a</w:t>
      </w:r>
      <w:r>
        <w:rPr>
          <w:rFonts w:ascii="Times New Roman" w:eastAsia="Times New Roman" w:hAnsi="Times New Roman" w:hint="eastAsia"/>
          <w:sz w:val="24"/>
        </w:rPr>
        <w:t xml:space="preserve">, </w:t>
      </w:r>
      <w:proofErr w:type="spellStart"/>
      <w:r>
        <w:rPr>
          <w:rFonts w:ascii="Times New Roman" w:eastAsia="Times New Roman" w:hAnsi="Times New Roman"/>
          <w:sz w:val="24"/>
          <w:lang w:val="en-US"/>
        </w:rPr>
        <w:t>Hendi</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Setiawan</w:t>
      </w:r>
      <w:proofErr w:type="spellEnd"/>
      <w:r w:rsidR="00A875DC" w:rsidRPr="00A875DC">
        <w:rPr>
          <w:rFonts w:ascii="Times New Roman" w:eastAsia="Times New Roman" w:hAnsi="Times New Roman" w:hint="eastAsia"/>
          <w:sz w:val="24"/>
          <w:vertAlign w:val="superscript"/>
        </w:rPr>
        <w:t xml:space="preserve"> </w:t>
      </w:r>
      <w:r w:rsidR="00A875DC">
        <w:rPr>
          <w:rFonts w:ascii="Times New Roman" w:eastAsia="Times New Roman" w:hAnsi="Times New Roman" w:hint="eastAsia"/>
          <w:sz w:val="24"/>
          <w:vertAlign w:val="superscript"/>
        </w:rPr>
        <w:t>b</w:t>
      </w:r>
      <w:r w:rsidR="00A875DC">
        <w:rPr>
          <w:rFonts w:ascii="Times New Roman" w:eastAsia="Times New Roman" w:hAnsi="Times New Roman"/>
          <w:sz w:val="24"/>
          <w:lang w:val="en-US"/>
        </w:rPr>
        <w:t xml:space="preserve">, </w:t>
      </w:r>
      <w:proofErr w:type="spellStart"/>
      <w:r w:rsidR="00A875DC">
        <w:rPr>
          <w:rFonts w:ascii="Times New Roman" w:eastAsia="Times New Roman" w:hAnsi="Times New Roman"/>
          <w:sz w:val="24"/>
          <w:lang w:val="en-US"/>
        </w:rPr>
        <w:t>Wandri</w:t>
      </w:r>
      <w:proofErr w:type="spellEnd"/>
      <w:r w:rsidR="00A875DC">
        <w:rPr>
          <w:rFonts w:ascii="Times New Roman" w:eastAsia="Times New Roman" w:hAnsi="Times New Roman"/>
          <w:sz w:val="24"/>
          <w:lang w:val="en-US"/>
        </w:rPr>
        <w:t xml:space="preserve"> </w:t>
      </w:r>
      <w:proofErr w:type="spellStart"/>
      <w:r w:rsidR="00A875DC">
        <w:rPr>
          <w:rFonts w:ascii="Times New Roman" w:eastAsia="Times New Roman" w:hAnsi="Times New Roman"/>
          <w:sz w:val="24"/>
          <w:lang w:val="en-US"/>
        </w:rPr>
        <w:t>Munif</w:t>
      </w:r>
      <w:proofErr w:type="spellEnd"/>
      <w:r w:rsidR="00A875DC" w:rsidRPr="00A875DC">
        <w:rPr>
          <w:rFonts w:ascii="Times New Roman" w:eastAsia="Times New Roman" w:hAnsi="Times New Roman" w:hint="eastAsia"/>
          <w:sz w:val="24"/>
          <w:vertAlign w:val="superscript"/>
        </w:rPr>
        <w:t xml:space="preserve"> </w:t>
      </w:r>
      <w:r w:rsidR="00A875DC">
        <w:rPr>
          <w:rFonts w:ascii="Times New Roman" w:eastAsia="Times New Roman" w:hAnsi="Times New Roman"/>
          <w:sz w:val="24"/>
          <w:vertAlign w:val="superscript"/>
          <w:lang w:val="en-US"/>
        </w:rPr>
        <w:t>c</w:t>
      </w:r>
    </w:p>
    <w:p w:rsidR="003A7FC5" w:rsidRPr="00540FA6" w:rsidRDefault="003A7FC5" w:rsidP="00A875DC">
      <w:pPr>
        <w:pStyle w:val="NoSpacing"/>
        <w:rPr>
          <w:rFonts w:ascii="Times New Roman" w:eastAsia="Times New Roman" w:hAnsi="Times New Roman"/>
          <w:sz w:val="20"/>
          <w:lang w:val="en-US"/>
        </w:rPr>
      </w:pPr>
      <w:r>
        <w:rPr>
          <w:rFonts w:ascii="Times New Roman" w:eastAsia="Times New Roman" w:hAnsi="Times New Roman" w:hint="eastAsia"/>
          <w:sz w:val="24"/>
          <w:vertAlign w:val="superscript"/>
        </w:rPr>
        <w:t>a</w:t>
      </w:r>
      <w:r>
        <w:rPr>
          <w:rFonts w:ascii="Times New Roman" w:eastAsia="Times New Roman" w:hAnsi="Times New Roman" w:hint="eastAsia"/>
          <w:sz w:val="24"/>
        </w:rPr>
        <w:t xml:space="preserve"> </w:t>
      </w:r>
      <w:r w:rsidR="00A875DC">
        <w:rPr>
          <w:rFonts w:ascii="Times New Roman" w:eastAsia="Times New Roman" w:hAnsi="Times New Roman"/>
          <w:sz w:val="20"/>
          <w:lang w:val="en-US"/>
        </w:rPr>
        <w:t>Faculty of Law</w:t>
      </w:r>
      <w:r>
        <w:rPr>
          <w:rFonts w:ascii="Times New Roman" w:eastAsia="Times New Roman" w:hAnsi="Times New Roman" w:hint="eastAsia"/>
          <w:sz w:val="20"/>
        </w:rPr>
        <w:t xml:space="preserve">, Universitas </w:t>
      </w:r>
      <w:proofErr w:type="spellStart"/>
      <w:r>
        <w:rPr>
          <w:rFonts w:ascii="Times New Roman" w:eastAsia="Times New Roman" w:hAnsi="Times New Roman"/>
          <w:sz w:val="20"/>
          <w:lang w:val="en-US"/>
        </w:rPr>
        <w:t>Airlangga</w:t>
      </w:r>
      <w:proofErr w:type="spellEnd"/>
      <w:r>
        <w:rPr>
          <w:rFonts w:ascii="Times New Roman" w:eastAsia="Times New Roman" w:hAnsi="Times New Roman" w:hint="eastAsia"/>
          <w:sz w:val="20"/>
        </w:rPr>
        <w:t xml:space="preserve">, Indonesia, Email: </w:t>
      </w:r>
      <w:r>
        <w:rPr>
          <w:rFonts w:ascii="Times New Roman" w:eastAsia="Times New Roman" w:hAnsi="Times New Roman"/>
          <w:sz w:val="20"/>
          <w:lang w:val="en-US"/>
        </w:rPr>
        <w:t>muklis.alanam-2023@fh.unair.ac.id</w:t>
      </w:r>
    </w:p>
    <w:p w:rsidR="003A7FC5" w:rsidRDefault="003A7FC5" w:rsidP="00A875DC">
      <w:pPr>
        <w:pStyle w:val="NoSpacing"/>
        <w:rPr>
          <w:rFonts w:ascii="Times New Roman" w:eastAsia="Times New Roman" w:hAnsi="Times New Roman"/>
          <w:sz w:val="20"/>
          <w:lang w:val="en-US"/>
        </w:rPr>
      </w:pPr>
      <w:r>
        <w:rPr>
          <w:rFonts w:ascii="Times New Roman" w:eastAsia="Times New Roman" w:hAnsi="Times New Roman" w:hint="eastAsia"/>
          <w:sz w:val="24"/>
          <w:vertAlign w:val="superscript"/>
        </w:rPr>
        <w:t>b</w:t>
      </w:r>
      <w:r>
        <w:rPr>
          <w:rFonts w:ascii="Times New Roman" w:eastAsia="Times New Roman" w:hAnsi="Times New Roman" w:hint="eastAsia"/>
          <w:sz w:val="24"/>
        </w:rPr>
        <w:t xml:space="preserve"> </w:t>
      </w:r>
      <w:r w:rsidR="00A875DC">
        <w:rPr>
          <w:rFonts w:ascii="Times New Roman" w:eastAsia="Times New Roman" w:hAnsi="Times New Roman"/>
          <w:sz w:val="20"/>
          <w:lang w:val="en-US"/>
        </w:rPr>
        <w:t>Faculty of Law</w:t>
      </w:r>
      <w:r>
        <w:rPr>
          <w:rFonts w:ascii="Times New Roman" w:eastAsia="Times New Roman" w:hAnsi="Times New Roman" w:hint="eastAsia"/>
          <w:sz w:val="20"/>
        </w:rPr>
        <w:t xml:space="preserve">, Universitas </w:t>
      </w:r>
      <w:proofErr w:type="spellStart"/>
      <w:r w:rsidR="00A875DC">
        <w:rPr>
          <w:rFonts w:ascii="Times New Roman" w:eastAsia="Times New Roman" w:hAnsi="Times New Roman"/>
          <w:sz w:val="20"/>
          <w:lang w:val="en-US"/>
        </w:rPr>
        <w:t>Gadjah</w:t>
      </w:r>
      <w:proofErr w:type="spellEnd"/>
      <w:r w:rsidR="00A875DC">
        <w:rPr>
          <w:rFonts w:ascii="Times New Roman" w:eastAsia="Times New Roman" w:hAnsi="Times New Roman"/>
          <w:sz w:val="20"/>
          <w:lang w:val="en-US"/>
        </w:rPr>
        <w:t xml:space="preserve"> </w:t>
      </w:r>
      <w:proofErr w:type="spellStart"/>
      <w:r w:rsidR="00A875DC">
        <w:rPr>
          <w:rFonts w:ascii="Times New Roman" w:eastAsia="Times New Roman" w:hAnsi="Times New Roman"/>
          <w:sz w:val="20"/>
          <w:lang w:val="en-US"/>
        </w:rPr>
        <w:t>Mada</w:t>
      </w:r>
      <w:proofErr w:type="spellEnd"/>
      <w:r>
        <w:rPr>
          <w:rFonts w:ascii="Times New Roman" w:eastAsia="Times New Roman" w:hAnsi="Times New Roman" w:hint="eastAsia"/>
          <w:sz w:val="20"/>
        </w:rPr>
        <w:t xml:space="preserve">, Indonesia, Email: </w:t>
      </w:r>
      <w:r w:rsidR="00A875DC" w:rsidRPr="00A875DC">
        <w:rPr>
          <w:rFonts w:ascii="Times New Roman" w:eastAsia="Times New Roman" w:hAnsi="Times New Roman"/>
          <w:sz w:val="20"/>
          <w:lang w:val="en-US"/>
        </w:rPr>
        <w:t>hendisetiawan@mail.ugm.ac.id</w:t>
      </w:r>
    </w:p>
    <w:p w:rsidR="00A875DC" w:rsidRPr="00A875DC" w:rsidRDefault="00A875DC" w:rsidP="00A875DC">
      <w:pPr>
        <w:pStyle w:val="NoSpacing"/>
        <w:rPr>
          <w:rFonts w:ascii="Times New Roman" w:eastAsia="Times New Roman" w:hAnsi="Times New Roman"/>
          <w:sz w:val="20"/>
          <w:lang w:val="en-US"/>
        </w:rPr>
      </w:pPr>
      <w:proofErr w:type="gramStart"/>
      <w:r>
        <w:rPr>
          <w:rFonts w:ascii="Times New Roman" w:eastAsia="Times New Roman" w:hAnsi="Times New Roman"/>
          <w:sz w:val="24"/>
          <w:vertAlign w:val="superscript"/>
          <w:lang w:val="en-US"/>
        </w:rPr>
        <w:t>c</w:t>
      </w:r>
      <w:proofErr w:type="gramEnd"/>
      <w:r w:rsidRPr="00A875DC">
        <w:rPr>
          <w:rFonts w:ascii="Times New Roman" w:eastAsia="Times New Roman" w:hAnsi="Times New Roman"/>
          <w:sz w:val="20"/>
          <w:lang w:val="en-US"/>
        </w:rPr>
        <w:t xml:space="preserve"> </w:t>
      </w:r>
      <w:r>
        <w:rPr>
          <w:rFonts w:ascii="Times New Roman" w:eastAsia="Times New Roman" w:hAnsi="Times New Roman"/>
          <w:sz w:val="20"/>
          <w:lang w:val="en-US"/>
        </w:rPr>
        <w:t xml:space="preserve">Faculty of Law, </w:t>
      </w:r>
      <w:proofErr w:type="spellStart"/>
      <w:r>
        <w:rPr>
          <w:rFonts w:ascii="Times New Roman" w:eastAsia="Times New Roman" w:hAnsi="Times New Roman"/>
          <w:sz w:val="20"/>
          <w:lang w:val="en-US"/>
        </w:rPr>
        <w:t>Universitas</w:t>
      </w:r>
      <w:proofErr w:type="spellEnd"/>
      <w:r>
        <w:rPr>
          <w:rFonts w:ascii="Times New Roman" w:eastAsia="Times New Roman" w:hAnsi="Times New Roman"/>
          <w:sz w:val="20"/>
          <w:lang w:val="en-US"/>
        </w:rPr>
        <w:t xml:space="preserve"> Indonesia, Indonesia, Email: </w:t>
      </w:r>
      <w:r w:rsidRPr="00A875DC">
        <w:rPr>
          <w:rFonts w:ascii="Times New Roman" w:eastAsia="Times New Roman" w:hAnsi="Times New Roman"/>
          <w:sz w:val="20"/>
          <w:lang w:val="en-US"/>
        </w:rPr>
        <w:t>wandri.munif@ui.ac.id</w:t>
      </w:r>
    </w:p>
    <w:p w:rsidR="003A7FC5" w:rsidRDefault="003A7FC5" w:rsidP="003A7FC5">
      <w:pPr>
        <w:pStyle w:val="NoSpacing"/>
        <w:jc w:val="center"/>
        <w:rPr>
          <w:rFonts w:ascii="Times New Roman" w:hAnsi="Times New Roman" w:cs="Times New Roman"/>
          <w:sz w:val="20"/>
          <w:szCs w:val="20"/>
        </w:rPr>
      </w:pPr>
    </w:p>
    <w:tbl>
      <w:tblPr>
        <w:tblStyle w:val="TableGrid"/>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7"/>
        <w:gridCol w:w="768"/>
        <w:gridCol w:w="6085"/>
      </w:tblGrid>
      <w:tr w:rsidR="003A7FC5" w:rsidTr="00A875DC">
        <w:tc>
          <w:tcPr>
            <w:tcW w:w="2457" w:type="dxa"/>
            <w:tcBorders>
              <w:top w:val="single" w:sz="18" w:space="0" w:color="000000"/>
              <w:bottom w:val="single" w:sz="8" w:space="0" w:color="000000"/>
            </w:tcBorders>
          </w:tcPr>
          <w:p w:rsidR="003A7FC5" w:rsidRDefault="003A7FC5" w:rsidP="00A875DC">
            <w:pPr>
              <w:pStyle w:val="NoSpacing"/>
              <w:spacing w:afterLines="50" w:after="120"/>
              <w:jc w:val="both"/>
            </w:pPr>
            <w:r>
              <w:rPr>
                <w:b/>
              </w:rPr>
              <w:t>Informasi Artikel</w:t>
            </w:r>
          </w:p>
        </w:tc>
        <w:tc>
          <w:tcPr>
            <w:tcW w:w="768" w:type="dxa"/>
            <w:tcBorders>
              <w:top w:val="single" w:sz="18" w:space="0" w:color="000000"/>
            </w:tcBorders>
          </w:tcPr>
          <w:p w:rsidR="003A7FC5" w:rsidRDefault="003A7FC5" w:rsidP="00A875DC">
            <w:pPr>
              <w:pStyle w:val="NoSpacing"/>
              <w:jc w:val="both"/>
            </w:pPr>
          </w:p>
        </w:tc>
        <w:tc>
          <w:tcPr>
            <w:tcW w:w="6085" w:type="dxa"/>
            <w:tcBorders>
              <w:top w:val="single" w:sz="18" w:space="0" w:color="000000"/>
              <w:bottom w:val="single" w:sz="18" w:space="0" w:color="000000"/>
            </w:tcBorders>
          </w:tcPr>
          <w:p w:rsidR="003A7FC5" w:rsidRDefault="003A7FC5" w:rsidP="00A875DC">
            <w:pPr>
              <w:pStyle w:val="NoSpacing"/>
              <w:jc w:val="both"/>
            </w:pPr>
            <w:r>
              <w:rPr>
                <w:b/>
                <w:lang w:val="nl-NL"/>
              </w:rPr>
              <w:t>Abstrak</w:t>
            </w:r>
          </w:p>
        </w:tc>
      </w:tr>
      <w:tr w:rsidR="003A7FC5" w:rsidTr="00A875DC">
        <w:tc>
          <w:tcPr>
            <w:tcW w:w="2457" w:type="dxa"/>
            <w:tcBorders>
              <w:top w:val="single" w:sz="8" w:space="0" w:color="000000"/>
              <w:bottom w:val="single" w:sz="8" w:space="0" w:color="000000"/>
            </w:tcBorders>
          </w:tcPr>
          <w:p w:rsidR="003A7FC5" w:rsidRDefault="003A7FC5" w:rsidP="00A875DC">
            <w:pPr>
              <w:pStyle w:val="NoSpacing"/>
              <w:rPr>
                <w:b/>
              </w:rPr>
            </w:pPr>
            <w:r>
              <w:rPr>
                <w:b/>
              </w:rPr>
              <w:t>Histori Artikel:</w:t>
            </w:r>
          </w:p>
          <w:p w:rsidR="003A7FC5" w:rsidRDefault="003A7FC5" w:rsidP="00A875DC">
            <w:pPr>
              <w:pStyle w:val="NoSpacing"/>
            </w:pPr>
            <w:r>
              <w:t>Diterima     : 01-01-2020</w:t>
            </w:r>
          </w:p>
          <w:p w:rsidR="003A7FC5" w:rsidRDefault="003A7FC5" w:rsidP="00A875DC">
            <w:pPr>
              <w:pStyle w:val="NoSpacing"/>
            </w:pPr>
            <w:r>
              <w:t>Direvisi      : 20-01-2020</w:t>
            </w:r>
          </w:p>
          <w:p w:rsidR="003A7FC5" w:rsidRDefault="003A7FC5" w:rsidP="00A875DC">
            <w:pPr>
              <w:pStyle w:val="NoSpacing"/>
            </w:pPr>
            <w:r>
              <w:t>Disetujui</w:t>
            </w:r>
            <w:r>
              <w:rPr>
                <w:sz w:val="24"/>
                <w:szCs w:val="24"/>
              </w:rPr>
              <w:t xml:space="preserve">    </w:t>
            </w:r>
            <w:r>
              <w:t>: 10-02-2020</w:t>
            </w:r>
          </w:p>
          <w:p w:rsidR="003A7FC5" w:rsidRDefault="003A7FC5" w:rsidP="00A875DC">
            <w:pPr>
              <w:pStyle w:val="NoSpacing"/>
              <w:spacing w:afterLines="50" w:after="120"/>
            </w:pPr>
            <w:r>
              <w:t>Diterbitkan : 28-02-2020</w:t>
            </w:r>
          </w:p>
        </w:tc>
        <w:tc>
          <w:tcPr>
            <w:tcW w:w="768" w:type="dxa"/>
          </w:tcPr>
          <w:p w:rsidR="003A7FC5" w:rsidRDefault="003A7FC5" w:rsidP="00A875DC">
            <w:pPr>
              <w:pStyle w:val="NoSpacing"/>
              <w:jc w:val="both"/>
            </w:pPr>
          </w:p>
        </w:tc>
        <w:tc>
          <w:tcPr>
            <w:tcW w:w="6085" w:type="dxa"/>
            <w:vMerge w:val="restart"/>
            <w:tcBorders>
              <w:top w:val="single" w:sz="18" w:space="0" w:color="000000"/>
              <w:bottom w:val="single" w:sz="18" w:space="0" w:color="000000"/>
            </w:tcBorders>
          </w:tcPr>
          <w:p w:rsidR="003A7FC5" w:rsidRDefault="003A7FC5" w:rsidP="00A875DC">
            <w:pPr>
              <w:pStyle w:val="Heading2"/>
              <w:spacing w:line="268" w:lineRule="exact"/>
              <w:outlineLvl w:val="1"/>
            </w:pPr>
          </w:p>
          <w:p w:rsidR="003A7FC5" w:rsidRPr="00D21467" w:rsidRDefault="00A875DC" w:rsidP="00A875DC">
            <w:pPr>
              <w:pStyle w:val="BodyText"/>
              <w:spacing w:before="2"/>
              <w:ind w:left="128" w:right="125"/>
              <w:jc w:val="both"/>
              <w:rPr>
                <w:lang w:val="id-ID"/>
              </w:rPr>
            </w:pPr>
            <w:r w:rsidRPr="00A875DC">
              <w:rPr>
                <w:sz w:val="22"/>
                <w:szCs w:val="22"/>
              </w:rPr>
              <w:t>Kedudukan hukum administrasi di Indonesia tidak memiliki tempat khusus dibanding dengan ilmu hukum bidang lain. Hal ini menjadi masalah penting, bahwa hukum administrasi tidak memiliki kodifikasi baku hukum administrasi umum, layaknya hukum pidana yang memiliki KUHP dan hukum perdata yang memiliki KUHPerdata. Beberapa dekade terakhir sangat menarik mengenai kontras pada UU No. 30 Tahun 2014 tentang Administrasi Pemerintahan yang diyakini sebagai hukum materil pada Peradilan Tata Usaha Negara (PTUN). Perdebatan mengenai aturan ini terkait dengan adanya konflik norma antara pasal dengan pasal lain didalamnya, Menurut penulis bahwa aturan tersebut merupakan wujud konsep manajemen pemerintahan dan bukan pada aturan hukum umum administrasi. Sehingga penelitian ini perlu dikaji melalui metode penelitian hukum normatif dengan pendekatan undang-undang dan pendekatan konseptual. Dengan hasil penelitian menunjukkan yakni terdapat konflik norma dan konflik aturan. Oleh sebab itu sangat tidak layak aturan ini menjadi hukum materiil mengenai PTUN.</w:t>
            </w:r>
            <w:r w:rsidR="003A7FC5">
              <w:rPr>
                <w:lang w:val="id-ID"/>
              </w:rPr>
              <w:tab/>
            </w:r>
          </w:p>
        </w:tc>
      </w:tr>
      <w:tr w:rsidR="003A7FC5" w:rsidTr="00A875DC">
        <w:tc>
          <w:tcPr>
            <w:tcW w:w="2457" w:type="dxa"/>
            <w:tcBorders>
              <w:top w:val="single" w:sz="8" w:space="0" w:color="000000"/>
              <w:bottom w:val="single" w:sz="18" w:space="0" w:color="auto"/>
            </w:tcBorders>
          </w:tcPr>
          <w:p w:rsidR="003A7FC5" w:rsidRDefault="003A7FC5" w:rsidP="00A875DC">
            <w:pPr>
              <w:pStyle w:val="NoSpacing"/>
              <w:rPr>
                <w:rFonts w:eastAsia="Times New Roman"/>
                <w:b/>
              </w:rPr>
            </w:pPr>
            <w:r>
              <w:rPr>
                <w:rFonts w:eastAsia="Times New Roman" w:hint="eastAsia"/>
                <w:b/>
              </w:rPr>
              <w:t>Kata Kunci:</w:t>
            </w:r>
          </w:p>
          <w:p w:rsidR="003A7FC5" w:rsidRDefault="00A875DC" w:rsidP="00A875DC">
            <w:pPr>
              <w:pStyle w:val="NoSpacing"/>
              <w:rPr>
                <w:rFonts w:eastAsia="Times New Roman"/>
                <w:sz w:val="10"/>
              </w:rPr>
            </w:pPr>
            <w:proofErr w:type="spellStart"/>
            <w:r w:rsidRPr="00A875DC">
              <w:rPr>
                <w:rFonts w:eastAsia="Times New Roman"/>
                <w:lang w:val="en-US"/>
              </w:rPr>
              <w:t>Keputusan</w:t>
            </w:r>
            <w:proofErr w:type="spellEnd"/>
            <w:r w:rsidRPr="00A875DC">
              <w:rPr>
                <w:rFonts w:eastAsia="Times New Roman"/>
                <w:lang w:val="en-US"/>
              </w:rPr>
              <w:t xml:space="preserve"> Tata Usaha Negara, </w:t>
            </w:r>
            <w:proofErr w:type="spellStart"/>
            <w:r w:rsidRPr="00A875DC">
              <w:rPr>
                <w:rFonts w:eastAsia="Times New Roman"/>
                <w:lang w:val="en-US"/>
              </w:rPr>
              <w:t>Peradilan</w:t>
            </w:r>
            <w:proofErr w:type="spellEnd"/>
            <w:r w:rsidRPr="00A875DC">
              <w:rPr>
                <w:rFonts w:eastAsia="Times New Roman"/>
                <w:lang w:val="en-US"/>
              </w:rPr>
              <w:t xml:space="preserve"> Tata Usaha Negara, </w:t>
            </w:r>
            <w:proofErr w:type="spellStart"/>
            <w:r w:rsidRPr="00A875DC">
              <w:rPr>
                <w:rFonts w:eastAsia="Times New Roman"/>
                <w:lang w:val="en-US"/>
              </w:rPr>
              <w:t>Administrasi</w:t>
            </w:r>
            <w:proofErr w:type="spellEnd"/>
            <w:r w:rsidRPr="00A875DC">
              <w:rPr>
                <w:rFonts w:eastAsia="Times New Roman"/>
                <w:lang w:val="en-US"/>
              </w:rPr>
              <w:t xml:space="preserve"> </w:t>
            </w:r>
            <w:proofErr w:type="spellStart"/>
            <w:r w:rsidRPr="00A875DC">
              <w:rPr>
                <w:rFonts w:eastAsia="Times New Roman"/>
                <w:lang w:val="en-US"/>
              </w:rPr>
              <w:t>Pemerintahan</w:t>
            </w:r>
            <w:proofErr w:type="spellEnd"/>
            <w:r w:rsidRPr="00A875DC">
              <w:rPr>
                <w:rFonts w:eastAsia="Times New Roman"/>
                <w:lang w:val="en-US"/>
              </w:rPr>
              <w:t xml:space="preserve"> </w:t>
            </w:r>
          </w:p>
          <w:p w:rsidR="003A7FC5" w:rsidRDefault="003A7FC5" w:rsidP="00A875DC">
            <w:pPr>
              <w:pStyle w:val="NoSpacing"/>
              <w:rPr>
                <w:rFonts w:eastAsia="Times New Roman"/>
              </w:rPr>
            </w:pPr>
          </w:p>
        </w:tc>
        <w:tc>
          <w:tcPr>
            <w:tcW w:w="768" w:type="dxa"/>
            <w:tcBorders>
              <w:bottom w:val="single" w:sz="18" w:space="0" w:color="auto"/>
            </w:tcBorders>
          </w:tcPr>
          <w:p w:rsidR="003A7FC5" w:rsidRDefault="003A7FC5" w:rsidP="00A875DC">
            <w:pPr>
              <w:pStyle w:val="NoSpacing"/>
              <w:jc w:val="both"/>
            </w:pPr>
          </w:p>
        </w:tc>
        <w:tc>
          <w:tcPr>
            <w:tcW w:w="6085" w:type="dxa"/>
            <w:vMerge/>
            <w:tcBorders>
              <w:top w:val="single" w:sz="18" w:space="0" w:color="000000"/>
              <w:bottom w:val="single" w:sz="18" w:space="0" w:color="auto"/>
            </w:tcBorders>
          </w:tcPr>
          <w:p w:rsidR="003A7FC5" w:rsidRDefault="003A7FC5" w:rsidP="00A875DC">
            <w:pPr>
              <w:pStyle w:val="NoSpacing"/>
              <w:jc w:val="both"/>
            </w:pPr>
          </w:p>
        </w:tc>
      </w:tr>
      <w:tr w:rsidR="003A7FC5" w:rsidTr="00A875DC">
        <w:tc>
          <w:tcPr>
            <w:tcW w:w="2457" w:type="dxa"/>
            <w:tcBorders>
              <w:top w:val="single" w:sz="18" w:space="0" w:color="auto"/>
              <w:bottom w:val="single" w:sz="8" w:space="0" w:color="auto"/>
            </w:tcBorders>
          </w:tcPr>
          <w:p w:rsidR="003A7FC5" w:rsidRDefault="003A7FC5" w:rsidP="00A875DC">
            <w:pPr>
              <w:pStyle w:val="NoSpacing"/>
              <w:spacing w:afterLines="50" w:after="120"/>
              <w:jc w:val="both"/>
            </w:pPr>
            <w:r>
              <w:rPr>
                <w:b/>
                <w:bCs/>
              </w:rPr>
              <w:t>Article Info</w:t>
            </w:r>
          </w:p>
        </w:tc>
        <w:tc>
          <w:tcPr>
            <w:tcW w:w="768" w:type="dxa"/>
            <w:tcBorders>
              <w:top w:val="single" w:sz="18" w:space="0" w:color="auto"/>
              <w:bottom w:val="nil"/>
            </w:tcBorders>
          </w:tcPr>
          <w:p w:rsidR="003A7FC5" w:rsidRDefault="003A7FC5" w:rsidP="00A875DC">
            <w:pPr>
              <w:pStyle w:val="NoSpacing"/>
              <w:jc w:val="both"/>
            </w:pPr>
          </w:p>
        </w:tc>
        <w:tc>
          <w:tcPr>
            <w:tcW w:w="6085" w:type="dxa"/>
            <w:tcBorders>
              <w:top w:val="single" w:sz="18" w:space="0" w:color="auto"/>
              <w:bottom w:val="single" w:sz="8" w:space="0" w:color="000000"/>
            </w:tcBorders>
          </w:tcPr>
          <w:p w:rsidR="003A7FC5" w:rsidRDefault="003A7FC5" w:rsidP="00A875DC">
            <w:pPr>
              <w:pStyle w:val="NoSpacing"/>
              <w:jc w:val="both"/>
            </w:pPr>
            <w:r>
              <w:rPr>
                <w:b/>
                <w:iCs/>
              </w:rPr>
              <w:t>Abstract</w:t>
            </w:r>
          </w:p>
        </w:tc>
      </w:tr>
      <w:tr w:rsidR="003A7FC5" w:rsidTr="00A875DC">
        <w:tc>
          <w:tcPr>
            <w:tcW w:w="2457" w:type="dxa"/>
            <w:tcBorders>
              <w:top w:val="single" w:sz="8" w:space="0" w:color="auto"/>
              <w:bottom w:val="single" w:sz="8" w:space="0" w:color="000000"/>
            </w:tcBorders>
          </w:tcPr>
          <w:p w:rsidR="003A7FC5" w:rsidRDefault="003A7FC5" w:rsidP="00A875DC">
            <w:pPr>
              <w:pStyle w:val="NoSpacing"/>
              <w:jc w:val="both"/>
              <w:rPr>
                <w:b/>
                <w:bCs/>
                <w:color w:val="000000" w:themeColor="text1"/>
              </w:rPr>
            </w:pPr>
            <w:r>
              <w:rPr>
                <w:b/>
                <w:bCs/>
                <w:color w:val="000000" w:themeColor="text1"/>
              </w:rPr>
              <w:t>Article History:</w:t>
            </w:r>
          </w:p>
          <w:p w:rsidR="003A7FC5" w:rsidRDefault="003A7FC5" w:rsidP="00A875DC">
            <w:pPr>
              <w:pStyle w:val="NoSpacing"/>
            </w:pPr>
            <w:r>
              <w:t>Received   : 01-01-2020</w:t>
            </w:r>
          </w:p>
          <w:p w:rsidR="003A7FC5" w:rsidRDefault="003A7FC5" w:rsidP="00A875DC">
            <w:pPr>
              <w:pStyle w:val="NoSpacing"/>
            </w:pPr>
            <w:r>
              <w:t>Revised     : 20-01-2020</w:t>
            </w:r>
          </w:p>
          <w:p w:rsidR="003A7FC5" w:rsidRDefault="003A7FC5" w:rsidP="00A875DC">
            <w:pPr>
              <w:pStyle w:val="NoSpacing"/>
            </w:pPr>
            <w:r>
              <w:t>Accepted</w:t>
            </w:r>
            <w:r>
              <w:rPr>
                <w:sz w:val="24"/>
                <w:szCs w:val="24"/>
              </w:rPr>
              <w:t xml:space="preserve">  </w:t>
            </w:r>
            <w:r>
              <w:t>: 10-02-2020</w:t>
            </w:r>
          </w:p>
          <w:p w:rsidR="003A7FC5" w:rsidRDefault="003A7FC5" w:rsidP="00A875DC">
            <w:pPr>
              <w:pStyle w:val="NoSpacing"/>
              <w:rPr>
                <w:b/>
              </w:rPr>
            </w:pPr>
            <w:r>
              <w:t>Published  : 28-02-2020</w:t>
            </w:r>
          </w:p>
          <w:p w:rsidR="003A7FC5" w:rsidRDefault="003A7FC5" w:rsidP="00A875DC">
            <w:pPr>
              <w:pStyle w:val="NoSpacing"/>
              <w:spacing w:afterLines="50" w:after="120"/>
              <w:jc w:val="both"/>
            </w:pPr>
          </w:p>
        </w:tc>
        <w:tc>
          <w:tcPr>
            <w:tcW w:w="768" w:type="dxa"/>
            <w:tcBorders>
              <w:top w:val="nil"/>
            </w:tcBorders>
          </w:tcPr>
          <w:p w:rsidR="003A7FC5" w:rsidRDefault="003A7FC5" w:rsidP="00A875DC">
            <w:pPr>
              <w:pStyle w:val="NoSpacing"/>
              <w:jc w:val="both"/>
            </w:pPr>
          </w:p>
        </w:tc>
        <w:tc>
          <w:tcPr>
            <w:tcW w:w="6085" w:type="dxa"/>
            <w:vMerge w:val="restart"/>
            <w:tcBorders>
              <w:top w:val="single" w:sz="8" w:space="0" w:color="000000"/>
              <w:bottom w:val="single" w:sz="18" w:space="0" w:color="000000"/>
            </w:tcBorders>
          </w:tcPr>
          <w:p w:rsidR="00A875DC" w:rsidRPr="00A875DC" w:rsidRDefault="00A875DC" w:rsidP="00A875DC">
            <w:pPr>
              <w:pStyle w:val="NoSpacing"/>
              <w:jc w:val="both"/>
              <w:rPr>
                <w:rFonts w:eastAsia="Times New Roman"/>
                <w:i/>
              </w:rPr>
            </w:pPr>
            <w:r w:rsidRPr="00A875DC">
              <w:rPr>
                <w:rFonts w:eastAsia="Times New Roman"/>
                <w:i/>
              </w:rPr>
              <w:t xml:space="preserve">The position of administrative law in Indonesia does not have a special place compared to other fields of law. This is an important problem, that administrative law does not have a standard </w:t>
            </w:r>
            <w:r>
              <w:rPr>
                <w:rFonts w:eastAsia="Times New Roman"/>
                <w:i/>
                <w:lang w:val="en-US"/>
              </w:rPr>
              <w:t xml:space="preserve"> </w:t>
            </w:r>
            <w:r w:rsidRPr="00A875DC">
              <w:rPr>
                <w:rFonts w:eastAsia="Times New Roman"/>
                <w:i/>
              </w:rPr>
              <w:t xml:space="preserve">codification of general administrative law, like criminal law </w:t>
            </w:r>
            <w:r>
              <w:rPr>
                <w:rFonts w:eastAsia="Times New Roman"/>
                <w:i/>
                <w:lang w:val="en-US"/>
              </w:rPr>
              <w:t xml:space="preserve"> </w:t>
            </w:r>
            <w:r w:rsidRPr="00A875DC">
              <w:rPr>
                <w:rFonts w:eastAsia="Times New Roman"/>
                <w:i/>
              </w:rPr>
              <w:t xml:space="preserve">which has the Criminal Code and civil law which has the Civil </w:t>
            </w:r>
            <w:r>
              <w:rPr>
                <w:rFonts w:eastAsia="Times New Roman"/>
                <w:i/>
                <w:lang w:val="en-US"/>
              </w:rPr>
              <w:t xml:space="preserve"> </w:t>
            </w:r>
            <w:r w:rsidRPr="00A875DC">
              <w:rPr>
                <w:rFonts w:eastAsia="Times New Roman"/>
                <w:i/>
              </w:rPr>
              <w:t xml:space="preserve">Code. The last few decades have been very interesting regarding </w:t>
            </w:r>
            <w:r>
              <w:rPr>
                <w:rFonts w:eastAsia="Times New Roman"/>
                <w:i/>
                <w:lang w:val="en-US"/>
              </w:rPr>
              <w:t xml:space="preserve"> </w:t>
            </w:r>
            <w:r w:rsidRPr="00A875DC">
              <w:rPr>
                <w:rFonts w:eastAsia="Times New Roman"/>
                <w:i/>
              </w:rPr>
              <w:t xml:space="preserve">the contrast in Law Number 30 of 2014 concerning Government </w:t>
            </w:r>
            <w:r>
              <w:rPr>
                <w:rFonts w:eastAsia="Times New Roman"/>
                <w:i/>
                <w:lang w:val="en-US"/>
              </w:rPr>
              <w:t xml:space="preserve"> </w:t>
            </w:r>
            <w:r w:rsidRPr="00A875DC">
              <w:rPr>
                <w:rFonts w:eastAsia="Times New Roman"/>
                <w:i/>
              </w:rPr>
              <w:t xml:space="preserve">Administration which is believed to be material law in the State Administrative Court. The debate about this rule is </w:t>
            </w:r>
            <w:r w:rsidRPr="00A875DC">
              <w:rPr>
                <w:rFonts w:eastAsia="Times New Roman"/>
                <w:i/>
              </w:rPr>
              <w:lastRenderedPageBreak/>
              <w:t xml:space="preserve">related to the conflict of norms between articles and other articles in it, </w:t>
            </w:r>
          </w:p>
          <w:p w:rsidR="003A7FC5" w:rsidRPr="00A875DC" w:rsidRDefault="00A875DC" w:rsidP="00A875DC">
            <w:pPr>
              <w:pStyle w:val="NoSpacing"/>
              <w:jc w:val="both"/>
              <w:rPr>
                <w:lang w:val="en-US"/>
              </w:rPr>
            </w:pPr>
            <w:r w:rsidRPr="00A875DC">
              <w:rPr>
                <w:rFonts w:eastAsia="Times New Roman"/>
                <w:i/>
              </w:rPr>
              <w:t>according to the author that the rule is a manifestation of the concept of government management and not the rules of general administrative law. So this research needs to be studied through normative legal research methods with a statutory approach and conceptual approach. The results show that there are conflicts of norms and conflicts of rules. Therefore, it is not feasible for this</w:t>
            </w:r>
            <w:r>
              <w:rPr>
                <w:rFonts w:eastAsia="Times New Roman"/>
                <w:i/>
                <w:lang w:val="en-US"/>
              </w:rPr>
              <w:t xml:space="preserve"> </w:t>
            </w:r>
            <w:r w:rsidRPr="00A875DC">
              <w:rPr>
                <w:rFonts w:eastAsia="Times New Roman"/>
                <w:i/>
                <w:lang w:val="en-US"/>
              </w:rPr>
              <w:t>rule to become material law regarding the State Administrative Court.</w:t>
            </w:r>
          </w:p>
        </w:tc>
      </w:tr>
      <w:tr w:rsidR="003A7FC5" w:rsidTr="00A875DC">
        <w:tc>
          <w:tcPr>
            <w:tcW w:w="2457" w:type="dxa"/>
            <w:tcBorders>
              <w:top w:val="single" w:sz="8" w:space="0" w:color="000000"/>
              <w:bottom w:val="single" w:sz="18" w:space="0" w:color="000000"/>
            </w:tcBorders>
          </w:tcPr>
          <w:p w:rsidR="003A7FC5" w:rsidRDefault="003A7FC5" w:rsidP="00A875DC">
            <w:pPr>
              <w:pStyle w:val="NoSpacing"/>
              <w:rPr>
                <w:rFonts w:eastAsia="Times New Roman"/>
                <w:b/>
              </w:rPr>
            </w:pPr>
            <w:r>
              <w:rPr>
                <w:rFonts w:eastAsia="Times New Roman" w:hint="eastAsia"/>
                <w:b/>
              </w:rPr>
              <w:t>Keywords:</w:t>
            </w:r>
          </w:p>
          <w:p w:rsidR="00A875DC" w:rsidRPr="00A875DC" w:rsidRDefault="00A875DC" w:rsidP="00A875DC">
            <w:pPr>
              <w:pStyle w:val="NoSpacing"/>
              <w:jc w:val="both"/>
              <w:rPr>
                <w:rFonts w:eastAsia="Times New Roman"/>
                <w:lang w:val="en-US"/>
              </w:rPr>
            </w:pPr>
            <w:r w:rsidRPr="00A875DC">
              <w:rPr>
                <w:rFonts w:eastAsia="Times New Roman"/>
                <w:lang w:val="en-US"/>
              </w:rPr>
              <w:lastRenderedPageBreak/>
              <w:t xml:space="preserve">State Administrative </w:t>
            </w:r>
          </w:p>
          <w:p w:rsidR="00A875DC" w:rsidRPr="00A875DC" w:rsidRDefault="00A875DC" w:rsidP="00A875DC">
            <w:pPr>
              <w:pStyle w:val="NoSpacing"/>
              <w:jc w:val="both"/>
              <w:rPr>
                <w:rFonts w:eastAsia="Times New Roman"/>
                <w:lang w:val="en-US"/>
              </w:rPr>
            </w:pPr>
            <w:r w:rsidRPr="00A875DC">
              <w:rPr>
                <w:rFonts w:eastAsia="Times New Roman"/>
                <w:lang w:val="en-US"/>
              </w:rPr>
              <w:t xml:space="preserve">Decisions, State </w:t>
            </w:r>
          </w:p>
          <w:p w:rsidR="00A875DC" w:rsidRPr="00A875DC" w:rsidRDefault="00A875DC" w:rsidP="00A875DC">
            <w:pPr>
              <w:pStyle w:val="NoSpacing"/>
              <w:jc w:val="both"/>
              <w:rPr>
                <w:rFonts w:eastAsia="Times New Roman"/>
                <w:lang w:val="en-US"/>
              </w:rPr>
            </w:pPr>
            <w:r w:rsidRPr="00A875DC">
              <w:rPr>
                <w:rFonts w:eastAsia="Times New Roman"/>
                <w:lang w:val="en-US"/>
              </w:rPr>
              <w:t xml:space="preserve">Administrative Courts, </w:t>
            </w:r>
          </w:p>
          <w:p w:rsidR="003A7FC5" w:rsidRDefault="00A875DC" w:rsidP="00A875DC">
            <w:pPr>
              <w:pStyle w:val="NoSpacing"/>
              <w:jc w:val="both"/>
              <w:rPr>
                <w:sz w:val="21"/>
                <w:szCs w:val="21"/>
              </w:rPr>
            </w:pPr>
            <w:r w:rsidRPr="00A875DC">
              <w:rPr>
                <w:rFonts w:eastAsia="Times New Roman"/>
                <w:lang w:val="en-US"/>
              </w:rPr>
              <w:t>Government Administration.</w:t>
            </w:r>
          </w:p>
        </w:tc>
        <w:tc>
          <w:tcPr>
            <w:tcW w:w="768" w:type="dxa"/>
            <w:tcBorders>
              <w:bottom w:val="single" w:sz="18" w:space="0" w:color="000000"/>
            </w:tcBorders>
          </w:tcPr>
          <w:p w:rsidR="003A7FC5" w:rsidRDefault="003A7FC5" w:rsidP="00A875DC">
            <w:pPr>
              <w:pStyle w:val="NoSpacing"/>
              <w:jc w:val="both"/>
            </w:pPr>
          </w:p>
        </w:tc>
        <w:tc>
          <w:tcPr>
            <w:tcW w:w="6085" w:type="dxa"/>
            <w:vMerge/>
            <w:tcBorders>
              <w:top w:val="single" w:sz="18" w:space="0" w:color="000000"/>
              <w:bottom w:val="single" w:sz="18" w:space="0" w:color="000000"/>
            </w:tcBorders>
          </w:tcPr>
          <w:p w:rsidR="003A7FC5" w:rsidRDefault="003A7FC5" w:rsidP="00A875DC">
            <w:pPr>
              <w:pStyle w:val="NoSpacing"/>
              <w:jc w:val="both"/>
            </w:pPr>
          </w:p>
        </w:tc>
      </w:tr>
    </w:tbl>
    <w:p w:rsidR="003A7FC5" w:rsidRPr="00AF1BF7" w:rsidRDefault="003A7FC5" w:rsidP="003A7FC5">
      <w:pPr>
        <w:tabs>
          <w:tab w:val="left" w:pos="220"/>
        </w:tabs>
        <w:spacing w:after="0" w:line="240" w:lineRule="auto"/>
        <w:jc w:val="both"/>
        <w:rPr>
          <w:rFonts w:ascii="Times New Roman" w:eastAsia="Times New Roman" w:hAnsi="Times New Roman"/>
          <w:b/>
          <w:sz w:val="24"/>
        </w:rPr>
      </w:pPr>
    </w:p>
    <w:p w:rsidR="003A7FC5" w:rsidRDefault="003A7FC5" w:rsidP="003A7FC5">
      <w:pPr>
        <w:tabs>
          <w:tab w:val="left" w:pos="220"/>
        </w:tabs>
        <w:spacing w:after="0" w:line="240" w:lineRule="auto"/>
        <w:jc w:val="both"/>
        <w:rPr>
          <w:rFonts w:ascii="Times New Roman" w:eastAsia="Times New Roman" w:hAnsi="Times New Roman"/>
          <w:b/>
          <w:sz w:val="24"/>
          <w:lang w:val="id-ID"/>
        </w:rPr>
      </w:pPr>
      <w:r w:rsidRPr="00AF1BF7">
        <w:rPr>
          <w:rFonts w:ascii="Times New Roman" w:eastAsia="Times New Roman" w:hAnsi="Times New Roman"/>
          <w:b/>
          <w:sz w:val="24"/>
          <w:lang w:val="id-ID"/>
        </w:rPr>
        <w:t>INTRODUCTION</w:t>
      </w:r>
    </w:p>
    <w:p w:rsidR="003A7FC5" w:rsidRDefault="003A7FC5" w:rsidP="003A7FC5">
      <w:pPr>
        <w:spacing w:after="0" w:line="240" w:lineRule="auto"/>
        <w:jc w:val="both"/>
        <w:rPr>
          <w:rFonts w:ascii="Times New Roman" w:eastAsia="Times New Roman" w:hAnsi="Times New Roman"/>
          <w:sz w:val="24"/>
          <w:lang w:val="nl-NL"/>
        </w:rPr>
      </w:pPr>
    </w:p>
    <w:p w:rsidR="00C34AF6" w:rsidRPr="00C34AF6" w:rsidRDefault="00A875DC" w:rsidP="00C34AF6">
      <w:pPr>
        <w:spacing w:after="0" w:line="360" w:lineRule="auto"/>
        <w:jc w:val="both"/>
        <w:rPr>
          <w:rFonts w:ascii="Times New Roman" w:eastAsia="Times New Roman" w:hAnsi="Times New Roman"/>
          <w:sz w:val="24"/>
          <w:lang w:val="nl-NL"/>
        </w:rPr>
      </w:pPr>
      <w:r w:rsidRPr="00A875DC">
        <w:rPr>
          <w:rFonts w:ascii="Times New Roman" w:eastAsia="Times New Roman" w:hAnsi="Times New Roman"/>
          <w:sz w:val="24"/>
          <w:lang w:val="nl-NL"/>
        </w:rPr>
        <w:t>Administrative law can be defined as the legal control of government. Narrowly defined, administrative law consists of legal principles that define the powers and structure of administrative bodies, determine the procedures to be followed by those bodies that determine the validity of administrative decisions and determine the review role of courts and other government bodies in relation to administration</w:t>
      </w:r>
      <w:r>
        <w:rPr>
          <w:rFonts w:ascii="Times New Roman" w:eastAsia="Times New Roman" w:hAnsi="Times New Roman"/>
          <w:sz w:val="24"/>
          <w:lang w:val="nl-NL"/>
        </w:rPr>
        <w:t>.</w:t>
      </w:r>
      <w:r w:rsidRPr="00A875DC">
        <w:rPr>
          <w:rStyle w:val="FootnoteReference"/>
          <w:rFonts w:ascii="Times New Roman" w:eastAsia="Times New Roman" w:hAnsi="Times New Roman"/>
          <w:sz w:val="24"/>
          <w:lang w:val="nl-NL"/>
        </w:rPr>
        <w:t xml:space="preserve"> </w:t>
      </w:r>
      <w:r>
        <w:rPr>
          <w:rStyle w:val="FootnoteReference"/>
          <w:rFonts w:ascii="Times New Roman" w:eastAsia="Times New Roman" w:hAnsi="Times New Roman"/>
          <w:sz w:val="24"/>
          <w:lang w:val="nl-NL"/>
        </w:rPr>
        <w:footnoteReference w:id="1"/>
      </w:r>
      <w:r w:rsidRPr="00A875DC">
        <w:rPr>
          <w:rFonts w:ascii="Times New Roman" w:eastAsia="Times New Roman" w:hAnsi="Times New Roman"/>
          <w:sz w:val="24"/>
          <w:lang w:val="nl-NL"/>
        </w:rPr>
        <w:t>Administrative action is one way of doing this - internal protection of the government for citizens as well as internal control of administrative agencies. What is meant by internal control is supervision carried out by positions in the government itself, not by officials outside the government</w:t>
      </w:r>
      <w:r>
        <w:rPr>
          <w:rFonts w:ascii="Times New Roman" w:eastAsia="Times New Roman" w:hAnsi="Times New Roman"/>
          <w:sz w:val="24"/>
          <w:lang w:val="nl-NL"/>
        </w:rPr>
        <w:t>.</w:t>
      </w:r>
      <w:r w:rsidR="00C34AF6">
        <w:rPr>
          <w:rStyle w:val="FootnoteReference"/>
          <w:rFonts w:ascii="Times New Roman" w:eastAsia="Times New Roman" w:hAnsi="Times New Roman"/>
          <w:sz w:val="24"/>
          <w:lang w:val="nl-NL"/>
        </w:rPr>
        <w:footnoteReference w:id="2"/>
      </w:r>
      <w:r w:rsidR="00C34AF6">
        <w:rPr>
          <w:rFonts w:ascii="Times New Roman" w:eastAsia="Times New Roman" w:hAnsi="Times New Roman"/>
          <w:sz w:val="24"/>
          <w:lang w:val="nl-NL"/>
        </w:rPr>
        <w:t xml:space="preserve"> </w:t>
      </w:r>
      <w:r w:rsidR="00C34AF6" w:rsidRPr="00C34AF6">
        <w:rPr>
          <w:rFonts w:ascii="Times New Roman" w:eastAsia="Times New Roman" w:hAnsi="Times New Roman"/>
          <w:sz w:val="24"/>
          <w:lang w:val="nl-NL"/>
        </w:rPr>
        <w:t xml:space="preserve">According to Van Vollenhoven, in the broadest sense, government is the formation of regulations, the exercise of functions, the </w:t>
      </w:r>
    </w:p>
    <w:p w:rsidR="00C34AF6" w:rsidRDefault="00C34AF6" w:rsidP="00C34AF6">
      <w:pPr>
        <w:spacing w:after="0" w:line="360" w:lineRule="auto"/>
        <w:jc w:val="both"/>
        <w:rPr>
          <w:rFonts w:ascii="Times New Roman" w:eastAsia="Times New Roman" w:hAnsi="Times New Roman"/>
          <w:sz w:val="24"/>
          <w:lang w:val="nl-NL"/>
        </w:rPr>
      </w:pPr>
      <w:r w:rsidRPr="00C34AF6">
        <w:rPr>
          <w:rFonts w:ascii="Times New Roman" w:eastAsia="Times New Roman" w:hAnsi="Times New Roman"/>
          <w:sz w:val="24"/>
          <w:lang w:val="nl-NL"/>
        </w:rPr>
        <w:t>judiciary and the police</w:t>
      </w:r>
      <w:r>
        <w:rPr>
          <w:rFonts w:ascii="Times New Roman" w:eastAsia="Times New Roman" w:hAnsi="Times New Roman"/>
          <w:sz w:val="24"/>
          <w:lang w:val="nl-NL"/>
        </w:rPr>
        <w:t>.</w:t>
      </w:r>
      <w:r>
        <w:rPr>
          <w:rStyle w:val="FootnoteReference"/>
          <w:rFonts w:ascii="Times New Roman" w:eastAsia="Times New Roman" w:hAnsi="Times New Roman"/>
          <w:sz w:val="24"/>
          <w:lang w:val="nl-NL"/>
        </w:rPr>
        <w:footnoteReference w:id="3"/>
      </w:r>
    </w:p>
    <w:p w:rsidR="00C34AF6" w:rsidRPr="00C34AF6" w:rsidRDefault="00C34AF6" w:rsidP="00C34AF6">
      <w:pPr>
        <w:spacing w:after="0" w:line="360" w:lineRule="auto"/>
        <w:ind w:firstLine="567"/>
        <w:jc w:val="both"/>
        <w:rPr>
          <w:rFonts w:ascii="Times New Roman" w:eastAsia="Times New Roman" w:hAnsi="Times New Roman"/>
          <w:sz w:val="24"/>
          <w:lang w:val="nl-NL"/>
        </w:rPr>
      </w:pPr>
      <w:r w:rsidRPr="00C34AF6">
        <w:rPr>
          <w:rFonts w:ascii="Times New Roman" w:eastAsia="Times New Roman" w:hAnsi="Times New Roman"/>
          <w:sz w:val="24"/>
          <w:lang w:val="nl-NL"/>
        </w:rPr>
        <w:t xml:space="preserve">In the context of Law Number 30 of 2014 which is believed to be the material law of the </w:t>
      </w:r>
    </w:p>
    <w:p w:rsidR="00C34AF6" w:rsidRDefault="00C34AF6" w:rsidP="00C34AF6">
      <w:pPr>
        <w:spacing w:after="0" w:line="360" w:lineRule="auto"/>
        <w:jc w:val="both"/>
        <w:rPr>
          <w:rFonts w:ascii="Times New Roman" w:eastAsia="Times New Roman" w:hAnsi="Times New Roman"/>
          <w:sz w:val="24"/>
          <w:lang w:val="nl-NL"/>
        </w:rPr>
      </w:pPr>
      <w:r w:rsidRPr="00C34AF6">
        <w:rPr>
          <w:rFonts w:ascii="Times New Roman" w:eastAsia="Times New Roman" w:hAnsi="Times New Roman"/>
          <w:sz w:val="24"/>
          <w:lang w:val="nl-NL"/>
        </w:rPr>
        <w:t xml:space="preserve">State Administrative Court or hereinafter abbreviated as PTUN. So according to Philipus M. Hadjon that if the Netherlands has </w:t>
      </w:r>
      <w:r w:rsidRPr="00C34AF6">
        <w:rPr>
          <w:rFonts w:ascii="Times New Roman" w:eastAsia="Times New Roman" w:hAnsi="Times New Roman"/>
          <w:i/>
          <w:iCs/>
          <w:sz w:val="24"/>
          <w:lang w:val="nl-NL"/>
        </w:rPr>
        <w:t>Algemene wet Bestuursrecht</w:t>
      </w:r>
      <w:r w:rsidRPr="00C34AF6">
        <w:rPr>
          <w:rFonts w:ascii="Times New Roman" w:eastAsia="Times New Roman" w:hAnsi="Times New Roman"/>
          <w:sz w:val="24"/>
          <w:lang w:val="nl-NL"/>
        </w:rPr>
        <w:t xml:space="preserve"> (AWB) which is the starting point for administrative law, while Law No. 30 of 2014 is government administration, so this rule is conceptually a confusing administrative law. On this basis, according to Philipus M. Hadjon, the general explanation of Law No. 30 of 2014 which states that this regulation is the material law of the PTUN system is a big question mark.</w:t>
      </w:r>
      <w:r>
        <w:rPr>
          <w:rStyle w:val="FootnoteReference"/>
          <w:rFonts w:ascii="Times New Roman" w:eastAsia="Times New Roman" w:hAnsi="Times New Roman"/>
          <w:sz w:val="24"/>
          <w:lang w:val="nl-NL"/>
        </w:rPr>
        <w:footnoteReference w:id="4"/>
      </w:r>
      <w:r>
        <w:rPr>
          <w:rFonts w:ascii="Times New Roman" w:eastAsia="Times New Roman" w:hAnsi="Times New Roman"/>
          <w:sz w:val="24"/>
          <w:lang w:val="nl-NL"/>
        </w:rPr>
        <w:t xml:space="preserve"> </w:t>
      </w:r>
      <w:r w:rsidRPr="00C34AF6">
        <w:rPr>
          <w:rFonts w:ascii="Times New Roman" w:eastAsia="Times New Roman" w:hAnsi="Times New Roman"/>
          <w:sz w:val="24"/>
          <w:lang w:val="nl-NL"/>
        </w:rPr>
        <w:t xml:space="preserve">The situation and facts above actually illustrate </w:t>
      </w:r>
      <w:r>
        <w:rPr>
          <w:rFonts w:ascii="Times New Roman" w:eastAsia="Times New Roman" w:hAnsi="Times New Roman"/>
          <w:sz w:val="24"/>
          <w:lang w:val="nl-NL"/>
        </w:rPr>
        <w:t xml:space="preserve">the existence of an antinomy of </w:t>
      </w:r>
      <w:r w:rsidRPr="00C34AF6">
        <w:rPr>
          <w:rFonts w:ascii="Times New Roman" w:eastAsia="Times New Roman" w:hAnsi="Times New Roman"/>
          <w:sz w:val="24"/>
          <w:lang w:val="nl-NL"/>
        </w:rPr>
        <w:t xml:space="preserve">conflicting norms that continues in every norm created </w:t>
      </w:r>
      <w:r w:rsidRPr="00C34AF6">
        <w:rPr>
          <w:rFonts w:ascii="Times New Roman" w:eastAsia="Times New Roman" w:hAnsi="Times New Roman"/>
          <w:sz w:val="24"/>
          <w:lang w:val="nl-NL"/>
        </w:rPr>
        <w:lastRenderedPageBreak/>
        <w:t>in the form of legislation, the content material of which does not escape from the antinomy of opposition</w:t>
      </w:r>
      <w:r>
        <w:rPr>
          <w:rFonts w:ascii="Times New Roman" w:eastAsia="Times New Roman" w:hAnsi="Times New Roman"/>
          <w:sz w:val="24"/>
          <w:lang w:val="nl-NL"/>
        </w:rPr>
        <w:t>.</w:t>
      </w:r>
      <w:r>
        <w:rPr>
          <w:rStyle w:val="FootnoteReference"/>
          <w:rFonts w:ascii="Times New Roman" w:eastAsia="Times New Roman" w:hAnsi="Times New Roman"/>
          <w:sz w:val="24"/>
          <w:lang w:val="nl-NL"/>
        </w:rPr>
        <w:footnoteReference w:id="5"/>
      </w:r>
      <w:r>
        <w:rPr>
          <w:rFonts w:ascii="Times New Roman" w:eastAsia="Times New Roman" w:hAnsi="Times New Roman"/>
          <w:sz w:val="24"/>
          <w:lang w:val="nl-NL"/>
        </w:rPr>
        <w:t xml:space="preserve">  </w:t>
      </w:r>
    </w:p>
    <w:p w:rsidR="00C34AF6" w:rsidRDefault="00C34AF6" w:rsidP="00C526D8">
      <w:pPr>
        <w:spacing w:after="0" w:line="360" w:lineRule="auto"/>
        <w:ind w:firstLine="567"/>
        <w:jc w:val="both"/>
        <w:rPr>
          <w:rFonts w:ascii="Times New Roman" w:eastAsia="Times New Roman" w:hAnsi="Times New Roman"/>
          <w:sz w:val="24"/>
          <w:lang w:val="nl-NL"/>
        </w:rPr>
      </w:pPr>
      <w:r w:rsidRPr="00C34AF6">
        <w:rPr>
          <w:rFonts w:ascii="Times New Roman" w:eastAsia="Times New Roman" w:hAnsi="Times New Roman"/>
          <w:sz w:val="24"/>
          <w:lang w:val="nl-NL"/>
        </w:rPr>
        <w:t>On the other hand, the antinomy in Law No. 30 of 2014 is conflictual between the government's freedom to carry out its functions and responsibility to protect the rights of citizens</w:t>
      </w:r>
      <w:r>
        <w:rPr>
          <w:rFonts w:ascii="Times New Roman" w:eastAsia="Times New Roman" w:hAnsi="Times New Roman"/>
          <w:sz w:val="24"/>
          <w:lang w:val="nl-NL"/>
        </w:rPr>
        <w:t>.</w:t>
      </w:r>
      <w:r w:rsidR="00C22D22">
        <w:rPr>
          <w:rStyle w:val="FootnoteReference"/>
          <w:rFonts w:ascii="Times New Roman" w:eastAsia="Times New Roman" w:hAnsi="Times New Roman"/>
          <w:sz w:val="24"/>
          <w:lang w:val="nl-NL"/>
        </w:rPr>
        <w:footnoteReference w:id="6"/>
      </w:r>
      <w:r w:rsidR="00C526D8">
        <w:rPr>
          <w:rFonts w:ascii="Times New Roman" w:eastAsia="Times New Roman" w:hAnsi="Times New Roman"/>
          <w:sz w:val="24"/>
          <w:lang w:val="nl-NL"/>
        </w:rPr>
        <w:t xml:space="preserve"> </w:t>
      </w:r>
      <w:r w:rsidR="00C526D8" w:rsidRPr="00C526D8">
        <w:rPr>
          <w:rFonts w:ascii="Times New Roman" w:eastAsia="Times New Roman" w:hAnsi="Times New Roman"/>
          <w:sz w:val="24"/>
          <w:lang w:val="nl-NL"/>
        </w:rPr>
        <w:t>So that Law No. 30 of 2014 is based on the concept of paragdigma change</w:t>
      </w:r>
      <w:r w:rsidR="00C526D8">
        <w:rPr>
          <w:rFonts w:ascii="Times New Roman" w:eastAsia="Times New Roman" w:hAnsi="Times New Roman"/>
          <w:sz w:val="24"/>
          <w:lang w:val="nl-NL"/>
        </w:rPr>
        <w:t xml:space="preserve"> </w:t>
      </w:r>
      <w:r w:rsidR="00C526D8" w:rsidRPr="00C526D8">
        <w:rPr>
          <w:rFonts w:ascii="Times New Roman" w:eastAsia="Times New Roman" w:hAnsi="Times New Roman"/>
          <w:sz w:val="24"/>
          <w:lang w:val="nl-NL"/>
        </w:rPr>
        <w:t>through public services so that the government acts quickly as a public service task</w:t>
      </w:r>
      <w:r w:rsidR="00C526D8">
        <w:rPr>
          <w:rFonts w:ascii="Times New Roman" w:eastAsia="Times New Roman" w:hAnsi="Times New Roman"/>
          <w:sz w:val="24"/>
          <w:lang w:val="nl-NL"/>
        </w:rPr>
        <w:t>.</w:t>
      </w:r>
      <w:r w:rsidR="00C526D8">
        <w:rPr>
          <w:rStyle w:val="FootnoteReference"/>
          <w:rFonts w:ascii="Times New Roman" w:eastAsia="Times New Roman" w:hAnsi="Times New Roman"/>
          <w:sz w:val="24"/>
          <w:lang w:val="nl-NL"/>
        </w:rPr>
        <w:footnoteReference w:id="7"/>
      </w:r>
      <w:r w:rsidR="00C526D8">
        <w:rPr>
          <w:rFonts w:ascii="Times New Roman" w:eastAsia="Times New Roman" w:hAnsi="Times New Roman"/>
          <w:sz w:val="24"/>
          <w:lang w:val="nl-NL"/>
        </w:rPr>
        <w:t xml:space="preserve"> </w:t>
      </w:r>
      <w:r w:rsidR="00C526D8" w:rsidRPr="00C526D8">
        <w:rPr>
          <w:rFonts w:ascii="Times New Roman" w:eastAsia="Times New Roman" w:hAnsi="Times New Roman"/>
          <w:sz w:val="24"/>
          <w:lang w:val="nl-NL"/>
        </w:rPr>
        <w:t xml:space="preserve">So that the concept of administrative law approach has 3 (three), </w:t>
      </w:r>
      <w:r w:rsidR="006800A7">
        <w:rPr>
          <w:rFonts w:ascii="Times New Roman" w:eastAsia="Times New Roman" w:hAnsi="Times New Roman"/>
          <w:sz w:val="24"/>
          <w:lang w:val="nl-NL"/>
        </w:rPr>
        <w:t>that is</w:t>
      </w:r>
      <w:r w:rsidR="00C526D8" w:rsidRPr="00C526D8">
        <w:rPr>
          <w:rFonts w:ascii="Times New Roman" w:eastAsia="Times New Roman" w:hAnsi="Times New Roman"/>
          <w:sz w:val="24"/>
          <w:lang w:val="nl-NL"/>
        </w:rPr>
        <w:t>:</w:t>
      </w:r>
    </w:p>
    <w:p w:rsidR="00C526D8" w:rsidRPr="00C526D8" w:rsidRDefault="00C526D8" w:rsidP="00C526D8">
      <w:pPr>
        <w:pStyle w:val="ListParagraph"/>
        <w:numPr>
          <w:ilvl w:val="0"/>
          <w:numId w:val="9"/>
        </w:numPr>
        <w:spacing w:after="0" w:line="360" w:lineRule="auto"/>
        <w:ind w:left="993"/>
        <w:jc w:val="both"/>
        <w:rPr>
          <w:rFonts w:ascii="Times New Roman" w:eastAsia="Times New Roman" w:hAnsi="Times New Roman"/>
          <w:sz w:val="24"/>
          <w:lang w:val="nl-NL"/>
        </w:rPr>
      </w:pPr>
      <w:r w:rsidRPr="00C526D8">
        <w:rPr>
          <w:rFonts w:ascii="Times New Roman" w:eastAsia="Times New Roman" w:hAnsi="Times New Roman"/>
          <w:sz w:val="24"/>
          <w:lang w:val="nl-NL"/>
        </w:rPr>
        <w:t>Approach to power;</w:t>
      </w:r>
    </w:p>
    <w:p w:rsidR="00C526D8" w:rsidRPr="00C526D8" w:rsidRDefault="00C526D8" w:rsidP="00C526D8">
      <w:pPr>
        <w:pStyle w:val="ListParagraph"/>
        <w:numPr>
          <w:ilvl w:val="0"/>
          <w:numId w:val="9"/>
        </w:numPr>
        <w:spacing w:after="0" w:line="360" w:lineRule="auto"/>
        <w:ind w:left="993"/>
        <w:jc w:val="both"/>
        <w:rPr>
          <w:rFonts w:ascii="Times New Roman" w:eastAsia="Times New Roman" w:hAnsi="Times New Roman"/>
          <w:sz w:val="24"/>
          <w:lang w:val="nl-NL"/>
        </w:rPr>
      </w:pPr>
      <w:r w:rsidRPr="00C526D8">
        <w:rPr>
          <w:rFonts w:ascii="Times New Roman" w:eastAsia="Times New Roman" w:hAnsi="Times New Roman"/>
          <w:sz w:val="24"/>
          <w:lang w:val="nl-NL"/>
        </w:rPr>
        <w:t>Approach to human rights;</w:t>
      </w:r>
    </w:p>
    <w:p w:rsidR="00C526D8" w:rsidRPr="00C526D8" w:rsidRDefault="00C526D8" w:rsidP="00C526D8">
      <w:pPr>
        <w:pStyle w:val="ListParagraph"/>
        <w:numPr>
          <w:ilvl w:val="0"/>
          <w:numId w:val="9"/>
        </w:numPr>
        <w:spacing w:after="0" w:line="360" w:lineRule="auto"/>
        <w:ind w:left="993"/>
        <w:jc w:val="both"/>
        <w:rPr>
          <w:rFonts w:ascii="Times New Roman" w:eastAsia="Times New Roman" w:hAnsi="Times New Roman"/>
          <w:sz w:val="24"/>
          <w:lang w:val="nl-NL"/>
        </w:rPr>
      </w:pPr>
      <w:r w:rsidRPr="00C526D8">
        <w:rPr>
          <w:rFonts w:ascii="Times New Roman" w:eastAsia="Times New Roman" w:hAnsi="Times New Roman"/>
          <w:sz w:val="24"/>
          <w:lang w:val="nl-NL"/>
        </w:rPr>
        <w:t>Approach to functionaries.</w:t>
      </w:r>
    </w:p>
    <w:p w:rsidR="003A7FC5" w:rsidRDefault="00C526D8" w:rsidP="00C526D8">
      <w:pPr>
        <w:spacing w:after="0" w:line="360" w:lineRule="auto"/>
        <w:jc w:val="both"/>
        <w:rPr>
          <w:rFonts w:ascii="Times New Roman" w:eastAsia="Times New Roman" w:hAnsi="Times New Roman"/>
          <w:bCs/>
          <w:sz w:val="24"/>
          <w:lang w:val="nl-NL"/>
        </w:rPr>
      </w:pPr>
      <w:r w:rsidRPr="00C526D8">
        <w:rPr>
          <w:rFonts w:ascii="Times New Roman" w:eastAsia="Times New Roman" w:hAnsi="Times New Roman"/>
          <w:bCs/>
          <w:sz w:val="24"/>
          <w:lang w:val="nl-NL"/>
        </w:rPr>
        <w:t>Where the approach cannot be separated in the concept of administrative law, the power approach which is the domain of the government, the human rights approach that how broad the protection and fulfillment of the government in this aspect and the functionary approach regarding the implementation of government functions as an administrative body.</w:t>
      </w:r>
    </w:p>
    <w:p w:rsidR="00C526D8" w:rsidRPr="00C526D8" w:rsidRDefault="00C526D8" w:rsidP="00C526D8">
      <w:pPr>
        <w:spacing w:after="0" w:line="360" w:lineRule="auto"/>
        <w:ind w:firstLine="567"/>
        <w:jc w:val="both"/>
        <w:rPr>
          <w:rFonts w:ascii="Times New Roman" w:eastAsia="Times New Roman" w:hAnsi="Times New Roman"/>
          <w:bCs/>
          <w:sz w:val="24"/>
          <w:lang w:val="nl-NL"/>
        </w:rPr>
      </w:pPr>
      <w:r w:rsidRPr="00C526D8">
        <w:rPr>
          <w:rFonts w:ascii="Times New Roman" w:eastAsia="Times New Roman" w:hAnsi="Times New Roman"/>
          <w:bCs/>
          <w:sz w:val="24"/>
          <w:lang w:val="nl-NL"/>
        </w:rPr>
        <w:t>Law No. 30 of 2014 is a regulation that contains the rights and obligations of government administrators, which can be said to be things that must be implemented, can be implemented, and prohibited to be implemented by government officials.</w:t>
      </w:r>
      <w:r>
        <w:rPr>
          <w:rStyle w:val="FootnoteReference"/>
          <w:rFonts w:ascii="Times New Roman" w:eastAsia="Times New Roman" w:hAnsi="Times New Roman"/>
          <w:bCs/>
          <w:sz w:val="24"/>
          <w:lang w:val="nl-NL"/>
        </w:rPr>
        <w:footnoteReference w:id="8"/>
      </w:r>
      <w:r>
        <w:rPr>
          <w:rFonts w:ascii="Times New Roman" w:eastAsia="Times New Roman" w:hAnsi="Times New Roman"/>
          <w:bCs/>
          <w:sz w:val="24"/>
          <w:lang w:val="nl-NL"/>
        </w:rPr>
        <w:t xml:space="preserve"> S</w:t>
      </w:r>
      <w:r w:rsidRPr="00C526D8">
        <w:rPr>
          <w:rFonts w:ascii="Times New Roman" w:eastAsia="Times New Roman" w:hAnsi="Times New Roman"/>
          <w:bCs/>
          <w:sz w:val="24"/>
          <w:lang w:val="nl-NL"/>
        </w:rPr>
        <w:t>o it</w:t>
      </w:r>
      <w:r>
        <w:rPr>
          <w:rFonts w:ascii="Times New Roman" w:eastAsia="Times New Roman" w:hAnsi="Times New Roman"/>
          <w:bCs/>
          <w:sz w:val="24"/>
          <w:lang w:val="nl-NL"/>
        </w:rPr>
        <w:t xml:space="preserve"> </w:t>
      </w:r>
      <w:r w:rsidRPr="00C526D8">
        <w:rPr>
          <w:rFonts w:ascii="Times New Roman" w:eastAsia="Times New Roman" w:hAnsi="Times New Roman"/>
          <w:bCs/>
          <w:sz w:val="24"/>
          <w:lang w:val="nl-NL"/>
        </w:rPr>
        <w:t>can be concluded that this rule is an object of government management, not administrative law. Because in the perspective of Law No. 30 of 2014, it should be a form of application of 2 (two) theories, namely: green light theory, that an administrative regulation provides facilities for state administrative law. And red light theory, government power must have limits.</w:t>
      </w:r>
    </w:p>
    <w:p w:rsidR="003A7FC5" w:rsidRDefault="003A7FC5" w:rsidP="003A7FC5">
      <w:pPr>
        <w:spacing w:after="0" w:line="360" w:lineRule="auto"/>
        <w:jc w:val="both"/>
        <w:rPr>
          <w:rFonts w:ascii="Times New Roman" w:eastAsia="Times New Roman" w:hAnsi="Times New Roman"/>
          <w:b/>
          <w:sz w:val="24"/>
          <w:lang w:val="nl-NL"/>
        </w:rPr>
      </w:pPr>
      <w:r>
        <w:rPr>
          <w:rFonts w:ascii="Times New Roman" w:eastAsia="Times New Roman" w:hAnsi="Times New Roman"/>
          <w:b/>
          <w:sz w:val="24"/>
          <w:lang w:val="nl-NL"/>
        </w:rPr>
        <w:t>METHOD</w:t>
      </w:r>
    </w:p>
    <w:p w:rsidR="003A7FC5" w:rsidRPr="00AF1BF7" w:rsidRDefault="003A7FC5" w:rsidP="003A7FC5">
      <w:pPr>
        <w:spacing w:after="0" w:line="360" w:lineRule="auto"/>
        <w:jc w:val="both"/>
        <w:rPr>
          <w:rFonts w:ascii="Times New Roman" w:eastAsia="Times New Roman" w:hAnsi="Times New Roman"/>
          <w:bCs/>
          <w:sz w:val="24"/>
          <w:lang w:val="nl-NL"/>
        </w:rPr>
      </w:pPr>
      <w:r w:rsidRPr="00AF1BF7">
        <w:rPr>
          <w:rFonts w:ascii="Times New Roman" w:eastAsia="Times New Roman" w:hAnsi="Times New Roman"/>
          <w:bCs/>
          <w:sz w:val="24"/>
          <w:lang w:val="nl-NL"/>
        </w:rPr>
        <w:t xml:space="preserve">Legal science is a </w:t>
      </w:r>
      <w:r w:rsidRPr="00C526D8">
        <w:rPr>
          <w:rFonts w:ascii="Times New Roman" w:eastAsia="Times New Roman" w:hAnsi="Times New Roman"/>
          <w:bCs/>
          <w:i/>
          <w:iCs/>
          <w:sz w:val="24"/>
          <w:lang w:val="nl-NL"/>
        </w:rPr>
        <w:t>sui generis</w:t>
      </w:r>
      <w:r w:rsidRPr="00AF1BF7">
        <w:rPr>
          <w:rFonts w:ascii="Times New Roman" w:eastAsia="Times New Roman" w:hAnsi="Times New Roman"/>
          <w:bCs/>
          <w:sz w:val="24"/>
          <w:lang w:val="nl-NL"/>
        </w:rPr>
        <w:t xml:space="preserve"> science, which means that legal science is a separate science so that it has distinctive characteristics in its research object. This legal research is certainly normative </w:t>
      </w:r>
      <w:r w:rsidRPr="00AF1BF7">
        <w:rPr>
          <w:rFonts w:ascii="Times New Roman" w:eastAsia="Times New Roman" w:hAnsi="Times New Roman"/>
          <w:bCs/>
          <w:sz w:val="24"/>
          <w:lang w:val="nl-NL"/>
        </w:rPr>
        <w:lastRenderedPageBreak/>
        <w:t>research that examines existing legal norms, with the aim of finding the truth of coherence. This research uses methods:</w:t>
      </w:r>
    </w:p>
    <w:p w:rsidR="003A7FC5" w:rsidRPr="00AF1BF7" w:rsidRDefault="003A7FC5" w:rsidP="003A7FC5">
      <w:pPr>
        <w:pStyle w:val="ListParagraph"/>
        <w:numPr>
          <w:ilvl w:val="0"/>
          <w:numId w:val="4"/>
        </w:numPr>
        <w:spacing w:after="0" w:line="360" w:lineRule="auto"/>
        <w:jc w:val="both"/>
        <w:rPr>
          <w:rFonts w:ascii="Times New Roman" w:eastAsia="Times New Roman" w:hAnsi="Times New Roman"/>
          <w:bCs/>
          <w:sz w:val="24"/>
          <w:lang w:val="nl-NL"/>
        </w:rPr>
      </w:pPr>
      <w:r w:rsidRPr="00AF1BF7">
        <w:rPr>
          <w:rFonts w:ascii="Times New Roman" w:eastAsia="Times New Roman" w:hAnsi="Times New Roman"/>
          <w:bCs/>
          <w:sz w:val="24"/>
          <w:lang w:val="nl-NL"/>
        </w:rPr>
        <w:t>statutory approach (statute approach) that this research establishes a lex specialis and lex generalis position.</w:t>
      </w:r>
      <w:r>
        <w:rPr>
          <w:rStyle w:val="FootnoteReference"/>
          <w:rFonts w:ascii="Times New Roman" w:eastAsia="Times New Roman" w:hAnsi="Times New Roman"/>
          <w:bCs/>
          <w:sz w:val="24"/>
          <w:lang w:val="nl-NL"/>
        </w:rPr>
        <w:footnoteReference w:id="9"/>
      </w:r>
      <w:r w:rsidRPr="00AF1BF7">
        <w:rPr>
          <w:rFonts w:ascii="Times New Roman" w:eastAsia="Times New Roman" w:hAnsi="Times New Roman"/>
          <w:bCs/>
          <w:sz w:val="24"/>
          <w:lang w:val="nl-NL"/>
        </w:rPr>
        <w:t xml:space="preserve"> </w:t>
      </w:r>
    </w:p>
    <w:p w:rsidR="003A7FC5" w:rsidRPr="00AF1BF7" w:rsidRDefault="003A7FC5" w:rsidP="003A7FC5">
      <w:pPr>
        <w:pStyle w:val="ListParagraph"/>
        <w:numPr>
          <w:ilvl w:val="0"/>
          <w:numId w:val="4"/>
        </w:numPr>
        <w:spacing w:after="0" w:line="360" w:lineRule="auto"/>
        <w:jc w:val="both"/>
        <w:rPr>
          <w:rFonts w:ascii="Times New Roman" w:eastAsia="Times New Roman" w:hAnsi="Times New Roman"/>
          <w:bCs/>
          <w:sz w:val="24"/>
          <w:lang w:val="nl-NL"/>
        </w:rPr>
      </w:pPr>
      <w:r w:rsidRPr="00AF1BF7">
        <w:rPr>
          <w:rFonts w:ascii="Times New Roman" w:eastAsia="Times New Roman" w:hAnsi="Times New Roman"/>
          <w:bCs/>
          <w:sz w:val="24"/>
          <w:lang w:val="nl-NL"/>
        </w:rPr>
        <w:t>conceptual approach (conceptual approach) that this research does not rely on existing rules, it is also done because there is no or may not be legislation on the problem at hand.</w:t>
      </w:r>
      <w:r>
        <w:rPr>
          <w:rStyle w:val="FootnoteReference"/>
          <w:rFonts w:ascii="Times New Roman" w:eastAsia="Times New Roman" w:hAnsi="Times New Roman"/>
          <w:bCs/>
          <w:sz w:val="24"/>
          <w:lang w:val="nl-NL"/>
        </w:rPr>
        <w:footnoteReference w:id="10"/>
      </w:r>
      <w:r w:rsidRPr="00AF1BF7">
        <w:rPr>
          <w:rFonts w:ascii="Times New Roman" w:eastAsia="Times New Roman" w:hAnsi="Times New Roman"/>
          <w:bCs/>
          <w:sz w:val="24"/>
          <w:lang w:val="nl-NL"/>
        </w:rPr>
        <w:t xml:space="preserve"> </w:t>
      </w:r>
    </w:p>
    <w:p w:rsidR="003A7FC5" w:rsidRPr="00AF1BF7" w:rsidRDefault="003A7FC5" w:rsidP="003A7FC5">
      <w:pPr>
        <w:spacing w:after="0" w:line="360" w:lineRule="auto"/>
        <w:jc w:val="both"/>
        <w:rPr>
          <w:rFonts w:ascii="Times New Roman" w:eastAsia="Times New Roman" w:hAnsi="Times New Roman"/>
          <w:bCs/>
          <w:sz w:val="24"/>
          <w:lang w:val="nl-NL"/>
        </w:rPr>
      </w:pPr>
      <w:r w:rsidRPr="00AF1BF7">
        <w:rPr>
          <w:rFonts w:ascii="Times New Roman" w:eastAsia="Times New Roman" w:hAnsi="Times New Roman"/>
          <w:bCs/>
          <w:sz w:val="24"/>
          <w:lang w:val="nl-NL"/>
        </w:rPr>
        <w:t>According to Dworkin, legal research is a study to investigate the relationship between a set of doctrines and other doctrines, to see the order made in the world of precedents (common law) with an isolated status.</w:t>
      </w:r>
      <w:r>
        <w:rPr>
          <w:rStyle w:val="FootnoteReference"/>
          <w:rFonts w:ascii="Times New Roman" w:eastAsia="Times New Roman" w:hAnsi="Times New Roman"/>
          <w:bCs/>
          <w:sz w:val="24"/>
          <w:lang w:val="nl-NL"/>
        </w:rPr>
        <w:footnoteReference w:id="11"/>
      </w:r>
    </w:p>
    <w:p w:rsidR="003A7FC5" w:rsidRDefault="003A7FC5" w:rsidP="003A7FC5">
      <w:pPr>
        <w:spacing w:after="0" w:line="240" w:lineRule="auto"/>
        <w:jc w:val="both"/>
        <w:rPr>
          <w:rFonts w:ascii="Times New Roman" w:eastAsia="Times New Roman" w:hAnsi="Times New Roman"/>
          <w:b/>
          <w:sz w:val="24"/>
        </w:rPr>
      </w:pPr>
    </w:p>
    <w:p w:rsidR="003A7FC5" w:rsidRDefault="003A7FC5" w:rsidP="003A7FC5">
      <w:pPr>
        <w:spacing w:after="0" w:line="240" w:lineRule="auto"/>
        <w:jc w:val="both"/>
        <w:rPr>
          <w:rFonts w:ascii="Times New Roman" w:eastAsia="Times New Roman" w:hAnsi="Times New Roman"/>
          <w:b/>
          <w:sz w:val="24"/>
        </w:rPr>
      </w:pPr>
      <w:r w:rsidRPr="008C40A9">
        <w:rPr>
          <w:rFonts w:ascii="Times New Roman" w:eastAsia="Times New Roman" w:hAnsi="Times New Roman"/>
          <w:b/>
          <w:sz w:val="24"/>
        </w:rPr>
        <w:t>DISCUSSION AND ANALYSIS</w:t>
      </w:r>
    </w:p>
    <w:p w:rsidR="003A7FC5" w:rsidRDefault="003A7FC5" w:rsidP="003A7FC5">
      <w:pPr>
        <w:spacing w:after="0" w:line="240" w:lineRule="auto"/>
        <w:jc w:val="both"/>
        <w:rPr>
          <w:rFonts w:ascii="Times New Roman" w:eastAsia="Times New Roman" w:hAnsi="Times New Roman"/>
          <w:b/>
          <w:sz w:val="24"/>
        </w:rPr>
      </w:pPr>
    </w:p>
    <w:p w:rsidR="003A7FC5" w:rsidRDefault="003A7FC5" w:rsidP="003A7FC5">
      <w:pPr>
        <w:spacing w:after="0" w:line="240" w:lineRule="auto"/>
        <w:jc w:val="both"/>
        <w:rPr>
          <w:rFonts w:ascii="Times New Roman" w:eastAsia="Times New Roman" w:hAnsi="Times New Roman"/>
          <w:b/>
          <w:sz w:val="24"/>
        </w:rPr>
      </w:pPr>
      <w:r>
        <w:rPr>
          <w:rFonts w:ascii="Times New Roman" w:eastAsia="Times New Roman" w:hAnsi="Times New Roman"/>
          <w:b/>
          <w:sz w:val="24"/>
        </w:rPr>
        <w:t xml:space="preserve">1. </w:t>
      </w:r>
      <w:r w:rsidR="00C526D8" w:rsidRPr="00C526D8">
        <w:rPr>
          <w:rFonts w:ascii="Times New Roman" w:eastAsia="Times New Roman" w:hAnsi="Times New Roman"/>
          <w:b/>
          <w:sz w:val="24"/>
        </w:rPr>
        <w:t>Authority Issues and Disputes</w:t>
      </w:r>
    </w:p>
    <w:p w:rsidR="00C526D8" w:rsidRDefault="00C526D8" w:rsidP="003A7FC5">
      <w:pPr>
        <w:spacing w:after="0" w:line="240" w:lineRule="auto"/>
        <w:jc w:val="both"/>
        <w:rPr>
          <w:rFonts w:ascii="Times New Roman" w:eastAsia="Times New Roman" w:hAnsi="Times New Roman"/>
          <w:b/>
          <w:sz w:val="24"/>
        </w:rPr>
      </w:pPr>
    </w:p>
    <w:p w:rsidR="00C526D8" w:rsidRDefault="00C526D8" w:rsidP="00C526D8">
      <w:pPr>
        <w:spacing w:after="0" w:line="360" w:lineRule="auto"/>
        <w:jc w:val="both"/>
        <w:rPr>
          <w:rFonts w:ascii="Times New Roman" w:eastAsia="Times New Roman" w:hAnsi="Times New Roman"/>
          <w:bCs/>
          <w:sz w:val="24"/>
        </w:rPr>
      </w:pPr>
      <w:r w:rsidRPr="00C526D8">
        <w:rPr>
          <w:rFonts w:ascii="Times New Roman" w:eastAsia="Times New Roman" w:hAnsi="Times New Roman"/>
          <w:bCs/>
          <w:sz w:val="24"/>
        </w:rPr>
        <w:t xml:space="preserve">The definition of authority is based on Article 1 point 6 of Law No. 30 of 2014 which states that: </w:t>
      </w:r>
      <w:r w:rsidRPr="00343575">
        <w:rPr>
          <w:rFonts w:ascii="Times New Roman" w:eastAsia="Times New Roman" w:hAnsi="Times New Roman"/>
          <w:bCs/>
          <w:i/>
          <w:iCs/>
          <w:sz w:val="24"/>
        </w:rPr>
        <w:t>"Government Authority, hereinafter referred to as authority, is the power of Government Agencies and/or Officials or other state administrators to act in the realm of public law".</w:t>
      </w:r>
      <w:r w:rsidRPr="00C526D8">
        <w:rPr>
          <w:rFonts w:ascii="Times New Roman" w:eastAsia="Times New Roman" w:hAnsi="Times New Roman"/>
          <w:bCs/>
          <w:sz w:val="24"/>
        </w:rPr>
        <w:t xml:space="preserve"> When viewed in Article 8 of Law No. 30 of 2014, there is a mix-up between authority and authority. According to </w:t>
      </w:r>
      <w:proofErr w:type="spellStart"/>
      <w:r w:rsidRPr="00C526D8">
        <w:rPr>
          <w:rFonts w:ascii="Times New Roman" w:eastAsia="Times New Roman" w:hAnsi="Times New Roman"/>
          <w:bCs/>
          <w:sz w:val="24"/>
        </w:rPr>
        <w:t>Philipus</w:t>
      </w:r>
      <w:proofErr w:type="spellEnd"/>
      <w:r w:rsidRPr="00C526D8">
        <w:rPr>
          <w:rFonts w:ascii="Times New Roman" w:eastAsia="Times New Roman" w:hAnsi="Times New Roman"/>
          <w:bCs/>
          <w:sz w:val="24"/>
        </w:rPr>
        <w:t xml:space="preserve"> M. </w:t>
      </w:r>
      <w:proofErr w:type="spellStart"/>
      <w:r w:rsidRPr="00C526D8">
        <w:rPr>
          <w:rFonts w:ascii="Times New Roman" w:eastAsia="Times New Roman" w:hAnsi="Times New Roman"/>
          <w:bCs/>
          <w:sz w:val="24"/>
        </w:rPr>
        <w:t>Hadjon</w:t>
      </w:r>
      <w:proofErr w:type="spellEnd"/>
      <w:r w:rsidRPr="00C526D8">
        <w:rPr>
          <w:rFonts w:ascii="Times New Roman" w:eastAsia="Times New Roman" w:hAnsi="Times New Roman"/>
          <w:bCs/>
          <w:sz w:val="24"/>
        </w:rPr>
        <w:t>, the term authority is used in the form of a noun, so it is often confused with the term authority. The terms authority and authority are often aligned in the Dutch legal term "</w:t>
      </w:r>
      <w:proofErr w:type="spellStart"/>
      <w:r w:rsidRPr="00C526D8">
        <w:rPr>
          <w:rFonts w:ascii="Times New Roman" w:eastAsia="Times New Roman" w:hAnsi="Times New Roman"/>
          <w:bCs/>
          <w:sz w:val="24"/>
        </w:rPr>
        <w:t>bevoegheid</w:t>
      </w:r>
      <w:proofErr w:type="spellEnd"/>
      <w:r w:rsidRPr="00C526D8">
        <w:rPr>
          <w:rFonts w:ascii="Times New Roman" w:eastAsia="Times New Roman" w:hAnsi="Times New Roman"/>
          <w:bCs/>
          <w:sz w:val="24"/>
        </w:rPr>
        <w:t xml:space="preserve">". </w:t>
      </w:r>
      <w:r>
        <w:rPr>
          <w:rFonts w:ascii="Times New Roman" w:eastAsia="Times New Roman" w:hAnsi="Times New Roman"/>
          <w:bCs/>
          <w:sz w:val="24"/>
        </w:rPr>
        <w:t xml:space="preserve"> </w:t>
      </w:r>
      <w:r w:rsidRPr="00C526D8">
        <w:rPr>
          <w:rFonts w:ascii="Times New Roman" w:eastAsia="Times New Roman" w:hAnsi="Times New Roman"/>
          <w:bCs/>
          <w:sz w:val="24"/>
        </w:rPr>
        <w:t xml:space="preserve">Therefore, the authority has 3 (three) important components, </w:t>
      </w:r>
      <w:r w:rsidR="006800A7">
        <w:rPr>
          <w:rFonts w:ascii="Times New Roman" w:eastAsia="Times New Roman" w:hAnsi="Times New Roman"/>
          <w:bCs/>
          <w:sz w:val="24"/>
        </w:rPr>
        <w:t>that is</w:t>
      </w:r>
      <w:r w:rsidRPr="00C526D8">
        <w:rPr>
          <w:rFonts w:ascii="Times New Roman" w:eastAsia="Times New Roman" w:hAnsi="Times New Roman"/>
          <w:bCs/>
          <w:sz w:val="24"/>
        </w:rPr>
        <w:t>:</w:t>
      </w:r>
      <w:r>
        <w:rPr>
          <w:rStyle w:val="FootnoteReference"/>
          <w:rFonts w:ascii="Times New Roman" w:eastAsia="Times New Roman" w:hAnsi="Times New Roman"/>
          <w:bCs/>
          <w:sz w:val="24"/>
        </w:rPr>
        <w:footnoteReference w:id="12"/>
      </w:r>
    </w:p>
    <w:p w:rsidR="00C526D8" w:rsidRPr="00C526D8" w:rsidRDefault="00C526D8" w:rsidP="00660D49">
      <w:pPr>
        <w:pStyle w:val="ListParagraph"/>
        <w:numPr>
          <w:ilvl w:val="0"/>
          <w:numId w:val="10"/>
        </w:numPr>
        <w:spacing w:after="0" w:line="360" w:lineRule="auto"/>
        <w:ind w:left="993"/>
        <w:jc w:val="both"/>
        <w:rPr>
          <w:rFonts w:ascii="Times New Roman" w:eastAsia="Times New Roman" w:hAnsi="Times New Roman"/>
          <w:bCs/>
          <w:sz w:val="24"/>
        </w:rPr>
      </w:pPr>
      <w:r w:rsidRPr="00C526D8">
        <w:rPr>
          <w:rFonts w:ascii="Times New Roman" w:eastAsia="Times New Roman" w:hAnsi="Times New Roman"/>
          <w:bCs/>
          <w:sz w:val="24"/>
        </w:rPr>
        <w:t>Influence;</w:t>
      </w:r>
    </w:p>
    <w:p w:rsidR="00660D49" w:rsidRDefault="00C526D8" w:rsidP="00660D49">
      <w:pPr>
        <w:pStyle w:val="ListParagraph"/>
        <w:numPr>
          <w:ilvl w:val="0"/>
          <w:numId w:val="10"/>
        </w:numPr>
        <w:spacing w:after="0" w:line="360" w:lineRule="auto"/>
        <w:ind w:left="993"/>
        <w:jc w:val="both"/>
        <w:rPr>
          <w:rFonts w:ascii="Times New Roman" w:eastAsia="Times New Roman" w:hAnsi="Times New Roman"/>
          <w:bCs/>
          <w:sz w:val="24"/>
        </w:rPr>
      </w:pPr>
      <w:r w:rsidRPr="00C526D8">
        <w:rPr>
          <w:rFonts w:ascii="Times New Roman" w:eastAsia="Times New Roman" w:hAnsi="Times New Roman"/>
          <w:bCs/>
          <w:sz w:val="24"/>
        </w:rPr>
        <w:t>Legal basis; and</w:t>
      </w:r>
    </w:p>
    <w:p w:rsidR="00660D49" w:rsidRPr="00660D49" w:rsidRDefault="00C526D8" w:rsidP="00660D49">
      <w:pPr>
        <w:pStyle w:val="ListParagraph"/>
        <w:numPr>
          <w:ilvl w:val="0"/>
          <w:numId w:val="10"/>
        </w:numPr>
        <w:spacing w:after="0" w:line="360" w:lineRule="auto"/>
        <w:ind w:left="993"/>
        <w:jc w:val="both"/>
        <w:rPr>
          <w:rFonts w:ascii="Times New Roman" w:eastAsia="Times New Roman" w:hAnsi="Times New Roman"/>
          <w:bCs/>
          <w:sz w:val="24"/>
        </w:rPr>
      </w:pPr>
      <w:r w:rsidRPr="00660D49">
        <w:rPr>
          <w:rFonts w:ascii="Times New Roman" w:eastAsia="Times New Roman" w:hAnsi="Times New Roman"/>
          <w:bCs/>
          <w:sz w:val="24"/>
        </w:rPr>
        <w:t>Legal conformity.</w:t>
      </w:r>
    </w:p>
    <w:p w:rsidR="00C526D8" w:rsidRPr="00660D49" w:rsidRDefault="00C526D8" w:rsidP="00660D49">
      <w:pPr>
        <w:spacing w:after="0" w:line="360" w:lineRule="auto"/>
        <w:ind w:firstLine="567"/>
        <w:jc w:val="both"/>
        <w:rPr>
          <w:rFonts w:ascii="Times New Roman" w:eastAsia="Times New Roman" w:hAnsi="Times New Roman"/>
          <w:bCs/>
          <w:sz w:val="24"/>
        </w:rPr>
      </w:pPr>
      <w:r w:rsidRPr="00660D49">
        <w:rPr>
          <w:rFonts w:ascii="Times New Roman" w:eastAsia="Times New Roman" w:hAnsi="Times New Roman"/>
          <w:bCs/>
          <w:sz w:val="24"/>
        </w:rPr>
        <w:t xml:space="preserve">Authority is the legality of the state administrative body that carries out administrative </w:t>
      </w:r>
    </w:p>
    <w:p w:rsidR="00C526D8" w:rsidRDefault="00C526D8" w:rsidP="00660D49">
      <w:pPr>
        <w:spacing w:after="0" w:line="360" w:lineRule="auto"/>
        <w:jc w:val="both"/>
        <w:rPr>
          <w:rFonts w:ascii="Times New Roman" w:eastAsia="Times New Roman" w:hAnsi="Times New Roman"/>
          <w:bCs/>
          <w:sz w:val="24"/>
        </w:rPr>
      </w:pPr>
      <w:proofErr w:type="gramStart"/>
      <w:r w:rsidRPr="00C526D8">
        <w:rPr>
          <w:rFonts w:ascii="Times New Roman" w:eastAsia="Times New Roman" w:hAnsi="Times New Roman"/>
          <w:bCs/>
          <w:sz w:val="24"/>
        </w:rPr>
        <w:lastRenderedPageBreak/>
        <w:t>functions</w:t>
      </w:r>
      <w:proofErr w:type="gramEnd"/>
      <w:r w:rsidRPr="00C526D8">
        <w:rPr>
          <w:rFonts w:ascii="Times New Roman" w:eastAsia="Times New Roman" w:hAnsi="Times New Roman"/>
          <w:bCs/>
          <w:sz w:val="24"/>
        </w:rPr>
        <w:t>, so that the jurisdiction of an institution is the scope of its authority because the validity or invalidity of the decision depends on the authority of the administrative official.</w:t>
      </w:r>
      <w:r w:rsidR="00660D49">
        <w:rPr>
          <w:rStyle w:val="FootnoteReference"/>
          <w:rFonts w:ascii="Times New Roman" w:eastAsia="Times New Roman" w:hAnsi="Times New Roman"/>
          <w:bCs/>
          <w:sz w:val="24"/>
        </w:rPr>
        <w:footnoteReference w:id="13"/>
      </w:r>
      <w:r w:rsidR="00660D49">
        <w:rPr>
          <w:rFonts w:ascii="Times New Roman" w:eastAsia="Times New Roman" w:hAnsi="Times New Roman"/>
          <w:bCs/>
          <w:sz w:val="24"/>
        </w:rPr>
        <w:t xml:space="preserve"> </w:t>
      </w:r>
      <w:r w:rsidR="00660D49" w:rsidRPr="00660D49">
        <w:rPr>
          <w:rFonts w:ascii="Times New Roman" w:eastAsia="Times New Roman" w:hAnsi="Times New Roman"/>
          <w:bCs/>
          <w:sz w:val="24"/>
        </w:rPr>
        <w:t xml:space="preserve">Because if the regulation is not correct, the results will also not be correct, therefore authority is a form of the principle of government responsibility both </w:t>
      </w:r>
      <w:proofErr w:type="spellStart"/>
      <w:r w:rsidR="00660D49" w:rsidRPr="00660D49">
        <w:rPr>
          <w:rFonts w:ascii="Times New Roman" w:eastAsia="Times New Roman" w:hAnsi="Times New Roman"/>
          <w:bCs/>
          <w:sz w:val="24"/>
        </w:rPr>
        <w:t>juridically</w:t>
      </w:r>
      <w:proofErr w:type="spellEnd"/>
      <w:r w:rsidR="00660D49" w:rsidRPr="00660D49">
        <w:rPr>
          <w:rFonts w:ascii="Times New Roman" w:eastAsia="Times New Roman" w:hAnsi="Times New Roman"/>
          <w:bCs/>
          <w:sz w:val="24"/>
        </w:rPr>
        <w:t xml:space="preserve"> and politically. Meanwhile, authority is power in a formal sense, and simply put, authority is a study of administrative law.</w:t>
      </w:r>
      <w:r w:rsidR="00660D49">
        <w:rPr>
          <w:rStyle w:val="FootnoteReference"/>
          <w:rFonts w:ascii="Times New Roman" w:eastAsia="Times New Roman" w:hAnsi="Times New Roman"/>
          <w:bCs/>
          <w:sz w:val="24"/>
        </w:rPr>
        <w:footnoteReference w:id="14"/>
      </w:r>
    </w:p>
    <w:p w:rsidR="00660D49" w:rsidRDefault="00660D49" w:rsidP="00660D49">
      <w:pPr>
        <w:spacing w:after="0" w:line="360" w:lineRule="auto"/>
        <w:ind w:firstLine="567"/>
        <w:jc w:val="both"/>
        <w:rPr>
          <w:rFonts w:ascii="Times New Roman" w:eastAsia="Times New Roman" w:hAnsi="Times New Roman"/>
          <w:bCs/>
          <w:sz w:val="24"/>
        </w:rPr>
      </w:pPr>
      <w:r w:rsidRPr="00660D49">
        <w:rPr>
          <w:rFonts w:ascii="Times New Roman" w:eastAsia="Times New Roman" w:hAnsi="Times New Roman"/>
          <w:bCs/>
          <w:sz w:val="24"/>
        </w:rPr>
        <w:t>Article 8 paragraph (2) of Law No. 30 of 2014 provides the basis for an authority</w:t>
      </w:r>
      <w:proofErr w:type="gramStart"/>
      <w:r w:rsidRPr="00660D49">
        <w:rPr>
          <w:rFonts w:ascii="Times New Roman" w:eastAsia="Times New Roman" w:hAnsi="Times New Roman"/>
          <w:bCs/>
          <w:sz w:val="24"/>
        </w:rPr>
        <w:t xml:space="preserve">, </w:t>
      </w:r>
      <w:r>
        <w:rPr>
          <w:rFonts w:ascii="Times New Roman" w:eastAsia="Times New Roman" w:hAnsi="Times New Roman"/>
          <w:bCs/>
          <w:sz w:val="24"/>
        </w:rPr>
        <w:t xml:space="preserve"> </w:t>
      </w:r>
      <w:r w:rsidR="006800A7">
        <w:rPr>
          <w:rFonts w:ascii="Times New Roman" w:eastAsia="Times New Roman" w:hAnsi="Times New Roman"/>
          <w:bCs/>
          <w:sz w:val="24"/>
        </w:rPr>
        <w:t>that</w:t>
      </w:r>
      <w:proofErr w:type="gramEnd"/>
      <w:r w:rsidR="006800A7">
        <w:rPr>
          <w:rFonts w:ascii="Times New Roman" w:eastAsia="Times New Roman" w:hAnsi="Times New Roman"/>
          <w:bCs/>
          <w:sz w:val="24"/>
        </w:rPr>
        <w:t xml:space="preserve"> is</w:t>
      </w:r>
      <w:r w:rsidRPr="00660D49">
        <w:rPr>
          <w:rFonts w:ascii="Times New Roman" w:eastAsia="Times New Roman" w:hAnsi="Times New Roman"/>
          <w:bCs/>
          <w:sz w:val="24"/>
        </w:rPr>
        <w:t>:</w:t>
      </w:r>
    </w:p>
    <w:p w:rsidR="00660D49" w:rsidRPr="00660D49" w:rsidRDefault="00660D49" w:rsidP="00660D49">
      <w:pPr>
        <w:spacing w:after="0" w:line="360" w:lineRule="auto"/>
        <w:ind w:firstLine="567"/>
        <w:jc w:val="both"/>
        <w:rPr>
          <w:rFonts w:ascii="Times New Roman" w:eastAsia="Times New Roman" w:hAnsi="Times New Roman"/>
          <w:bCs/>
          <w:sz w:val="24"/>
        </w:rPr>
      </w:pPr>
      <w:r w:rsidRPr="00660D49">
        <w:rPr>
          <w:rFonts w:ascii="Times New Roman" w:eastAsia="Times New Roman" w:hAnsi="Times New Roman"/>
          <w:bCs/>
          <w:sz w:val="24"/>
        </w:rPr>
        <w:t xml:space="preserve">a. Legislation; and </w:t>
      </w:r>
    </w:p>
    <w:p w:rsidR="00660D49" w:rsidRDefault="00660D49" w:rsidP="00660D49">
      <w:pPr>
        <w:spacing w:after="0" w:line="360" w:lineRule="auto"/>
        <w:ind w:firstLine="567"/>
        <w:jc w:val="both"/>
        <w:rPr>
          <w:rFonts w:ascii="Times New Roman" w:eastAsia="Times New Roman" w:hAnsi="Times New Roman"/>
          <w:bCs/>
          <w:sz w:val="24"/>
        </w:rPr>
      </w:pPr>
      <w:proofErr w:type="gramStart"/>
      <w:r w:rsidRPr="00660D49">
        <w:rPr>
          <w:rFonts w:ascii="Times New Roman" w:eastAsia="Times New Roman" w:hAnsi="Times New Roman"/>
          <w:bCs/>
          <w:sz w:val="24"/>
        </w:rPr>
        <w:t>b</w:t>
      </w:r>
      <w:proofErr w:type="gramEnd"/>
      <w:r w:rsidRPr="00660D49">
        <w:rPr>
          <w:rFonts w:ascii="Times New Roman" w:eastAsia="Times New Roman" w:hAnsi="Times New Roman"/>
          <w:bCs/>
          <w:sz w:val="24"/>
        </w:rPr>
        <w:t>. General Principles of Good Governance (AUPB).</w:t>
      </w:r>
    </w:p>
    <w:p w:rsidR="00660D49" w:rsidRPr="00C526D8" w:rsidRDefault="00660D49" w:rsidP="00660D49">
      <w:pPr>
        <w:spacing w:after="0" w:line="360" w:lineRule="auto"/>
        <w:jc w:val="both"/>
        <w:rPr>
          <w:rFonts w:ascii="Times New Roman" w:eastAsia="Times New Roman" w:hAnsi="Times New Roman"/>
          <w:bCs/>
          <w:sz w:val="24"/>
        </w:rPr>
      </w:pPr>
      <w:proofErr w:type="gramStart"/>
      <w:r w:rsidRPr="00660D49">
        <w:rPr>
          <w:rFonts w:ascii="Times New Roman" w:eastAsia="Times New Roman" w:hAnsi="Times New Roman"/>
          <w:bCs/>
          <w:sz w:val="24"/>
        </w:rPr>
        <w:t>Confusion regarding AUPB which is a principle, but is normed.</w:t>
      </w:r>
      <w:proofErr w:type="gramEnd"/>
      <w:r w:rsidRPr="00660D49">
        <w:rPr>
          <w:rFonts w:ascii="Times New Roman" w:eastAsia="Times New Roman" w:hAnsi="Times New Roman"/>
          <w:bCs/>
          <w:sz w:val="24"/>
        </w:rPr>
        <w:t xml:space="preserve"> Because principles are not norms, and regulations should formulate norms not principles. Similarly, Article 10 contains AUPB, but becomes ambiguous in Article 10 paragraph (2) which states:</w:t>
      </w:r>
      <w:r w:rsidRPr="00343575">
        <w:rPr>
          <w:rFonts w:ascii="Times New Roman" w:eastAsia="Times New Roman" w:hAnsi="Times New Roman"/>
          <w:bCs/>
          <w:i/>
          <w:iCs/>
          <w:sz w:val="24"/>
        </w:rPr>
        <w:t xml:space="preserve"> "Other general principles outside the AUPB as referred to in paragraph (1) can be applied as long as they are used as the basis for the judge's judgment contained in a court decision with permanent legal force".</w:t>
      </w:r>
    </w:p>
    <w:p w:rsidR="00660D49" w:rsidRDefault="00660D49" w:rsidP="00343575">
      <w:pPr>
        <w:spacing w:after="0" w:line="360" w:lineRule="auto"/>
        <w:ind w:firstLine="567"/>
        <w:jc w:val="both"/>
        <w:rPr>
          <w:rFonts w:ascii="Times New Roman" w:eastAsia="Times New Roman" w:hAnsi="Times New Roman"/>
          <w:bCs/>
          <w:sz w:val="24"/>
        </w:rPr>
      </w:pPr>
      <w:r w:rsidRPr="00660D49">
        <w:rPr>
          <w:rFonts w:ascii="Times New Roman" w:eastAsia="Times New Roman" w:hAnsi="Times New Roman"/>
          <w:bCs/>
          <w:sz w:val="24"/>
        </w:rPr>
        <w:t xml:space="preserve">AUPB is commonly applied in countries that claim to be a state of law and is </w:t>
      </w:r>
      <w:proofErr w:type="gramStart"/>
      <w:r w:rsidRPr="00660D49">
        <w:rPr>
          <w:rFonts w:ascii="Times New Roman" w:eastAsia="Times New Roman" w:hAnsi="Times New Roman"/>
          <w:bCs/>
          <w:sz w:val="24"/>
        </w:rPr>
        <w:t xml:space="preserve">usually </w:t>
      </w:r>
      <w:r>
        <w:rPr>
          <w:rFonts w:ascii="Times New Roman" w:eastAsia="Times New Roman" w:hAnsi="Times New Roman"/>
          <w:bCs/>
          <w:sz w:val="24"/>
        </w:rPr>
        <w:t xml:space="preserve"> </w:t>
      </w:r>
      <w:r w:rsidRPr="00660D49">
        <w:rPr>
          <w:rFonts w:ascii="Times New Roman" w:eastAsia="Times New Roman" w:hAnsi="Times New Roman"/>
          <w:bCs/>
          <w:sz w:val="24"/>
        </w:rPr>
        <w:t>found</w:t>
      </w:r>
      <w:proofErr w:type="gramEnd"/>
      <w:r w:rsidRPr="00660D49">
        <w:rPr>
          <w:rFonts w:ascii="Times New Roman" w:eastAsia="Times New Roman" w:hAnsi="Times New Roman"/>
          <w:bCs/>
          <w:sz w:val="24"/>
        </w:rPr>
        <w:t xml:space="preserve"> in the understanding of a welfare state</w:t>
      </w:r>
      <w:r>
        <w:rPr>
          <w:rFonts w:ascii="Times New Roman" w:eastAsia="Times New Roman" w:hAnsi="Times New Roman"/>
          <w:bCs/>
          <w:sz w:val="24"/>
        </w:rPr>
        <w:t>.</w:t>
      </w:r>
      <w:r w:rsidR="00343575">
        <w:rPr>
          <w:rStyle w:val="FootnoteReference"/>
          <w:rFonts w:ascii="Times New Roman" w:eastAsia="Times New Roman" w:hAnsi="Times New Roman"/>
          <w:bCs/>
          <w:sz w:val="24"/>
        </w:rPr>
        <w:footnoteReference w:id="15"/>
      </w:r>
      <w:r w:rsidR="00343575">
        <w:rPr>
          <w:rFonts w:ascii="Times New Roman" w:eastAsia="Times New Roman" w:hAnsi="Times New Roman"/>
          <w:bCs/>
          <w:sz w:val="24"/>
        </w:rPr>
        <w:t xml:space="preserve"> </w:t>
      </w:r>
      <w:r w:rsidR="00343575" w:rsidRPr="00343575">
        <w:rPr>
          <w:rFonts w:ascii="Times New Roman" w:eastAsia="Times New Roman" w:hAnsi="Times New Roman"/>
          <w:bCs/>
          <w:sz w:val="24"/>
        </w:rPr>
        <w:t xml:space="preserve">However, it is strange if the application of AUPB is based on a court decision. In the explanation of Article 10 paragraph (2), other general principles outside the AUPB are general principles of good governance derived from </w:t>
      </w:r>
      <w:proofErr w:type="spellStart"/>
      <w:r w:rsidR="00343575" w:rsidRPr="00343575">
        <w:rPr>
          <w:rFonts w:ascii="Times New Roman" w:eastAsia="Times New Roman" w:hAnsi="Times New Roman"/>
          <w:bCs/>
          <w:sz w:val="24"/>
        </w:rPr>
        <w:t>unappealed</w:t>
      </w:r>
      <w:proofErr w:type="spellEnd"/>
      <w:r w:rsidR="00343575" w:rsidRPr="00343575">
        <w:rPr>
          <w:rFonts w:ascii="Times New Roman" w:eastAsia="Times New Roman" w:hAnsi="Times New Roman"/>
          <w:bCs/>
          <w:sz w:val="24"/>
        </w:rPr>
        <w:t xml:space="preserve"> district court decisions, or </w:t>
      </w:r>
      <w:proofErr w:type="spellStart"/>
      <w:r w:rsidR="00343575" w:rsidRPr="00343575">
        <w:rPr>
          <w:rFonts w:ascii="Times New Roman" w:eastAsia="Times New Roman" w:hAnsi="Times New Roman"/>
          <w:bCs/>
          <w:sz w:val="24"/>
        </w:rPr>
        <w:t>unassailed</w:t>
      </w:r>
      <w:proofErr w:type="spellEnd"/>
      <w:r w:rsidR="00343575" w:rsidRPr="00343575">
        <w:rPr>
          <w:rFonts w:ascii="Times New Roman" w:eastAsia="Times New Roman" w:hAnsi="Times New Roman"/>
          <w:bCs/>
          <w:sz w:val="24"/>
        </w:rPr>
        <w:t xml:space="preserve"> high court decisions or Supreme Court decisions. Article 10 paragraph (2) certainly contradicts Article 1 point 2 of Law No. 13 of 2022 on the Establishment of Legislation, that: </w:t>
      </w:r>
      <w:r w:rsidR="00343575" w:rsidRPr="00343575">
        <w:rPr>
          <w:rFonts w:ascii="Times New Roman" w:eastAsia="Times New Roman" w:hAnsi="Times New Roman"/>
          <w:bCs/>
          <w:i/>
          <w:iCs/>
          <w:sz w:val="24"/>
        </w:rPr>
        <w:t xml:space="preserve">"Legislation is a written regulation that </w:t>
      </w:r>
      <w:r w:rsidR="00343575" w:rsidRPr="00343575">
        <w:rPr>
          <w:rFonts w:ascii="Times New Roman" w:eastAsia="Times New Roman" w:hAnsi="Times New Roman"/>
          <w:b/>
          <w:i/>
          <w:iCs/>
          <w:sz w:val="24"/>
        </w:rPr>
        <w:t>contains legal norms</w:t>
      </w:r>
      <w:r w:rsidR="00343575" w:rsidRPr="00343575">
        <w:rPr>
          <w:rFonts w:ascii="Times New Roman" w:eastAsia="Times New Roman" w:hAnsi="Times New Roman"/>
          <w:bCs/>
          <w:i/>
          <w:iCs/>
          <w:sz w:val="24"/>
        </w:rPr>
        <w:t xml:space="preserve"> that are binding in general and is formed or stipulated by state institutions or authorized officials through procedures stipulated in the Legislation".</w:t>
      </w:r>
      <w:r w:rsidR="00343575" w:rsidRPr="00343575">
        <w:rPr>
          <w:rFonts w:ascii="Times New Roman" w:eastAsia="Times New Roman" w:hAnsi="Times New Roman"/>
          <w:bCs/>
          <w:sz w:val="24"/>
        </w:rPr>
        <w:t xml:space="preserve"> Based on the submission of experts, namely </w:t>
      </w:r>
      <w:proofErr w:type="spellStart"/>
      <w:r w:rsidR="00343575" w:rsidRPr="00343575">
        <w:rPr>
          <w:rFonts w:ascii="Times New Roman" w:eastAsia="Times New Roman" w:hAnsi="Times New Roman"/>
          <w:bCs/>
          <w:sz w:val="24"/>
        </w:rPr>
        <w:t>Wahyudi</w:t>
      </w:r>
      <w:proofErr w:type="spellEnd"/>
      <w:r w:rsidR="00343575" w:rsidRPr="00343575">
        <w:rPr>
          <w:rFonts w:ascii="Times New Roman" w:eastAsia="Times New Roman" w:hAnsi="Times New Roman"/>
          <w:bCs/>
          <w:sz w:val="24"/>
        </w:rPr>
        <w:t xml:space="preserve"> </w:t>
      </w:r>
      <w:proofErr w:type="spellStart"/>
      <w:r w:rsidR="00343575" w:rsidRPr="00343575">
        <w:rPr>
          <w:rFonts w:ascii="Times New Roman" w:eastAsia="Times New Roman" w:hAnsi="Times New Roman"/>
          <w:bCs/>
          <w:sz w:val="24"/>
        </w:rPr>
        <w:t>Kumorotomo</w:t>
      </w:r>
      <w:proofErr w:type="spellEnd"/>
      <w:r w:rsidR="00343575" w:rsidRPr="00343575">
        <w:rPr>
          <w:rFonts w:ascii="Times New Roman" w:eastAsia="Times New Roman" w:hAnsi="Times New Roman"/>
          <w:bCs/>
          <w:sz w:val="24"/>
        </w:rPr>
        <w:t xml:space="preserve"> that, </w:t>
      </w:r>
      <w:r w:rsidR="00343575">
        <w:rPr>
          <w:rFonts w:ascii="Times New Roman" w:eastAsia="Times New Roman" w:hAnsi="Times New Roman"/>
          <w:bCs/>
          <w:sz w:val="24"/>
        </w:rPr>
        <w:t xml:space="preserve"> </w:t>
      </w:r>
      <w:r w:rsidR="00343575" w:rsidRPr="00343575">
        <w:rPr>
          <w:rFonts w:ascii="Times New Roman" w:eastAsia="Times New Roman" w:hAnsi="Times New Roman"/>
          <w:bCs/>
          <w:sz w:val="24"/>
        </w:rPr>
        <w:t>in the Government Administration Bill which only contains general provisions in the administration of government and not substantial management of services, if it is only to implement AUPB, is it necessary to form this law?</w:t>
      </w:r>
      <w:r w:rsidR="00343575">
        <w:rPr>
          <w:rFonts w:ascii="Times New Roman" w:eastAsia="Times New Roman" w:hAnsi="Times New Roman"/>
          <w:bCs/>
          <w:sz w:val="24"/>
        </w:rPr>
        <w:t>.</w:t>
      </w:r>
      <w:r w:rsidR="00343575">
        <w:rPr>
          <w:rStyle w:val="FootnoteReference"/>
          <w:rFonts w:ascii="Times New Roman" w:eastAsia="Times New Roman" w:hAnsi="Times New Roman"/>
          <w:bCs/>
          <w:sz w:val="24"/>
        </w:rPr>
        <w:footnoteReference w:id="16"/>
      </w:r>
    </w:p>
    <w:p w:rsidR="00343575" w:rsidRDefault="00343575" w:rsidP="00343575">
      <w:pPr>
        <w:spacing w:after="0" w:line="360" w:lineRule="auto"/>
        <w:ind w:firstLine="567"/>
        <w:jc w:val="both"/>
        <w:rPr>
          <w:rFonts w:ascii="Times New Roman" w:eastAsia="Times New Roman" w:hAnsi="Times New Roman"/>
          <w:bCs/>
          <w:sz w:val="24"/>
        </w:rPr>
      </w:pPr>
      <w:r w:rsidRPr="00343575">
        <w:rPr>
          <w:rFonts w:ascii="Times New Roman" w:eastAsia="Times New Roman" w:hAnsi="Times New Roman"/>
          <w:bCs/>
          <w:sz w:val="24"/>
        </w:rPr>
        <w:lastRenderedPageBreak/>
        <w:t>Regarding this authority, it is regulated regarding the source of authority obtained through attribution, delegation and mandate. Where usually attribution is very relevant to positions through orders from the 1945 Constitution and laws, as well as delegation which must be preceded by attribution authority, so the conclusion is that if there is no attribution then there is no delegation.</w:t>
      </w:r>
      <w:r>
        <w:rPr>
          <w:rStyle w:val="FootnoteReference"/>
          <w:rFonts w:ascii="Times New Roman" w:eastAsia="Times New Roman" w:hAnsi="Times New Roman"/>
          <w:bCs/>
          <w:sz w:val="24"/>
        </w:rPr>
        <w:footnoteReference w:id="17"/>
      </w:r>
      <w:r>
        <w:rPr>
          <w:rFonts w:ascii="Times New Roman" w:eastAsia="Times New Roman" w:hAnsi="Times New Roman"/>
          <w:bCs/>
          <w:sz w:val="24"/>
        </w:rPr>
        <w:t xml:space="preserve"> </w:t>
      </w:r>
      <w:r w:rsidRPr="00343575">
        <w:rPr>
          <w:rFonts w:ascii="Times New Roman" w:eastAsia="Times New Roman" w:hAnsi="Times New Roman"/>
          <w:bCs/>
          <w:sz w:val="24"/>
        </w:rPr>
        <w:t>Whereas in the mandate which is</w:t>
      </w:r>
      <w:r>
        <w:rPr>
          <w:rFonts w:ascii="Times New Roman" w:eastAsia="Times New Roman" w:hAnsi="Times New Roman"/>
          <w:bCs/>
          <w:sz w:val="24"/>
        </w:rPr>
        <w:t xml:space="preserve"> </w:t>
      </w:r>
      <w:r w:rsidRPr="00343575">
        <w:rPr>
          <w:rFonts w:ascii="Times New Roman" w:eastAsia="Times New Roman" w:hAnsi="Times New Roman"/>
          <w:bCs/>
          <w:sz w:val="24"/>
        </w:rPr>
        <w:t>interpreted as being ordered, so that the juridical responsibility remains with the mandate giver,</w:t>
      </w:r>
      <w:r>
        <w:rPr>
          <w:rStyle w:val="FootnoteReference"/>
          <w:rFonts w:ascii="Times New Roman" w:eastAsia="Times New Roman" w:hAnsi="Times New Roman"/>
          <w:bCs/>
          <w:sz w:val="24"/>
        </w:rPr>
        <w:footnoteReference w:id="18"/>
      </w:r>
      <w:r>
        <w:rPr>
          <w:rFonts w:ascii="Times New Roman" w:eastAsia="Times New Roman" w:hAnsi="Times New Roman"/>
          <w:bCs/>
          <w:sz w:val="24"/>
        </w:rPr>
        <w:t xml:space="preserve"> </w:t>
      </w:r>
      <w:r w:rsidRPr="00343575">
        <w:rPr>
          <w:rFonts w:ascii="Times New Roman" w:eastAsia="Times New Roman" w:hAnsi="Times New Roman"/>
          <w:bCs/>
          <w:sz w:val="24"/>
        </w:rPr>
        <w:t>while the delegation is the transfer of responsibi</w:t>
      </w:r>
      <w:r>
        <w:rPr>
          <w:rFonts w:ascii="Times New Roman" w:eastAsia="Times New Roman" w:hAnsi="Times New Roman"/>
          <w:bCs/>
          <w:sz w:val="24"/>
        </w:rPr>
        <w:t xml:space="preserve">lity and liability to the </w:t>
      </w:r>
      <w:r w:rsidRPr="00343575">
        <w:rPr>
          <w:rFonts w:ascii="Times New Roman" w:eastAsia="Times New Roman" w:hAnsi="Times New Roman"/>
          <w:bCs/>
          <w:sz w:val="24"/>
        </w:rPr>
        <w:t>one receiving the delegation.</w:t>
      </w:r>
      <w:r>
        <w:rPr>
          <w:rFonts w:ascii="Times New Roman" w:eastAsia="Times New Roman" w:hAnsi="Times New Roman"/>
          <w:bCs/>
          <w:sz w:val="24"/>
        </w:rPr>
        <w:t xml:space="preserve"> </w:t>
      </w:r>
      <w:r w:rsidRPr="00343575">
        <w:rPr>
          <w:rFonts w:ascii="Times New Roman" w:eastAsia="Times New Roman" w:hAnsi="Times New Roman"/>
          <w:bCs/>
          <w:sz w:val="24"/>
        </w:rPr>
        <w:t xml:space="preserve">There is a similarity between mandates and official assistance regulated in Article 1 point (10) of this regulation, which states: </w:t>
      </w:r>
      <w:r w:rsidRPr="00343575">
        <w:rPr>
          <w:rFonts w:ascii="Times New Roman" w:eastAsia="Times New Roman" w:hAnsi="Times New Roman"/>
          <w:bCs/>
          <w:i/>
          <w:iCs/>
          <w:sz w:val="24"/>
        </w:rPr>
        <w:t>"Official Assistance is cooperation between Government Agencies and/or Officials for the smooth running of Government Administration services in a government agency in need."</w:t>
      </w:r>
      <w:r w:rsidRPr="00343575">
        <w:rPr>
          <w:rFonts w:ascii="Times New Roman" w:eastAsia="Times New Roman" w:hAnsi="Times New Roman"/>
          <w:bCs/>
          <w:sz w:val="24"/>
        </w:rPr>
        <w:t xml:space="preserve"> The big question </w:t>
      </w:r>
      <w:proofErr w:type="gramStart"/>
      <w:r w:rsidRPr="00343575">
        <w:rPr>
          <w:rFonts w:ascii="Times New Roman" w:eastAsia="Times New Roman" w:hAnsi="Times New Roman"/>
          <w:bCs/>
          <w:sz w:val="24"/>
        </w:rPr>
        <w:t>is,</w:t>
      </w:r>
      <w:proofErr w:type="gramEnd"/>
      <w:r w:rsidRPr="00343575">
        <w:rPr>
          <w:rFonts w:ascii="Times New Roman" w:eastAsia="Times New Roman" w:hAnsi="Times New Roman"/>
          <w:bCs/>
          <w:sz w:val="24"/>
        </w:rPr>
        <w:t xml:space="preserve"> what is the difference between a mandate and official assistance? </w:t>
      </w:r>
      <w:proofErr w:type="gramStart"/>
      <w:r w:rsidRPr="00343575">
        <w:rPr>
          <w:rFonts w:ascii="Times New Roman" w:eastAsia="Times New Roman" w:hAnsi="Times New Roman"/>
          <w:bCs/>
          <w:sz w:val="24"/>
        </w:rPr>
        <w:t>Even though both have the same purpose in carrying out administrative functions.</w:t>
      </w:r>
      <w:proofErr w:type="gramEnd"/>
      <w:r w:rsidRPr="00343575">
        <w:rPr>
          <w:rFonts w:ascii="Times New Roman" w:eastAsia="Times New Roman" w:hAnsi="Times New Roman"/>
          <w:bCs/>
          <w:sz w:val="24"/>
        </w:rPr>
        <w:t xml:space="preserve"> And regarding responsibility and accountability, it is still held by the Agency / Official who needs official assistance based on Article 37 of Law No. 30 of 2014.</w:t>
      </w:r>
    </w:p>
    <w:p w:rsidR="00343575" w:rsidRDefault="00343575" w:rsidP="00343575">
      <w:pPr>
        <w:spacing w:after="0" w:line="360" w:lineRule="auto"/>
        <w:ind w:firstLine="567"/>
        <w:jc w:val="both"/>
        <w:rPr>
          <w:rFonts w:ascii="Times New Roman" w:eastAsia="Times New Roman" w:hAnsi="Times New Roman"/>
          <w:bCs/>
          <w:sz w:val="24"/>
        </w:rPr>
      </w:pPr>
      <w:r w:rsidRPr="00343575">
        <w:rPr>
          <w:rFonts w:ascii="Times New Roman" w:eastAsia="Times New Roman" w:hAnsi="Times New Roman"/>
          <w:bCs/>
          <w:sz w:val="24"/>
        </w:rPr>
        <w:t>Then on the concept of dispute resolution stipulated in Article 1 point (13) that: there is a claim of authority exercised by 2 (two) or more officials as a result of overlapping or unclear authority regarding the function of government affairs. If based on Article 16, there are several components of auth</w:t>
      </w:r>
      <w:r w:rsidR="006800A7">
        <w:rPr>
          <w:rFonts w:ascii="Times New Roman" w:eastAsia="Times New Roman" w:hAnsi="Times New Roman"/>
          <w:bCs/>
          <w:sz w:val="24"/>
        </w:rPr>
        <w:t>ority dispute resolution, that is</w:t>
      </w:r>
      <w:r w:rsidRPr="00343575">
        <w:rPr>
          <w:rFonts w:ascii="Times New Roman" w:eastAsia="Times New Roman" w:hAnsi="Times New Roman"/>
          <w:bCs/>
          <w:sz w:val="24"/>
        </w:rPr>
        <w:t>:</w:t>
      </w:r>
    </w:p>
    <w:p w:rsidR="006800A7" w:rsidRDefault="006800A7" w:rsidP="006800A7">
      <w:pPr>
        <w:pStyle w:val="ListParagraph"/>
        <w:numPr>
          <w:ilvl w:val="0"/>
          <w:numId w:val="12"/>
        </w:numPr>
        <w:spacing w:after="0" w:line="360" w:lineRule="auto"/>
        <w:jc w:val="both"/>
        <w:rPr>
          <w:rFonts w:ascii="Times New Roman" w:eastAsia="Times New Roman" w:hAnsi="Times New Roman"/>
          <w:bCs/>
          <w:sz w:val="24"/>
        </w:rPr>
      </w:pPr>
      <w:r w:rsidRPr="006800A7">
        <w:rPr>
          <w:rFonts w:ascii="Times New Roman" w:eastAsia="Times New Roman" w:hAnsi="Times New Roman"/>
          <w:bCs/>
          <w:sz w:val="24"/>
        </w:rPr>
        <w:t xml:space="preserve">Settlement of authority disputes through superior officials through coordination to produce an agreement; </w:t>
      </w:r>
    </w:p>
    <w:p w:rsidR="006800A7" w:rsidRDefault="006800A7" w:rsidP="006800A7">
      <w:pPr>
        <w:pStyle w:val="ListParagraph"/>
        <w:numPr>
          <w:ilvl w:val="0"/>
          <w:numId w:val="12"/>
        </w:numPr>
        <w:spacing w:after="0" w:line="360" w:lineRule="auto"/>
        <w:jc w:val="both"/>
        <w:rPr>
          <w:rFonts w:ascii="Times New Roman" w:eastAsia="Times New Roman" w:hAnsi="Times New Roman"/>
          <w:bCs/>
          <w:sz w:val="24"/>
        </w:rPr>
      </w:pPr>
      <w:r w:rsidRPr="006800A7">
        <w:rPr>
          <w:rFonts w:ascii="Times New Roman" w:eastAsia="Times New Roman" w:hAnsi="Times New Roman"/>
          <w:bCs/>
          <w:sz w:val="24"/>
        </w:rPr>
        <w:t xml:space="preserve">Settlement of authority disputes that have resulted in an agreement is binding on the parties, as long as it does not affect state finances, assets, and the environment; </w:t>
      </w:r>
    </w:p>
    <w:p w:rsidR="006800A7" w:rsidRDefault="006800A7" w:rsidP="006800A7">
      <w:pPr>
        <w:pStyle w:val="ListParagraph"/>
        <w:numPr>
          <w:ilvl w:val="0"/>
          <w:numId w:val="12"/>
        </w:numPr>
        <w:spacing w:after="0" w:line="360" w:lineRule="auto"/>
        <w:jc w:val="both"/>
        <w:rPr>
          <w:rFonts w:ascii="Times New Roman" w:eastAsia="Times New Roman" w:hAnsi="Times New Roman"/>
          <w:bCs/>
          <w:sz w:val="24"/>
        </w:rPr>
      </w:pPr>
      <w:r w:rsidRPr="006800A7">
        <w:rPr>
          <w:rFonts w:ascii="Times New Roman" w:eastAsia="Times New Roman" w:hAnsi="Times New Roman"/>
          <w:bCs/>
          <w:sz w:val="24"/>
        </w:rPr>
        <w:t>The settlement of authority disputes does not result in an agreement, then at the  last level is decided by the President;</w:t>
      </w:r>
    </w:p>
    <w:p w:rsidR="006800A7" w:rsidRDefault="006800A7" w:rsidP="006800A7">
      <w:pPr>
        <w:pStyle w:val="ListParagraph"/>
        <w:numPr>
          <w:ilvl w:val="0"/>
          <w:numId w:val="12"/>
        </w:numPr>
        <w:spacing w:after="0" w:line="360" w:lineRule="auto"/>
        <w:jc w:val="both"/>
        <w:rPr>
          <w:rFonts w:ascii="Times New Roman" w:eastAsia="Times New Roman" w:hAnsi="Times New Roman"/>
          <w:bCs/>
          <w:sz w:val="24"/>
        </w:rPr>
      </w:pPr>
      <w:r w:rsidRPr="006800A7">
        <w:rPr>
          <w:rFonts w:ascii="Times New Roman" w:eastAsia="Times New Roman" w:hAnsi="Times New Roman"/>
          <w:bCs/>
          <w:sz w:val="24"/>
        </w:rPr>
        <w:t xml:space="preserve">Settlement of conflict of authority involving state institutions, then resolved through the Constitutional Court (MK); and </w:t>
      </w:r>
    </w:p>
    <w:p w:rsidR="00660D49" w:rsidRDefault="006800A7" w:rsidP="006800A7">
      <w:pPr>
        <w:pStyle w:val="ListParagraph"/>
        <w:numPr>
          <w:ilvl w:val="0"/>
          <w:numId w:val="12"/>
        </w:numPr>
        <w:spacing w:after="0" w:line="360" w:lineRule="auto"/>
        <w:jc w:val="both"/>
        <w:rPr>
          <w:rFonts w:ascii="Times New Roman" w:eastAsia="Times New Roman" w:hAnsi="Times New Roman"/>
          <w:bCs/>
          <w:sz w:val="24"/>
        </w:rPr>
      </w:pPr>
      <w:r w:rsidRPr="006800A7">
        <w:rPr>
          <w:rFonts w:ascii="Times New Roman" w:eastAsia="Times New Roman" w:hAnsi="Times New Roman"/>
          <w:bCs/>
          <w:sz w:val="24"/>
        </w:rPr>
        <w:t>If the authority dispute causes losses to state finances, state assets and also the environment, it is resolved based on statutory provisions.</w:t>
      </w:r>
    </w:p>
    <w:p w:rsidR="006800A7" w:rsidRPr="006800A7" w:rsidRDefault="006800A7" w:rsidP="006800A7">
      <w:pPr>
        <w:spacing w:after="0" w:line="360" w:lineRule="auto"/>
        <w:jc w:val="both"/>
        <w:rPr>
          <w:rFonts w:ascii="Times New Roman" w:eastAsia="Times New Roman" w:hAnsi="Times New Roman"/>
          <w:bCs/>
          <w:sz w:val="24"/>
        </w:rPr>
      </w:pPr>
      <w:r w:rsidRPr="006800A7">
        <w:rPr>
          <w:rFonts w:ascii="Times New Roman" w:eastAsia="Times New Roman" w:hAnsi="Times New Roman"/>
          <w:bCs/>
          <w:sz w:val="24"/>
        </w:rPr>
        <w:lastRenderedPageBreak/>
        <w:t>This is ambiguous in the resolution of disputes over the authority of state institutions through the Constitutional Court in Article 16 paragraph (5), why? Because if reviewed based on Article 24C paragraph (1) of the 1945 Constitution which states that the</w:t>
      </w:r>
      <w:r>
        <w:rPr>
          <w:rFonts w:ascii="Times New Roman" w:eastAsia="Times New Roman" w:hAnsi="Times New Roman"/>
          <w:bCs/>
          <w:sz w:val="24"/>
        </w:rPr>
        <w:t xml:space="preserve"> </w:t>
      </w:r>
      <w:r w:rsidRPr="006800A7">
        <w:rPr>
          <w:rFonts w:ascii="Times New Roman" w:eastAsia="Times New Roman" w:hAnsi="Times New Roman"/>
          <w:bCs/>
          <w:sz w:val="24"/>
        </w:rPr>
        <w:t xml:space="preserve">Constitutional Court has the authority to hear at the first and last level whose decisions are final to test to decide disputes over the authority of state institutions whose authority is granted by the 1945 Constitution. Then specifically regulated through Article 1 number (5) </w:t>
      </w:r>
      <w:proofErr w:type="spellStart"/>
      <w:r w:rsidRPr="006800A7">
        <w:rPr>
          <w:rFonts w:ascii="Times New Roman" w:eastAsia="Times New Roman" w:hAnsi="Times New Roman"/>
          <w:bCs/>
          <w:sz w:val="24"/>
        </w:rPr>
        <w:t>jo</w:t>
      </w:r>
      <w:proofErr w:type="spellEnd"/>
      <w:r w:rsidRPr="006800A7">
        <w:rPr>
          <w:rFonts w:ascii="Times New Roman" w:eastAsia="Times New Roman" w:hAnsi="Times New Roman"/>
          <w:bCs/>
          <w:sz w:val="24"/>
        </w:rPr>
        <w:t xml:space="preserve"> Article 2 paragraph (1) and Constitutional Court Regulation Number 8 of 2006 concerning Guidelines for Procedures in Disputes over the </w:t>
      </w:r>
    </w:p>
    <w:p w:rsidR="006800A7" w:rsidRDefault="006800A7" w:rsidP="006800A7">
      <w:pPr>
        <w:spacing w:after="0" w:line="360" w:lineRule="auto"/>
        <w:jc w:val="both"/>
        <w:rPr>
          <w:rFonts w:ascii="Times New Roman" w:eastAsia="Times New Roman" w:hAnsi="Times New Roman"/>
          <w:bCs/>
          <w:sz w:val="24"/>
        </w:rPr>
      </w:pPr>
      <w:r w:rsidRPr="006800A7">
        <w:rPr>
          <w:rFonts w:ascii="Times New Roman" w:eastAsia="Times New Roman" w:hAnsi="Times New Roman"/>
          <w:bCs/>
          <w:sz w:val="24"/>
        </w:rPr>
        <w:t>Constitutional Authority of State Institutions explains that: state institutions are state institutions whose authority derives from the 1945 Constitution. The state institutions referred to include</w:t>
      </w:r>
      <w:r>
        <w:rPr>
          <w:rFonts w:ascii="Times New Roman" w:eastAsia="Times New Roman" w:hAnsi="Times New Roman"/>
          <w:bCs/>
          <w:sz w:val="24"/>
        </w:rPr>
        <w:t>;</w:t>
      </w:r>
    </w:p>
    <w:p w:rsidR="006800A7" w:rsidRDefault="006800A7" w:rsidP="006800A7">
      <w:pPr>
        <w:pStyle w:val="ListParagraph"/>
        <w:numPr>
          <w:ilvl w:val="0"/>
          <w:numId w:val="13"/>
        </w:numPr>
        <w:spacing w:after="0" w:line="360" w:lineRule="auto"/>
        <w:jc w:val="both"/>
        <w:rPr>
          <w:rFonts w:ascii="Times New Roman" w:eastAsia="Times New Roman" w:hAnsi="Times New Roman"/>
          <w:bCs/>
          <w:sz w:val="24"/>
        </w:rPr>
      </w:pPr>
      <w:r>
        <w:rPr>
          <w:rFonts w:ascii="Times New Roman" w:eastAsia="Times New Roman" w:hAnsi="Times New Roman"/>
          <w:bCs/>
          <w:sz w:val="24"/>
        </w:rPr>
        <w:t>DPR;</w:t>
      </w:r>
    </w:p>
    <w:p w:rsidR="006800A7" w:rsidRDefault="006800A7" w:rsidP="006800A7">
      <w:pPr>
        <w:pStyle w:val="ListParagraph"/>
        <w:numPr>
          <w:ilvl w:val="0"/>
          <w:numId w:val="13"/>
        </w:numPr>
        <w:spacing w:after="0" w:line="360" w:lineRule="auto"/>
        <w:jc w:val="both"/>
        <w:rPr>
          <w:rFonts w:ascii="Times New Roman" w:eastAsia="Times New Roman" w:hAnsi="Times New Roman"/>
          <w:bCs/>
          <w:sz w:val="24"/>
        </w:rPr>
      </w:pPr>
      <w:r>
        <w:rPr>
          <w:rFonts w:ascii="Times New Roman" w:eastAsia="Times New Roman" w:hAnsi="Times New Roman"/>
          <w:bCs/>
          <w:sz w:val="24"/>
        </w:rPr>
        <w:t>DPD;</w:t>
      </w:r>
    </w:p>
    <w:p w:rsidR="006800A7" w:rsidRDefault="006800A7" w:rsidP="006800A7">
      <w:pPr>
        <w:pStyle w:val="ListParagraph"/>
        <w:numPr>
          <w:ilvl w:val="0"/>
          <w:numId w:val="13"/>
        </w:numPr>
        <w:spacing w:after="0" w:line="360" w:lineRule="auto"/>
        <w:jc w:val="both"/>
        <w:rPr>
          <w:rFonts w:ascii="Times New Roman" w:eastAsia="Times New Roman" w:hAnsi="Times New Roman"/>
          <w:bCs/>
          <w:sz w:val="24"/>
        </w:rPr>
      </w:pPr>
      <w:r>
        <w:rPr>
          <w:rFonts w:ascii="Times New Roman" w:eastAsia="Times New Roman" w:hAnsi="Times New Roman"/>
          <w:bCs/>
          <w:sz w:val="24"/>
        </w:rPr>
        <w:t>President;</w:t>
      </w:r>
    </w:p>
    <w:p w:rsidR="006800A7" w:rsidRDefault="006800A7" w:rsidP="006800A7">
      <w:pPr>
        <w:pStyle w:val="ListParagraph"/>
        <w:numPr>
          <w:ilvl w:val="0"/>
          <w:numId w:val="13"/>
        </w:numPr>
        <w:spacing w:after="0" w:line="360" w:lineRule="auto"/>
        <w:jc w:val="both"/>
        <w:rPr>
          <w:rFonts w:ascii="Times New Roman" w:eastAsia="Times New Roman" w:hAnsi="Times New Roman"/>
          <w:bCs/>
          <w:sz w:val="24"/>
        </w:rPr>
      </w:pPr>
      <w:r>
        <w:rPr>
          <w:rFonts w:ascii="Times New Roman" w:eastAsia="Times New Roman" w:hAnsi="Times New Roman"/>
          <w:bCs/>
          <w:sz w:val="24"/>
        </w:rPr>
        <w:t>BPK;</w:t>
      </w:r>
    </w:p>
    <w:p w:rsidR="006800A7" w:rsidRDefault="006800A7" w:rsidP="006800A7">
      <w:pPr>
        <w:pStyle w:val="ListParagraph"/>
        <w:numPr>
          <w:ilvl w:val="0"/>
          <w:numId w:val="13"/>
        </w:numPr>
        <w:spacing w:after="0" w:line="360" w:lineRule="auto"/>
        <w:jc w:val="both"/>
        <w:rPr>
          <w:rFonts w:ascii="Times New Roman" w:eastAsia="Times New Roman" w:hAnsi="Times New Roman"/>
          <w:bCs/>
          <w:sz w:val="24"/>
        </w:rPr>
      </w:pPr>
      <w:r>
        <w:rPr>
          <w:rFonts w:ascii="Times New Roman" w:eastAsia="Times New Roman" w:hAnsi="Times New Roman"/>
          <w:bCs/>
          <w:sz w:val="24"/>
        </w:rPr>
        <w:t xml:space="preserve">Local </w:t>
      </w:r>
      <w:proofErr w:type="spellStart"/>
      <w:r>
        <w:rPr>
          <w:rFonts w:ascii="Times New Roman" w:eastAsia="Times New Roman" w:hAnsi="Times New Roman"/>
          <w:bCs/>
          <w:sz w:val="24"/>
        </w:rPr>
        <w:t>Govermment</w:t>
      </w:r>
      <w:proofErr w:type="spellEnd"/>
      <w:r>
        <w:rPr>
          <w:rFonts w:ascii="Times New Roman" w:eastAsia="Times New Roman" w:hAnsi="Times New Roman"/>
          <w:bCs/>
          <w:sz w:val="24"/>
        </w:rPr>
        <w:t>; and</w:t>
      </w:r>
    </w:p>
    <w:p w:rsidR="006800A7" w:rsidRPr="006800A7" w:rsidRDefault="006800A7" w:rsidP="006800A7">
      <w:pPr>
        <w:spacing w:after="0" w:line="360" w:lineRule="auto"/>
        <w:ind w:firstLine="426"/>
        <w:jc w:val="both"/>
        <w:rPr>
          <w:rFonts w:ascii="Times New Roman" w:eastAsia="Times New Roman" w:hAnsi="Times New Roman"/>
          <w:bCs/>
          <w:sz w:val="24"/>
        </w:rPr>
      </w:pPr>
      <w:proofErr w:type="gramStart"/>
      <w:r w:rsidRPr="006800A7">
        <w:rPr>
          <w:rFonts w:ascii="Times New Roman" w:eastAsia="Times New Roman" w:hAnsi="Times New Roman"/>
          <w:bCs/>
          <w:sz w:val="24"/>
        </w:rPr>
        <w:t>Other state institutions whose source of authority is based on the 1945 Constitution.</w:t>
      </w:r>
      <w:proofErr w:type="gramEnd"/>
      <w:r w:rsidRPr="006800A7">
        <w:t xml:space="preserve"> </w:t>
      </w:r>
      <w:r w:rsidRPr="006800A7">
        <w:rPr>
          <w:rFonts w:ascii="Times New Roman" w:eastAsia="Times New Roman" w:hAnsi="Times New Roman"/>
          <w:bCs/>
          <w:sz w:val="24"/>
        </w:rPr>
        <w:t xml:space="preserve">In contrast to the view by </w:t>
      </w:r>
      <w:proofErr w:type="spellStart"/>
      <w:r w:rsidRPr="006800A7">
        <w:rPr>
          <w:rFonts w:ascii="Times New Roman" w:eastAsia="Times New Roman" w:hAnsi="Times New Roman"/>
          <w:bCs/>
          <w:sz w:val="24"/>
        </w:rPr>
        <w:t>Jimly</w:t>
      </w:r>
      <w:proofErr w:type="spellEnd"/>
      <w:r w:rsidRPr="006800A7">
        <w:rPr>
          <w:rFonts w:ascii="Times New Roman" w:eastAsia="Times New Roman" w:hAnsi="Times New Roman"/>
          <w:bCs/>
          <w:sz w:val="24"/>
        </w:rPr>
        <w:t xml:space="preserve"> </w:t>
      </w:r>
      <w:proofErr w:type="spellStart"/>
      <w:r w:rsidRPr="006800A7">
        <w:rPr>
          <w:rFonts w:ascii="Times New Roman" w:eastAsia="Times New Roman" w:hAnsi="Times New Roman"/>
          <w:bCs/>
          <w:sz w:val="24"/>
        </w:rPr>
        <w:t>Asshiddiqie</w:t>
      </w:r>
      <w:proofErr w:type="spellEnd"/>
      <w:r w:rsidRPr="006800A7">
        <w:rPr>
          <w:rFonts w:ascii="Times New Roman" w:eastAsia="Times New Roman" w:hAnsi="Times New Roman"/>
          <w:bCs/>
          <w:sz w:val="24"/>
        </w:rPr>
        <w:t xml:space="preserve"> who stated that, there are state institutions formed through the 1945 Constitution, and some are formed based on laws and even some are formed through presidential decrees such as the Ombudsman. Because on the basis of state institutions there are those that are specifically mentioned by the 1945 Constitution and there are also state institutions that have the same constitutional importance mentioned in the 1945 Constitution.</w:t>
      </w:r>
      <w:r>
        <w:rPr>
          <w:rStyle w:val="FootnoteReference"/>
          <w:rFonts w:ascii="Times New Roman" w:eastAsia="Times New Roman" w:hAnsi="Times New Roman"/>
          <w:bCs/>
          <w:sz w:val="24"/>
        </w:rPr>
        <w:footnoteReference w:id="19"/>
      </w:r>
      <w:r>
        <w:rPr>
          <w:rFonts w:ascii="Times New Roman" w:eastAsia="Times New Roman" w:hAnsi="Times New Roman"/>
          <w:bCs/>
          <w:sz w:val="24"/>
        </w:rPr>
        <w:t xml:space="preserve"> </w:t>
      </w:r>
      <w:r w:rsidRPr="006800A7">
        <w:rPr>
          <w:rFonts w:ascii="Times New Roman" w:eastAsia="Times New Roman" w:hAnsi="Times New Roman"/>
          <w:bCs/>
          <w:sz w:val="24"/>
        </w:rPr>
        <w:t xml:space="preserve">Other state institutions are formed based on the mandate of the law or lower regulations, such as government regulations, presidential regulations, </w:t>
      </w:r>
      <w:proofErr w:type="gramStart"/>
      <w:r w:rsidRPr="006800A7">
        <w:rPr>
          <w:rFonts w:ascii="Times New Roman" w:eastAsia="Times New Roman" w:hAnsi="Times New Roman"/>
          <w:bCs/>
          <w:sz w:val="24"/>
        </w:rPr>
        <w:t>even</w:t>
      </w:r>
      <w:proofErr w:type="gramEnd"/>
      <w:r w:rsidRPr="006800A7">
        <w:rPr>
          <w:rFonts w:ascii="Times New Roman" w:eastAsia="Times New Roman" w:hAnsi="Times New Roman"/>
          <w:bCs/>
          <w:sz w:val="24"/>
        </w:rPr>
        <w:t xml:space="preserve"> presidential decrees, for example the Indonesian Child Protection Commission (KPAI) was formed based on Presidential Decree No. 77 of 2003, the Ombudsman Commission was formed based on Presidential Decree No. 44 of </w:t>
      </w:r>
    </w:p>
    <w:p w:rsidR="006800A7" w:rsidRDefault="006800A7" w:rsidP="006800A7">
      <w:pPr>
        <w:spacing w:after="0" w:line="360" w:lineRule="auto"/>
        <w:jc w:val="both"/>
        <w:rPr>
          <w:rFonts w:ascii="Times New Roman" w:eastAsia="Times New Roman" w:hAnsi="Times New Roman"/>
          <w:bCs/>
          <w:sz w:val="24"/>
        </w:rPr>
      </w:pPr>
      <w:proofErr w:type="gramStart"/>
      <w:r w:rsidRPr="006800A7">
        <w:rPr>
          <w:rFonts w:ascii="Times New Roman" w:eastAsia="Times New Roman" w:hAnsi="Times New Roman"/>
          <w:bCs/>
          <w:sz w:val="24"/>
        </w:rPr>
        <w:t>2000,</w:t>
      </w:r>
      <w:r>
        <w:rPr>
          <w:rStyle w:val="FootnoteReference"/>
          <w:rFonts w:ascii="Times New Roman" w:eastAsia="Times New Roman" w:hAnsi="Times New Roman"/>
          <w:bCs/>
          <w:sz w:val="24"/>
        </w:rPr>
        <w:footnoteReference w:id="20"/>
      </w:r>
      <w:r>
        <w:rPr>
          <w:rFonts w:ascii="Times New Roman" w:eastAsia="Times New Roman" w:hAnsi="Times New Roman"/>
          <w:bCs/>
          <w:sz w:val="24"/>
        </w:rPr>
        <w:t xml:space="preserve"> and so on.</w:t>
      </w:r>
      <w:proofErr w:type="gramEnd"/>
    </w:p>
    <w:p w:rsidR="006800A7" w:rsidRDefault="006800A7" w:rsidP="00845C1E">
      <w:pPr>
        <w:spacing w:after="0" w:line="360" w:lineRule="auto"/>
        <w:ind w:firstLine="426"/>
        <w:jc w:val="both"/>
        <w:rPr>
          <w:rFonts w:ascii="Times New Roman" w:eastAsia="Times New Roman" w:hAnsi="Times New Roman"/>
          <w:bCs/>
          <w:sz w:val="24"/>
        </w:rPr>
      </w:pPr>
      <w:r w:rsidRPr="006800A7">
        <w:rPr>
          <w:rFonts w:ascii="Times New Roman" w:eastAsia="Times New Roman" w:hAnsi="Times New Roman"/>
          <w:bCs/>
          <w:sz w:val="24"/>
        </w:rPr>
        <w:t xml:space="preserve">So what state institutions are meant by Article 16 paragraph (5) of Law No. 30 of 2014? Meanwhile, in the context of the Constitutional Court's authority to resolve disputes between </w:t>
      </w:r>
      <w:r w:rsidRPr="006800A7">
        <w:rPr>
          <w:rFonts w:ascii="Times New Roman" w:eastAsia="Times New Roman" w:hAnsi="Times New Roman"/>
          <w:bCs/>
          <w:sz w:val="24"/>
        </w:rPr>
        <w:lastRenderedPageBreak/>
        <w:t xml:space="preserve">institutions, there are 2 (two) concepts, </w:t>
      </w:r>
      <w:r w:rsidR="00845C1E">
        <w:rPr>
          <w:rFonts w:ascii="Times New Roman" w:eastAsia="Times New Roman" w:hAnsi="Times New Roman"/>
          <w:bCs/>
          <w:sz w:val="24"/>
        </w:rPr>
        <w:t>that is</w:t>
      </w:r>
      <w:r w:rsidRPr="006800A7">
        <w:rPr>
          <w:rFonts w:ascii="Times New Roman" w:eastAsia="Times New Roman" w:hAnsi="Times New Roman"/>
          <w:bCs/>
          <w:sz w:val="24"/>
        </w:rPr>
        <w:t>: state institutions and constitutional authority.</w:t>
      </w:r>
      <w:r>
        <w:rPr>
          <w:rStyle w:val="FootnoteReference"/>
          <w:rFonts w:ascii="Times New Roman" w:eastAsia="Times New Roman" w:hAnsi="Times New Roman"/>
          <w:bCs/>
          <w:sz w:val="24"/>
        </w:rPr>
        <w:footnoteReference w:id="21"/>
      </w:r>
      <w:r w:rsidR="00845C1E">
        <w:rPr>
          <w:rFonts w:ascii="Times New Roman" w:eastAsia="Times New Roman" w:hAnsi="Times New Roman"/>
          <w:bCs/>
          <w:sz w:val="24"/>
        </w:rPr>
        <w:t xml:space="preserve"> </w:t>
      </w:r>
      <w:proofErr w:type="gramStart"/>
      <w:r w:rsidR="00845C1E" w:rsidRPr="00845C1E">
        <w:rPr>
          <w:rFonts w:ascii="Times New Roman" w:eastAsia="Times New Roman" w:hAnsi="Times New Roman"/>
          <w:bCs/>
          <w:sz w:val="24"/>
        </w:rPr>
        <w:t>Because it is impossible for disputes over state institutions established by law or presidential decree to be resolved through the Constitutional Court.</w:t>
      </w:r>
      <w:proofErr w:type="gramEnd"/>
      <w:r w:rsidR="00845C1E" w:rsidRPr="00845C1E">
        <w:rPr>
          <w:rFonts w:ascii="Times New Roman" w:eastAsia="Times New Roman" w:hAnsi="Times New Roman"/>
          <w:bCs/>
          <w:sz w:val="24"/>
        </w:rPr>
        <w:t xml:space="preserve"> According to </w:t>
      </w:r>
      <w:proofErr w:type="spellStart"/>
      <w:r w:rsidR="00845C1E" w:rsidRPr="00845C1E">
        <w:rPr>
          <w:rFonts w:ascii="Times New Roman" w:eastAsia="Times New Roman" w:hAnsi="Times New Roman"/>
          <w:bCs/>
          <w:sz w:val="24"/>
        </w:rPr>
        <w:t>Saldi</w:t>
      </w:r>
      <w:proofErr w:type="spellEnd"/>
      <w:r w:rsidR="00845C1E" w:rsidRPr="00845C1E">
        <w:rPr>
          <w:rFonts w:ascii="Times New Roman" w:eastAsia="Times New Roman" w:hAnsi="Times New Roman"/>
          <w:bCs/>
          <w:sz w:val="24"/>
        </w:rPr>
        <w:t xml:space="preserve"> </w:t>
      </w:r>
      <w:proofErr w:type="spellStart"/>
      <w:r w:rsidR="00845C1E" w:rsidRPr="00845C1E">
        <w:rPr>
          <w:rFonts w:ascii="Times New Roman" w:eastAsia="Times New Roman" w:hAnsi="Times New Roman"/>
          <w:bCs/>
          <w:sz w:val="24"/>
        </w:rPr>
        <w:t>Isra</w:t>
      </w:r>
      <w:proofErr w:type="spellEnd"/>
      <w:r w:rsidR="00845C1E" w:rsidRPr="00845C1E">
        <w:rPr>
          <w:rFonts w:ascii="Times New Roman" w:eastAsia="Times New Roman" w:hAnsi="Times New Roman"/>
          <w:bCs/>
          <w:sz w:val="24"/>
        </w:rPr>
        <w:t>, the Constitutional Court is the authority of constitutional authority</w:t>
      </w:r>
      <w:r w:rsidR="00845C1E">
        <w:rPr>
          <w:rFonts w:ascii="Times New Roman" w:eastAsia="Times New Roman" w:hAnsi="Times New Roman"/>
          <w:bCs/>
          <w:sz w:val="24"/>
        </w:rPr>
        <w:t>.</w:t>
      </w:r>
      <w:r w:rsidR="00845C1E">
        <w:rPr>
          <w:rStyle w:val="FootnoteReference"/>
          <w:rFonts w:ascii="Times New Roman" w:eastAsia="Times New Roman" w:hAnsi="Times New Roman"/>
          <w:bCs/>
          <w:sz w:val="24"/>
        </w:rPr>
        <w:footnoteReference w:id="22"/>
      </w:r>
      <w:r w:rsidR="00845C1E">
        <w:rPr>
          <w:rFonts w:ascii="Times New Roman" w:eastAsia="Times New Roman" w:hAnsi="Times New Roman"/>
          <w:bCs/>
          <w:sz w:val="24"/>
        </w:rPr>
        <w:t xml:space="preserve"> </w:t>
      </w:r>
      <w:r w:rsidR="00845C1E" w:rsidRPr="00845C1E">
        <w:rPr>
          <w:rFonts w:ascii="Times New Roman" w:eastAsia="Times New Roman" w:hAnsi="Times New Roman"/>
          <w:bCs/>
          <w:sz w:val="24"/>
        </w:rPr>
        <w:t xml:space="preserve">Meanwhile, </w:t>
      </w:r>
      <w:proofErr w:type="spellStart"/>
      <w:r w:rsidR="00845C1E" w:rsidRPr="00845C1E">
        <w:rPr>
          <w:rFonts w:ascii="Times New Roman" w:eastAsia="Times New Roman" w:hAnsi="Times New Roman"/>
          <w:bCs/>
          <w:sz w:val="24"/>
        </w:rPr>
        <w:t>Mahfud</w:t>
      </w:r>
      <w:proofErr w:type="spellEnd"/>
      <w:r w:rsidR="00845C1E" w:rsidRPr="00845C1E">
        <w:rPr>
          <w:rFonts w:ascii="Times New Roman" w:eastAsia="Times New Roman" w:hAnsi="Times New Roman"/>
          <w:bCs/>
          <w:sz w:val="24"/>
        </w:rPr>
        <w:t xml:space="preserve"> MD's view states that the Constitutional Court is an absolute authority granted directly by the constitution in constitutional law</w:t>
      </w:r>
      <w:r w:rsidR="00845C1E">
        <w:rPr>
          <w:rFonts w:ascii="Times New Roman" w:eastAsia="Times New Roman" w:hAnsi="Times New Roman"/>
          <w:bCs/>
          <w:sz w:val="24"/>
        </w:rPr>
        <w:t xml:space="preserve"> </w:t>
      </w:r>
      <w:r w:rsidR="00845C1E" w:rsidRPr="00845C1E">
        <w:rPr>
          <w:rFonts w:ascii="Times New Roman" w:eastAsia="Times New Roman" w:hAnsi="Times New Roman"/>
          <w:bCs/>
          <w:sz w:val="24"/>
        </w:rPr>
        <w:t>cases</w:t>
      </w:r>
      <w:r w:rsidR="00845C1E">
        <w:rPr>
          <w:rFonts w:ascii="Times New Roman" w:eastAsia="Times New Roman" w:hAnsi="Times New Roman"/>
          <w:bCs/>
          <w:sz w:val="24"/>
        </w:rPr>
        <w:t>.</w:t>
      </w:r>
      <w:r w:rsidR="00845C1E">
        <w:rPr>
          <w:rStyle w:val="FootnoteReference"/>
          <w:rFonts w:ascii="Times New Roman" w:eastAsia="Times New Roman" w:hAnsi="Times New Roman"/>
          <w:bCs/>
          <w:sz w:val="24"/>
        </w:rPr>
        <w:footnoteReference w:id="23"/>
      </w:r>
      <w:r w:rsidR="00845C1E">
        <w:rPr>
          <w:rFonts w:ascii="Times New Roman" w:eastAsia="Times New Roman" w:hAnsi="Times New Roman"/>
          <w:bCs/>
          <w:sz w:val="24"/>
        </w:rPr>
        <w:t xml:space="preserve"> </w:t>
      </w:r>
      <w:r w:rsidR="00845C1E" w:rsidRPr="00845C1E">
        <w:rPr>
          <w:rFonts w:ascii="Times New Roman" w:eastAsia="Times New Roman" w:hAnsi="Times New Roman"/>
          <w:bCs/>
          <w:sz w:val="24"/>
        </w:rPr>
        <w:t xml:space="preserve">Therefore, Law No.30 of 2014 is a form of administration not state administration. </w:t>
      </w:r>
      <w:proofErr w:type="gramStart"/>
      <w:r w:rsidR="00845C1E" w:rsidRPr="00845C1E">
        <w:rPr>
          <w:rFonts w:ascii="Times New Roman" w:eastAsia="Times New Roman" w:hAnsi="Times New Roman"/>
          <w:bCs/>
          <w:sz w:val="24"/>
        </w:rPr>
        <w:t xml:space="preserve">So according to </w:t>
      </w:r>
      <w:proofErr w:type="spellStart"/>
      <w:r w:rsidR="00845C1E" w:rsidRPr="00845C1E">
        <w:rPr>
          <w:rFonts w:ascii="Times New Roman" w:eastAsia="Times New Roman" w:hAnsi="Times New Roman"/>
          <w:bCs/>
          <w:sz w:val="24"/>
        </w:rPr>
        <w:t>Kranenburg</w:t>
      </w:r>
      <w:proofErr w:type="spellEnd"/>
      <w:r w:rsidR="00845C1E" w:rsidRPr="00845C1E">
        <w:rPr>
          <w:rFonts w:ascii="Times New Roman" w:eastAsia="Times New Roman" w:hAnsi="Times New Roman"/>
          <w:bCs/>
          <w:sz w:val="24"/>
        </w:rPr>
        <w:t xml:space="preserve"> and </w:t>
      </w:r>
      <w:proofErr w:type="spellStart"/>
      <w:r w:rsidR="00845C1E" w:rsidRPr="00845C1E">
        <w:rPr>
          <w:rFonts w:ascii="Times New Roman" w:eastAsia="Times New Roman" w:hAnsi="Times New Roman"/>
          <w:bCs/>
          <w:sz w:val="24"/>
        </w:rPr>
        <w:t>Vagting</w:t>
      </w:r>
      <w:proofErr w:type="spellEnd"/>
      <w:r w:rsidR="00845C1E" w:rsidRPr="00845C1E">
        <w:rPr>
          <w:rFonts w:ascii="Times New Roman" w:eastAsia="Times New Roman" w:hAnsi="Times New Roman"/>
          <w:bCs/>
          <w:sz w:val="24"/>
        </w:rPr>
        <w:t xml:space="preserve"> that constitutional law discusses the general structure of the state</w:t>
      </w:r>
      <w:r w:rsidR="00845C1E">
        <w:rPr>
          <w:rFonts w:ascii="Times New Roman" w:eastAsia="Times New Roman" w:hAnsi="Times New Roman"/>
          <w:bCs/>
          <w:sz w:val="24"/>
        </w:rPr>
        <w:t xml:space="preserve">, </w:t>
      </w:r>
      <w:r w:rsidR="00845C1E">
        <w:rPr>
          <w:rStyle w:val="FootnoteReference"/>
          <w:rFonts w:ascii="Times New Roman" w:eastAsia="Times New Roman" w:hAnsi="Times New Roman"/>
          <w:bCs/>
          <w:sz w:val="24"/>
        </w:rPr>
        <w:footnoteReference w:id="24"/>
      </w:r>
      <w:r w:rsidR="00845C1E">
        <w:rPr>
          <w:rFonts w:ascii="Times New Roman" w:eastAsia="Times New Roman" w:hAnsi="Times New Roman"/>
          <w:bCs/>
          <w:sz w:val="24"/>
        </w:rPr>
        <w:t xml:space="preserve"> </w:t>
      </w:r>
      <w:r w:rsidR="00845C1E" w:rsidRPr="00845C1E">
        <w:rPr>
          <w:rFonts w:ascii="Times New Roman" w:eastAsia="Times New Roman" w:hAnsi="Times New Roman"/>
          <w:bCs/>
          <w:sz w:val="24"/>
        </w:rPr>
        <w:t xml:space="preserve">and according to Van </w:t>
      </w:r>
      <w:proofErr w:type="spellStart"/>
      <w:r w:rsidR="00845C1E" w:rsidRPr="00845C1E">
        <w:rPr>
          <w:rFonts w:ascii="Times New Roman" w:eastAsia="Times New Roman" w:hAnsi="Times New Roman"/>
          <w:bCs/>
          <w:sz w:val="24"/>
        </w:rPr>
        <w:t>Wijk</w:t>
      </w:r>
      <w:proofErr w:type="spellEnd"/>
      <w:r w:rsidR="00845C1E" w:rsidRPr="00845C1E">
        <w:rPr>
          <w:rFonts w:ascii="Times New Roman" w:eastAsia="Times New Roman" w:hAnsi="Times New Roman"/>
          <w:bCs/>
          <w:sz w:val="24"/>
        </w:rPr>
        <w:t xml:space="preserve"> that administrative law is a juridical instrument regarding government activities.</w:t>
      </w:r>
      <w:proofErr w:type="gramEnd"/>
      <w:r w:rsidR="00845C1E">
        <w:rPr>
          <w:rStyle w:val="FootnoteReference"/>
          <w:rFonts w:ascii="Times New Roman" w:eastAsia="Times New Roman" w:hAnsi="Times New Roman"/>
          <w:bCs/>
          <w:sz w:val="24"/>
        </w:rPr>
        <w:footnoteReference w:id="25"/>
      </w:r>
    </w:p>
    <w:p w:rsidR="00845C1E" w:rsidRDefault="00845C1E" w:rsidP="00845C1E">
      <w:pPr>
        <w:spacing w:after="0" w:line="360" w:lineRule="auto"/>
        <w:ind w:firstLine="567"/>
        <w:jc w:val="both"/>
        <w:rPr>
          <w:rFonts w:ascii="Times New Roman" w:hAnsi="Times New Roman" w:cs="Times New Roman"/>
          <w:sz w:val="24"/>
          <w:szCs w:val="24"/>
        </w:rPr>
      </w:pPr>
      <w:proofErr w:type="gramStart"/>
      <w:r w:rsidRPr="00845C1E">
        <w:rPr>
          <w:rFonts w:ascii="Times New Roman" w:hAnsi="Times New Roman" w:cs="Times New Roman"/>
          <w:sz w:val="24"/>
          <w:szCs w:val="24"/>
        </w:rPr>
        <w:t>Furthermore, regarding the application of Article 16 paragraph (6) of Law No. 30 of 2014 which explains; "regarding disputes over authority that cause losses to state finances and assets and the environment are resolved in accordance with statutory provisions".</w:t>
      </w:r>
      <w:proofErr w:type="gramEnd"/>
      <w:r w:rsidRPr="00845C1E">
        <w:rPr>
          <w:rFonts w:ascii="Times New Roman" w:hAnsi="Times New Roman" w:cs="Times New Roman"/>
          <w:sz w:val="24"/>
          <w:szCs w:val="24"/>
        </w:rPr>
        <w:t xml:space="preserve"> Regarding the application of this article, there are no further rules regarding this matter. So if it is not possible to apply, then blank delegation should be avoided in the formation of laws and regulations. Blank delegation itself is defined as the existence of further rules governing the matter. </w:t>
      </w:r>
      <w:proofErr w:type="gramStart"/>
      <w:r w:rsidRPr="00845C1E">
        <w:rPr>
          <w:rFonts w:ascii="Times New Roman" w:hAnsi="Times New Roman" w:cs="Times New Roman"/>
          <w:sz w:val="24"/>
          <w:szCs w:val="24"/>
        </w:rPr>
        <w:t>According to Annex II of Law Number 12/2011 on the Formation of Legislation which states: "In the delegation of regulatory authority, there shall be no blank delegation".</w:t>
      </w:r>
      <w:proofErr w:type="gramEnd"/>
      <w:r w:rsidRPr="00845C1E">
        <w:rPr>
          <w:rFonts w:ascii="Times New Roman" w:hAnsi="Times New Roman" w:cs="Times New Roman"/>
          <w:sz w:val="24"/>
          <w:szCs w:val="24"/>
        </w:rPr>
        <w:t xml:space="preserve"> For example: further regulated through government regulations. As well as the above provisions which are a form of blank </w:t>
      </w:r>
      <w:proofErr w:type="gramStart"/>
      <w:r w:rsidRPr="00845C1E">
        <w:rPr>
          <w:rFonts w:ascii="Times New Roman" w:hAnsi="Times New Roman" w:cs="Times New Roman"/>
          <w:sz w:val="24"/>
          <w:szCs w:val="24"/>
        </w:rPr>
        <w:t>delegation.</w:t>
      </w:r>
      <w:proofErr w:type="gramEnd"/>
      <w:r>
        <w:rPr>
          <w:rFonts w:ascii="Times New Roman" w:hAnsi="Times New Roman" w:cs="Times New Roman"/>
          <w:sz w:val="24"/>
          <w:szCs w:val="24"/>
        </w:rPr>
        <w:t xml:space="preserve"> </w:t>
      </w:r>
      <w:r w:rsidRPr="00845C1E">
        <w:rPr>
          <w:rFonts w:ascii="Times New Roman" w:hAnsi="Times New Roman" w:cs="Times New Roman"/>
          <w:sz w:val="24"/>
          <w:szCs w:val="24"/>
        </w:rPr>
        <w:t xml:space="preserve">The absence of application of these rules, of course, results in the constraints of justice which efforts to realize it based on positive law to the ideals of law, according to Maria Farida </w:t>
      </w:r>
      <w:proofErr w:type="spellStart"/>
      <w:r w:rsidRPr="00845C1E">
        <w:rPr>
          <w:rFonts w:ascii="Times New Roman" w:hAnsi="Times New Roman" w:cs="Times New Roman"/>
          <w:sz w:val="24"/>
          <w:szCs w:val="24"/>
        </w:rPr>
        <w:t>Indarti</w:t>
      </w:r>
      <w:proofErr w:type="spellEnd"/>
      <w:r w:rsidRPr="00845C1E">
        <w:rPr>
          <w:rFonts w:ascii="Times New Roman" w:hAnsi="Times New Roman" w:cs="Times New Roman"/>
          <w:sz w:val="24"/>
          <w:szCs w:val="24"/>
        </w:rPr>
        <w:t>, states that legal ideals are a construction of the goals of law to the ideals desired by society</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6"/>
      </w:r>
    </w:p>
    <w:p w:rsidR="00A20F91" w:rsidRDefault="00A20F91" w:rsidP="00845C1E">
      <w:pPr>
        <w:spacing w:after="0" w:line="360" w:lineRule="auto"/>
        <w:ind w:firstLine="567"/>
        <w:jc w:val="both"/>
        <w:rPr>
          <w:rFonts w:ascii="Times New Roman" w:hAnsi="Times New Roman" w:cs="Times New Roman"/>
          <w:sz w:val="24"/>
          <w:szCs w:val="24"/>
        </w:rPr>
      </w:pPr>
    </w:p>
    <w:p w:rsidR="00A20F91" w:rsidRDefault="00A20F91" w:rsidP="00845C1E">
      <w:pPr>
        <w:spacing w:after="0" w:line="360" w:lineRule="auto"/>
        <w:ind w:firstLine="567"/>
        <w:jc w:val="both"/>
        <w:rPr>
          <w:rFonts w:ascii="Times New Roman" w:hAnsi="Times New Roman" w:cs="Times New Roman"/>
          <w:sz w:val="24"/>
          <w:szCs w:val="24"/>
        </w:rPr>
      </w:pPr>
    </w:p>
    <w:p w:rsidR="00A20F91" w:rsidRDefault="00A20F91" w:rsidP="00845C1E">
      <w:pPr>
        <w:spacing w:after="0" w:line="360" w:lineRule="auto"/>
        <w:ind w:firstLine="567"/>
        <w:jc w:val="both"/>
        <w:rPr>
          <w:rFonts w:ascii="Times New Roman" w:hAnsi="Times New Roman" w:cs="Times New Roman"/>
          <w:sz w:val="24"/>
          <w:szCs w:val="24"/>
        </w:rPr>
      </w:pPr>
    </w:p>
    <w:p w:rsidR="003A7FC5" w:rsidRPr="00DF5B00" w:rsidRDefault="003A7FC5" w:rsidP="003A7FC5">
      <w:pPr>
        <w:spacing w:after="0" w:line="360" w:lineRule="auto"/>
        <w:jc w:val="both"/>
        <w:rPr>
          <w:rFonts w:ascii="Times New Roman" w:eastAsia="Times New Roman" w:hAnsi="Times New Roman"/>
          <w:b/>
          <w:sz w:val="24"/>
        </w:rPr>
      </w:pPr>
      <w:r>
        <w:rPr>
          <w:rFonts w:ascii="Times New Roman" w:eastAsia="Times New Roman" w:hAnsi="Times New Roman"/>
          <w:b/>
          <w:sz w:val="24"/>
        </w:rPr>
        <w:lastRenderedPageBreak/>
        <w:t xml:space="preserve">2. </w:t>
      </w:r>
      <w:proofErr w:type="spellStart"/>
      <w:r w:rsidR="00A20F91">
        <w:rPr>
          <w:rFonts w:ascii="Times New Roman" w:eastAsia="Times New Roman" w:hAnsi="Times New Roman"/>
          <w:b/>
          <w:sz w:val="24"/>
        </w:rPr>
        <w:t>Goverment</w:t>
      </w:r>
      <w:proofErr w:type="spellEnd"/>
      <w:r w:rsidR="00A20F91">
        <w:rPr>
          <w:rFonts w:ascii="Times New Roman" w:eastAsia="Times New Roman" w:hAnsi="Times New Roman"/>
          <w:b/>
          <w:sz w:val="24"/>
        </w:rPr>
        <w:t xml:space="preserve"> Action and Discretion Issues</w:t>
      </w:r>
    </w:p>
    <w:p w:rsidR="00A20F91" w:rsidRDefault="00A20F91" w:rsidP="003A7FC5">
      <w:pPr>
        <w:spacing w:after="0" w:line="360" w:lineRule="auto"/>
        <w:ind w:firstLine="567"/>
        <w:jc w:val="both"/>
        <w:rPr>
          <w:rFonts w:ascii="Times New Roman" w:hAnsi="Times New Roman" w:cs="Times New Roman"/>
          <w:sz w:val="24"/>
          <w:szCs w:val="24"/>
        </w:rPr>
      </w:pPr>
      <w:r w:rsidRPr="00A20F91">
        <w:rPr>
          <w:rFonts w:ascii="Times New Roman" w:hAnsi="Times New Roman" w:cs="Times New Roman"/>
          <w:sz w:val="24"/>
          <w:szCs w:val="24"/>
        </w:rPr>
        <w:t xml:space="preserve">Based on Article 1 point 8 of Law No. 30 of 2014, it explains that: government administration actions are actions of state administrative officials or other state administrators to do/not do a concrete action in the context of government administration. There are 2 (two) problems regarding this rule, </w:t>
      </w:r>
      <w:r>
        <w:rPr>
          <w:rFonts w:ascii="Times New Roman" w:hAnsi="Times New Roman" w:cs="Times New Roman"/>
          <w:sz w:val="24"/>
          <w:szCs w:val="24"/>
        </w:rPr>
        <w:t>that is</w:t>
      </w:r>
      <w:r w:rsidRPr="00A20F91">
        <w:rPr>
          <w:rFonts w:ascii="Times New Roman" w:hAnsi="Times New Roman" w:cs="Times New Roman"/>
          <w:sz w:val="24"/>
          <w:szCs w:val="24"/>
        </w:rPr>
        <w:t>:</w:t>
      </w:r>
    </w:p>
    <w:p w:rsidR="00A20F91" w:rsidRPr="00A20F91" w:rsidRDefault="00A20F91" w:rsidP="00A20F91">
      <w:pPr>
        <w:pStyle w:val="ListParagraph"/>
        <w:numPr>
          <w:ilvl w:val="0"/>
          <w:numId w:val="15"/>
        </w:numPr>
        <w:spacing w:after="0" w:line="360" w:lineRule="auto"/>
        <w:jc w:val="both"/>
        <w:rPr>
          <w:rFonts w:ascii="Times New Roman" w:hAnsi="Times New Roman" w:cs="Times New Roman"/>
          <w:sz w:val="24"/>
          <w:szCs w:val="24"/>
        </w:rPr>
      </w:pPr>
      <w:r w:rsidRPr="00A20F91">
        <w:rPr>
          <w:rFonts w:ascii="Times New Roman" w:hAnsi="Times New Roman" w:cs="Times New Roman"/>
          <w:sz w:val="24"/>
          <w:szCs w:val="24"/>
        </w:rPr>
        <w:t xml:space="preserve">Concrete actions; and </w:t>
      </w:r>
    </w:p>
    <w:p w:rsidR="00A20F91" w:rsidRPr="00A20F91" w:rsidRDefault="00A20F91" w:rsidP="00A20F91">
      <w:pPr>
        <w:pStyle w:val="ListParagraph"/>
        <w:numPr>
          <w:ilvl w:val="0"/>
          <w:numId w:val="15"/>
        </w:numPr>
        <w:spacing w:after="0" w:line="360" w:lineRule="auto"/>
        <w:jc w:val="both"/>
        <w:rPr>
          <w:rFonts w:ascii="Times New Roman" w:hAnsi="Times New Roman" w:cs="Times New Roman"/>
          <w:sz w:val="24"/>
          <w:szCs w:val="24"/>
        </w:rPr>
      </w:pPr>
      <w:r w:rsidRPr="00A20F91">
        <w:rPr>
          <w:rFonts w:ascii="Times New Roman" w:hAnsi="Times New Roman" w:cs="Times New Roman"/>
          <w:sz w:val="24"/>
          <w:szCs w:val="24"/>
        </w:rPr>
        <w:t xml:space="preserve">Other state officials. </w:t>
      </w:r>
    </w:p>
    <w:p w:rsidR="00A20F91" w:rsidRDefault="00A20F91" w:rsidP="00A20F91">
      <w:pPr>
        <w:spacing w:after="0" w:line="360" w:lineRule="auto"/>
        <w:jc w:val="both"/>
        <w:rPr>
          <w:rFonts w:ascii="Times New Roman" w:hAnsi="Times New Roman" w:cs="Times New Roman"/>
          <w:sz w:val="24"/>
          <w:szCs w:val="24"/>
        </w:rPr>
      </w:pPr>
      <w:r w:rsidRPr="00A20F91">
        <w:rPr>
          <w:rFonts w:ascii="Times New Roman" w:hAnsi="Times New Roman" w:cs="Times New Roman"/>
          <w:sz w:val="24"/>
          <w:szCs w:val="24"/>
        </w:rPr>
        <w:t>In theory, administrative actions are general regulations or decrees that apply to an individual or group (legal entity).</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w:t>
      </w:r>
      <w:r w:rsidRPr="00A20F91">
        <w:rPr>
          <w:rFonts w:ascii="Times New Roman" w:hAnsi="Times New Roman" w:cs="Times New Roman"/>
          <w:sz w:val="24"/>
          <w:szCs w:val="24"/>
        </w:rPr>
        <w:t xml:space="preserve">Then also that, all forms of government administrative decisions and / or actions must be based on constitutional democracy which is a reflection of </w:t>
      </w:r>
      <w:proofErr w:type="spellStart"/>
      <w:r w:rsidRPr="00A20F91">
        <w:rPr>
          <w:rFonts w:ascii="Times New Roman" w:hAnsi="Times New Roman" w:cs="Times New Roman"/>
          <w:sz w:val="24"/>
          <w:szCs w:val="24"/>
        </w:rPr>
        <w:t>Pancasila</w:t>
      </w:r>
      <w:proofErr w:type="spellEnd"/>
      <w:r w:rsidRPr="00A20F91">
        <w:rPr>
          <w:rFonts w:ascii="Times New Roman" w:hAnsi="Times New Roman" w:cs="Times New Roman"/>
          <w:sz w:val="24"/>
          <w:szCs w:val="24"/>
        </w:rPr>
        <w:t xml:space="preserve"> as a state ideology. Decisions and/or actions against citizens must be in accordance with the provisions of laws and regulations and general principles of good governance.</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w:t>
      </w:r>
      <w:r w:rsidRPr="00A20F91">
        <w:rPr>
          <w:rFonts w:ascii="Times New Roman" w:hAnsi="Times New Roman" w:cs="Times New Roman"/>
          <w:sz w:val="24"/>
          <w:szCs w:val="24"/>
        </w:rPr>
        <w:t xml:space="preserve">Regarding concrete actions, this is ambiguous in the definition, which is certainly contrary to Article 87 letter </w:t>
      </w:r>
      <w:proofErr w:type="gramStart"/>
      <w:r w:rsidRPr="00A20F91">
        <w:rPr>
          <w:rFonts w:ascii="Times New Roman" w:hAnsi="Times New Roman" w:cs="Times New Roman"/>
          <w:sz w:val="24"/>
          <w:szCs w:val="24"/>
        </w:rPr>
        <w:t>a of</w:t>
      </w:r>
      <w:proofErr w:type="gramEnd"/>
      <w:r w:rsidRPr="00A20F91">
        <w:rPr>
          <w:rFonts w:ascii="Times New Roman" w:hAnsi="Times New Roman" w:cs="Times New Roman"/>
          <w:sz w:val="24"/>
          <w:szCs w:val="24"/>
        </w:rPr>
        <w:t xml:space="preserve"> the regulation which states: written stipulations that include factual actions. Theoretically, there are 2 (two) types of government actions:</w:t>
      </w:r>
      <w:r>
        <w:rPr>
          <w:rStyle w:val="FootnoteReference"/>
          <w:rFonts w:ascii="Times New Roman" w:hAnsi="Times New Roman" w:cs="Times New Roman"/>
          <w:sz w:val="24"/>
          <w:szCs w:val="24"/>
        </w:rPr>
        <w:footnoteReference w:id="29"/>
      </w:r>
    </w:p>
    <w:p w:rsidR="00A20F91" w:rsidRPr="00A20F91" w:rsidRDefault="00A20F91" w:rsidP="00A20F91">
      <w:pPr>
        <w:pStyle w:val="ListParagraph"/>
        <w:numPr>
          <w:ilvl w:val="0"/>
          <w:numId w:val="17"/>
        </w:numPr>
        <w:spacing w:after="0" w:line="360" w:lineRule="auto"/>
        <w:ind w:left="993"/>
        <w:jc w:val="both"/>
        <w:rPr>
          <w:rFonts w:ascii="Times New Roman" w:hAnsi="Times New Roman" w:cs="Times New Roman"/>
          <w:sz w:val="24"/>
          <w:szCs w:val="24"/>
        </w:rPr>
      </w:pPr>
      <w:r w:rsidRPr="00A20F91">
        <w:rPr>
          <w:rFonts w:ascii="Times New Roman" w:hAnsi="Times New Roman" w:cs="Times New Roman"/>
          <w:sz w:val="24"/>
          <w:szCs w:val="24"/>
        </w:rPr>
        <w:t>Legal actions (</w:t>
      </w:r>
      <w:proofErr w:type="spellStart"/>
      <w:r w:rsidRPr="00A20F91">
        <w:rPr>
          <w:rFonts w:ascii="Times New Roman" w:hAnsi="Times New Roman" w:cs="Times New Roman"/>
          <w:i/>
          <w:iCs/>
          <w:sz w:val="24"/>
          <w:szCs w:val="24"/>
        </w:rPr>
        <w:t>rechts</w:t>
      </w:r>
      <w:proofErr w:type="spellEnd"/>
      <w:r w:rsidRPr="00A20F91">
        <w:rPr>
          <w:rFonts w:ascii="Times New Roman" w:hAnsi="Times New Roman" w:cs="Times New Roman"/>
          <w:i/>
          <w:iCs/>
          <w:sz w:val="24"/>
          <w:szCs w:val="24"/>
        </w:rPr>
        <w:t xml:space="preserve"> </w:t>
      </w:r>
      <w:proofErr w:type="spellStart"/>
      <w:r w:rsidRPr="00A20F91">
        <w:rPr>
          <w:rFonts w:ascii="Times New Roman" w:hAnsi="Times New Roman" w:cs="Times New Roman"/>
          <w:i/>
          <w:iCs/>
          <w:sz w:val="24"/>
          <w:szCs w:val="24"/>
        </w:rPr>
        <w:t>handeingen</w:t>
      </w:r>
      <w:proofErr w:type="spellEnd"/>
      <w:r w:rsidRPr="00A20F91">
        <w:rPr>
          <w:rFonts w:ascii="Times New Roman" w:hAnsi="Times New Roman" w:cs="Times New Roman"/>
          <w:sz w:val="24"/>
          <w:szCs w:val="24"/>
        </w:rPr>
        <w:t xml:space="preserve">); and </w:t>
      </w:r>
    </w:p>
    <w:p w:rsidR="00A20F91" w:rsidRPr="00A20F91" w:rsidRDefault="00A20F91" w:rsidP="00A20F91">
      <w:pPr>
        <w:pStyle w:val="ListParagraph"/>
        <w:numPr>
          <w:ilvl w:val="0"/>
          <w:numId w:val="17"/>
        </w:numPr>
        <w:spacing w:after="0" w:line="360" w:lineRule="auto"/>
        <w:ind w:left="993"/>
        <w:jc w:val="both"/>
        <w:rPr>
          <w:rFonts w:ascii="Times New Roman" w:hAnsi="Times New Roman" w:cs="Times New Roman"/>
          <w:sz w:val="24"/>
          <w:szCs w:val="24"/>
        </w:rPr>
      </w:pPr>
      <w:r w:rsidRPr="00A20F91">
        <w:rPr>
          <w:rFonts w:ascii="Times New Roman" w:hAnsi="Times New Roman" w:cs="Times New Roman"/>
          <w:sz w:val="24"/>
          <w:szCs w:val="24"/>
        </w:rPr>
        <w:t>Factual actions (</w:t>
      </w:r>
      <w:proofErr w:type="spellStart"/>
      <w:r w:rsidRPr="00A20F91">
        <w:rPr>
          <w:rFonts w:ascii="Times New Roman" w:hAnsi="Times New Roman" w:cs="Times New Roman"/>
          <w:i/>
          <w:iCs/>
          <w:sz w:val="24"/>
          <w:szCs w:val="24"/>
        </w:rPr>
        <w:t>feitelijke</w:t>
      </w:r>
      <w:proofErr w:type="spellEnd"/>
      <w:r w:rsidRPr="00A20F91">
        <w:rPr>
          <w:rFonts w:ascii="Times New Roman" w:hAnsi="Times New Roman" w:cs="Times New Roman"/>
          <w:i/>
          <w:iCs/>
          <w:sz w:val="24"/>
          <w:szCs w:val="24"/>
        </w:rPr>
        <w:t xml:space="preserve"> </w:t>
      </w:r>
      <w:proofErr w:type="spellStart"/>
      <w:r w:rsidRPr="00A20F91">
        <w:rPr>
          <w:rFonts w:ascii="Times New Roman" w:hAnsi="Times New Roman" w:cs="Times New Roman"/>
          <w:i/>
          <w:iCs/>
          <w:sz w:val="24"/>
          <w:szCs w:val="24"/>
        </w:rPr>
        <w:t>handelingen</w:t>
      </w:r>
      <w:proofErr w:type="spellEnd"/>
      <w:r w:rsidRPr="00A20F91">
        <w:rPr>
          <w:rFonts w:ascii="Times New Roman" w:hAnsi="Times New Roman" w:cs="Times New Roman"/>
          <w:sz w:val="24"/>
          <w:szCs w:val="24"/>
        </w:rPr>
        <w:t xml:space="preserve">). </w:t>
      </w:r>
    </w:p>
    <w:p w:rsidR="00A20F91" w:rsidRDefault="00A20F91" w:rsidP="00A20F91">
      <w:pPr>
        <w:spacing w:after="0" w:line="360" w:lineRule="auto"/>
        <w:jc w:val="both"/>
        <w:rPr>
          <w:rFonts w:ascii="Times New Roman" w:hAnsi="Times New Roman" w:cs="Times New Roman"/>
          <w:sz w:val="24"/>
          <w:szCs w:val="24"/>
        </w:rPr>
      </w:pPr>
      <w:r w:rsidRPr="00A20F91">
        <w:rPr>
          <w:rFonts w:ascii="Times New Roman" w:hAnsi="Times New Roman" w:cs="Times New Roman"/>
          <w:sz w:val="24"/>
          <w:szCs w:val="24"/>
        </w:rPr>
        <w:t xml:space="preserve">Regarding this factual action, there are several opinions, according to </w:t>
      </w:r>
      <w:proofErr w:type="spellStart"/>
      <w:r w:rsidRPr="00A20F91">
        <w:rPr>
          <w:rFonts w:ascii="Times New Roman" w:hAnsi="Times New Roman" w:cs="Times New Roman"/>
          <w:b/>
          <w:bCs/>
          <w:sz w:val="24"/>
          <w:szCs w:val="24"/>
        </w:rPr>
        <w:t>Philipus</w:t>
      </w:r>
      <w:proofErr w:type="spellEnd"/>
      <w:r w:rsidRPr="00A20F91">
        <w:rPr>
          <w:rFonts w:ascii="Times New Roman" w:hAnsi="Times New Roman" w:cs="Times New Roman"/>
          <w:b/>
          <w:bCs/>
          <w:sz w:val="24"/>
          <w:szCs w:val="24"/>
        </w:rPr>
        <w:t xml:space="preserve"> M. </w:t>
      </w:r>
      <w:proofErr w:type="spellStart"/>
      <w:r w:rsidRPr="00A20F91">
        <w:rPr>
          <w:rFonts w:ascii="Times New Roman" w:hAnsi="Times New Roman" w:cs="Times New Roman"/>
          <w:b/>
          <w:bCs/>
          <w:sz w:val="24"/>
          <w:szCs w:val="24"/>
        </w:rPr>
        <w:t>Hadjon</w:t>
      </w:r>
      <w:proofErr w:type="spellEnd"/>
      <w:r w:rsidRPr="00A20F91">
        <w:rPr>
          <w:rFonts w:ascii="Times New Roman" w:hAnsi="Times New Roman" w:cs="Times New Roman"/>
          <w:sz w:val="24"/>
          <w:szCs w:val="24"/>
        </w:rPr>
        <w:t xml:space="preserve"> that factual actions are material actions of state administrative bodies known as </w:t>
      </w:r>
      <w:proofErr w:type="spellStart"/>
      <w:r w:rsidRPr="00A20F91">
        <w:rPr>
          <w:rFonts w:ascii="Times New Roman" w:hAnsi="Times New Roman" w:cs="Times New Roman"/>
          <w:i/>
          <w:iCs/>
          <w:sz w:val="24"/>
          <w:szCs w:val="24"/>
        </w:rPr>
        <w:t>feitelijke</w:t>
      </w:r>
      <w:proofErr w:type="spellEnd"/>
      <w:r w:rsidRPr="00A20F91">
        <w:rPr>
          <w:rFonts w:ascii="Times New Roman" w:hAnsi="Times New Roman" w:cs="Times New Roman"/>
          <w:i/>
          <w:iCs/>
          <w:sz w:val="24"/>
          <w:szCs w:val="24"/>
        </w:rPr>
        <w:t xml:space="preserve"> </w:t>
      </w:r>
      <w:proofErr w:type="spellStart"/>
      <w:r w:rsidRPr="00A20F91">
        <w:rPr>
          <w:rFonts w:ascii="Times New Roman" w:hAnsi="Times New Roman" w:cs="Times New Roman"/>
          <w:i/>
          <w:iCs/>
          <w:sz w:val="24"/>
          <w:szCs w:val="24"/>
        </w:rPr>
        <w:t>handelingen</w:t>
      </w:r>
      <w:proofErr w:type="spellEnd"/>
      <w:r w:rsidRPr="00A20F91">
        <w:rPr>
          <w:rFonts w:ascii="Times New Roman" w:hAnsi="Times New Roman" w:cs="Times New Roman"/>
          <w:i/>
          <w:iCs/>
          <w:sz w:val="24"/>
          <w:szCs w:val="24"/>
        </w:rPr>
        <w:t xml:space="preserve"> </w:t>
      </w:r>
      <w:r w:rsidRPr="00A20F91">
        <w:rPr>
          <w:rFonts w:ascii="Times New Roman" w:hAnsi="Times New Roman" w:cs="Times New Roman"/>
          <w:sz w:val="24"/>
          <w:szCs w:val="24"/>
        </w:rPr>
        <w:t>or factual actions;</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w:t>
      </w:r>
      <w:r w:rsidRPr="00A20F91">
        <w:rPr>
          <w:rFonts w:ascii="Times New Roman" w:hAnsi="Times New Roman" w:cs="Times New Roman"/>
          <w:sz w:val="24"/>
          <w:szCs w:val="24"/>
        </w:rPr>
        <w:t xml:space="preserve">according to </w:t>
      </w:r>
      <w:proofErr w:type="spellStart"/>
      <w:r w:rsidRPr="00A20F91">
        <w:rPr>
          <w:rFonts w:ascii="Times New Roman" w:hAnsi="Times New Roman" w:cs="Times New Roman"/>
          <w:b/>
          <w:bCs/>
          <w:sz w:val="24"/>
          <w:szCs w:val="24"/>
        </w:rPr>
        <w:t>Ridwan</w:t>
      </w:r>
      <w:proofErr w:type="spellEnd"/>
      <w:r w:rsidRPr="00A20F91">
        <w:rPr>
          <w:rFonts w:ascii="Times New Roman" w:hAnsi="Times New Roman" w:cs="Times New Roman"/>
          <w:b/>
          <w:bCs/>
          <w:sz w:val="24"/>
          <w:szCs w:val="24"/>
        </w:rPr>
        <w:t xml:space="preserve"> HR</w:t>
      </w:r>
      <w:r w:rsidRPr="00A20F91">
        <w:rPr>
          <w:rFonts w:ascii="Times New Roman" w:hAnsi="Times New Roman" w:cs="Times New Roman"/>
          <w:sz w:val="24"/>
          <w:szCs w:val="24"/>
        </w:rPr>
        <w:t xml:space="preserve"> that, real actions (</w:t>
      </w:r>
      <w:proofErr w:type="spellStart"/>
      <w:r w:rsidRPr="00A20F91">
        <w:rPr>
          <w:rFonts w:ascii="Times New Roman" w:hAnsi="Times New Roman" w:cs="Times New Roman"/>
          <w:i/>
          <w:iCs/>
          <w:sz w:val="24"/>
          <w:szCs w:val="24"/>
        </w:rPr>
        <w:t>feitelijke</w:t>
      </w:r>
      <w:proofErr w:type="spellEnd"/>
      <w:r w:rsidRPr="00A20F91">
        <w:rPr>
          <w:rFonts w:ascii="Times New Roman" w:hAnsi="Times New Roman" w:cs="Times New Roman"/>
          <w:i/>
          <w:iCs/>
          <w:sz w:val="24"/>
          <w:szCs w:val="24"/>
        </w:rPr>
        <w:t xml:space="preserve"> </w:t>
      </w:r>
      <w:proofErr w:type="spellStart"/>
      <w:r w:rsidRPr="00A20F91">
        <w:rPr>
          <w:rFonts w:ascii="Times New Roman" w:hAnsi="Times New Roman" w:cs="Times New Roman"/>
          <w:i/>
          <w:iCs/>
          <w:sz w:val="24"/>
          <w:szCs w:val="24"/>
        </w:rPr>
        <w:t>handelingen</w:t>
      </w:r>
      <w:proofErr w:type="spellEnd"/>
      <w:r w:rsidRPr="00A20F91">
        <w:rPr>
          <w:rFonts w:ascii="Times New Roman" w:hAnsi="Times New Roman" w:cs="Times New Roman"/>
          <w:sz w:val="24"/>
          <w:szCs w:val="24"/>
        </w:rPr>
        <w:t>) are actions that have no relevance to the law and do not cause legal consequences;</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w:t>
      </w:r>
      <w:r w:rsidRPr="00A20F91">
        <w:rPr>
          <w:rFonts w:ascii="Times New Roman" w:hAnsi="Times New Roman" w:cs="Times New Roman"/>
          <w:sz w:val="24"/>
          <w:szCs w:val="24"/>
        </w:rPr>
        <w:t xml:space="preserve">according to </w:t>
      </w:r>
      <w:proofErr w:type="spellStart"/>
      <w:r w:rsidRPr="00A20F91">
        <w:rPr>
          <w:rFonts w:ascii="Times New Roman" w:hAnsi="Times New Roman" w:cs="Times New Roman"/>
          <w:b/>
          <w:bCs/>
          <w:sz w:val="24"/>
          <w:szCs w:val="24"/>
        </w:rPr>
        <w:t>Kuntjoro</w:t>
      </w:r>
      <w:proofErr w:type="spellEnd"/>
      <w:r w:rsidRPr="00A20F91">
        <w:rPr>
          <w:rFonts w:ascii="Times New Roman" w:hAnsi="Times New Roman" w:cs="Times New Roman"/>
          <w:b/>
          <w:bCs/>
          <w:sz w:val="24"/>
          <w:szCs w:val="24"/>
        </w:rPr>
        <w:t xml:space="preserve"> </w:t>
      </w:r>
      <w:proofErr w:type="spellStart"/>
      <w:r w:rsidRPr="00A20F91">
        <w:rPr>
          <w:rFonts w:ascii="Times New Roman" w:hAnsi="Times New Roman" w:cs="Times New Roman"/>
          <w:b/>
          <w:bCs/>
          <w:sz w:val="24"/>
          <w:szCs w:val="24"/>
        </w:rPr>
        <w:t>Purbopranoto</w:t>
      </w:r>
      <w:proofErr w:type="spellEnd"/>
      <w:r w:rsidRPr="00A20F91">
        <w:rPr>
          <w:rFonts w:ascii="Times New Roman" w:hAnsi="Times New Roman" w:cs="Times New Roman"/>
          <w:b/>
          <w:bCs/>
          <w:sz w:val="24"/>
          <w:szCs w:val="24"/>
        </w:rPr>
        <w:t>,</w:t>
      </w:r>
      <w:r w:rsidRPr="00A20F91">
        <w:rPr>
          <w:rFonts w:ascii="Times New Roman" w:hAnsi="Times New Roman" w:cs="Times New Roman"/>
          <w:sz w:val="24"/>
          <w:szCs w:val="24"/>
        </w:rPr>
        <w:t xml:space="preserve"> that government action is based on facts;</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w:t>
      </w:r>
      <w:proofErr w:type="spellStart"/>
      <w:r w:rsidRPr="00A20F91">
        <w:rPr>
          <w:rFonts w:ascii="Times New Roman" w:hAnsi="Times New Roman" w:cs="Times New Roman"/>
          <w:b/>
          <w:bCs/>
          <w:sz w:val="24"/>
          <w:szCs w:val="24"/>
        </w:rPr>
        <w:t>Riawan</w:t>
      </w:r>
      <w:proofErr w:type="spellEnd"/>
      <w:r w:rsidRPr="00A20F91">
        <w:rPr>
          <w:rFonts w:ascii="Times New Roman" w:hAnsi="Times New Roman" w:cs="Times New Roman"/>
          <w:b/>
          <w:bCs/>
          <w:sz w:val="24"/>
          <w:szCs w:val="24"/>
        </w:rPr>
        <w:t xml:space="preserve"> </w:t>
      </w:r>
      <w:proofErr w:type="spellStart"/>
      <w:r w:rsidRPr="00A20F91">
        <w:rPr>
          <w:rFonts w:ascii="Times New Roman" w:hAnsi="Times New Roman" w:cs="Times New Roman"/>
          <w:b/>
          <w:bCs/>
          <w:sz w:val="24"/>
          <w:szCs w:val="24"/>
        </w:rPr>
        <w:t>Tjandra</w:t>
      </w:r>
      <w:proofErr w:type="spellEnd"/>
      <w:r w:rsidRPr="00A20F91">
        <w:rPr>
          <w:rFonts w:ascii="Times New Roman" w:hAnsi="Times New Roman" w:cs="Times New Roman"/>
          <w:sz w:val="24"/>
          <w:szCs w:val="24"/>
        </w:rPr>
        <w:t>, factual / material actions are actions taken by the government in order to serve the factual / material needs of citizens and are not intended to cause legal consequences.</w:t>
      </w:r>
      <w:r>
        <w:rPr>
          <w:rStyle w:val="FootnoteReference"/>
          <w:rFonts w:ascii="Times New Roman" w:hAnsi="Times New Roman" w:cs="Times New Roman"/>
          <w:sz w:val="24"/>
          <w:szCs w:val="24"/>
        </w:rPr>
        <w:footnoteReference w:id="33"/>
      </w:r>
    </w:p>
    <w:p w:rsidR="00A20F91" w:rsidRDefault="00791C1A" w:rsidP="00791C1A">
      <w:pPr>
        <w:spacing w:after="0" w:line="360" w:lineRule="auto"/>
        <w:ind w:firstLine="567"/>
        <w:jc w:val="both"/>
        <w:rPr>
          <w:rFonts w:ascii="Times New Roman" w:hAnsi="Times New Roman" w:cs="Times New Roman"/>
          <w:sz w:val="24"/>
          <w:szCs w:val="24"/>
        </w:rPr>
      </w:pPr>
      <w:r w:rsidRPr="00791C1A">
        <w:rPr>
          <w:rFonts w:ascii="Times New Roman" w:hAnsi="Times New Roman" w:cs="Times New Roman"/>
          <w:sz w:val="24"/>
          <w:szCs w:val="24"/>
        </w:rPr>
        <w:lastRenderedPageBreak/>
        <w:t>Although factual actions do not cause legal consequences, in practice it is not easy to say that they are part of legal actions. Indeed, in the administrative law literature it is not easy to parameterize between factual actions and administrative actions.</w:t>
      </w:r>
      <w:r w:rsidRPr="00791C1A">
        <w:rPr>
          <w:rStyle w:val="FootnoteReference"/>
          <w:rFonts w:ascii="Times New Roman" w:hAnsi="Times New Roman" w:cs="Times New Roman"/>
          <w:sz w:val="24"/>
          <w:szCs w:val="24"/>
        </w:rPr>
        <w:footnoteReference w:id="34"/>
      </w:r>
      <w:r w:rsidRPr="00791C1A">
        <w:rPr>
          <w:rFonts w:ascii="Times New Roman" w:hAnsi="Times New Roman" w:cs="Times New Roman"/>
          <w:sz w:val="24"/>
          <w:szCs w:val="24"/>
        </w:rPr>
        <w:t xml:space="preserve"> Therefore, if this concrete action is the same as factual action, why should the terminology be different between the articles? If reviewed based on the Draft Bill No. 30 of 2014, Article 1 point 8 states that</w:t>
      </w:r>
      <w:r w:rsidRPr="00791C1A">
        <w:rPr>
          <w:rFonts w:ascii="Times New Roman" w:hAnsi="Times New Roman" w:cs="Times New Roman"/>
          <w:i/>
          <w:iCs/>
          <w:sz w:val="24"/>
          <w:szCs w:val="24"/>
        </w:rPr>
        <w:t xml:space="preserve"> Government Administration Action, hereinafter referred to as Action, is the attitude of Government Officials or other state administrators to perform and/or not perform </w:t>
      </w:r>
      <w:r w:rsidRPr="00791C1A">
        <w:rPr>
          <w:rFonts w:ascii="Times New Roman" w:hAnsi="Times New Roman" w:cs="Times New Roman"/>
          <w:b/>
          <w:bCs/>
          <w:i/>
          <w:iCs/>
          <w:sz w:val="24"/>
          <w:szCs w:val="24"/>
        </w:rPr>
        <w:t>factual actions</w:t>
      </w:r>
      <w:r w:rsidRPr="00791C1A">
        <w:rPr>
          <w:rFonts w:ascii="Times New Roman" w:hAnsi="Times New Roman" w:cs="Times New Roman"/>
          <w:i/>
          <w:iCs/>
          <w:sz w:val="24"/>
          <w:szCs w:val="24"/>
        </w:rPr>
        <w:t xml:space="preserve"> in the context of government administration.</w:t>
      </w:r>
      <w:r w:rsidRPr="00791C1A">
        <w:rPr>
          <w:rStyle w:val="FootnoteReference"/>
          <w:rFonts w:ascii="Times New Roman" w:eastAsia="Times New Roman" w:hAnsi="Times New Roman" w:cs="Times New Roman"/>
          <w:bCs/>
          <w:sz w:val="24"/>
          <w:szCs w:val="24"/>
        </w:rPr>
        <w:footnoteReference w:id="35"/>
      </w:r>
      <w:r w:rsidRPr="00791C1A">
        <w:rPr>
          <w:rFonts w:ascii="Times New Roman" w:hAnsi="Times New Roman" w:cs="Times New Roman"/>
          <w:sz w:val="24"/>
          <w:szCs w:val="24"/>
        </w:rPr>
        <w:t xml:space="preserve"> However, in its enactment, it uses the term concrete action which has become a mess in administrative law. </w:t>
      </w:r>
      <w:proofErr w:type="gramStart"/>
      <w:r w:rsidRPr="00791C1A">
        <w:rPr>
          <w:rFonts w:ascii="Times New Roman" w:hAnsi="Times New Roman" w:cs="Times New Roman"/>
          <w:sz w:val="24"/>
          <w:szCs w:val="24"/>
        </w:rPr>
        <w:t>Based on the Academic Paper of this Law that real action (factual action not concrete action) is an instrument aimed at the factual result of an action that has no legal effect.</w:t>
      </w:r>
      <w:proofErr w:type="gramEnd"/>
      <w:r w:rsidRPr="00791C1A">
        <w:rPr>
          <w:rStyle w:val="FootnoteReference"/>
          <w:rFonts w:ascii="Times New Roman" w:hAnsi="Times New Roman" w:cs="Times New Roman"/>
          <w:sz w:val="24"/>
          <w:szCs w:val="24"/>
        </w:rPr>
        <w:footnoteReference w:id="36"/>
      </w:r>
    </w:p>
    <w:p w:rsidR="00791C1A" w:rsidRDefault="00791C1A" w:rsidP="00791C1A">
      <w:pPr>
        <w:spacing w:after="0" w:line="360" w:lineRule="auto"/>
        <w:ind w:firstLine="567"/>
        <w:jc w:val="both"/>
        <w:rPr>
          <w:rFonts w:ascii="Times New Roman" w:hAnsi="Times New Roman" w:cs="Times New Roman"/>
          <w:sz w:val="24"/>
          <w:szCs w:val="24"/>
        </w:rPr>
      </w:pPr>
      <w:r w:rsidRPr="00791C1A">
        <w:rPr>
          <w:rFonts w:ascii="Times New Roman" w:hAnsi="Times New Roman" w:cs="Times New Roman"/>
          <w:sz w:val="24"/>
          <w:szCs w:val="24"/>
        </w:rPr>
        <w:t xml:space="preserve">Then regarding the term </w:t>
      </w:r>
      <w:r w:rsidRPr="00791C1A">
        <w:rPr>
          <w:rFonts w:ascii="Times New Roman" w:hAnsi="Times New Roman" w:cs="Times New Roman"/>
          <w:b/>
          <w:bCs/>
          <w:sz w:val="24"/>
          <w:szCs w:val="24"/>
        </w:rPr>
        <w:t>other state administrators,</w:t>
      </w:r>
      <w:r w:rsidRPr="00791C1A">
        <w:rPr>
          <w:rFonts w:ascii="Times New Roman" w:hAnsi="Times New Roman" w:cs="Times New Roman"/>
          <w:sz w:val="24"/>
          <w:szCs w:val="24"/>
        </w:rPr>
        <w:t xml:space="preserve"> does it mean State-Owned Enterprises? Or a private company whose deed of establishment is issued by the government? Of course this is ambiguous and contradicts Article 1 point 10 and Article 1 point 12 of Law Number 51 of 2009 concerning State Administrative Courts, which simply explains that the defendant is a state administrative agency or official as a result of the issuance of a legal decision. This means that there are no concrete actions or factual actions that can be the object of a lawsuit at the PTUN. Regarding these other organizers, it has reaped controversy from scholars at the time of the bill on Law No. 30 of 2014, therefore Article 1 number 9 and Article 1 number 10 of Law No. 50 of 2009 should be amended.</w:t>
      </w:r>
      <w:r w:rsidRPr="00791C1A">
        <w:rPr>
          <w:rStyle w:val="FootnoteReference"/>
          <w:rFonts w:ascii="Times New Roman" w:hAnsi="Times New Roman" w:cs="Times New Roman"/>
          <w:sz w:val="24"/>
          <w:szCs w:val="24"/>
        </w:rPr>
        <w:footnoteReference w:id="37"/>
      </w:r>
      <w:r w:rsidRPr="00791C1A">
        <w:rPr>
          <w:rFonts w:ascii="Times New Roman" w:hAnsi="Times New Roman" w:cs="Times New Roman"/>
          <w:sz w:val="24"/>
          <w:szCs w:val="24"/>
        </w:rPr>
        <w:t xml:space="preserve"> If we review the agenda for the delivery of expert opinions regarding Law No. 30 of 2014, that according to </w:t>
      </w:r>
      <w:proofErr w:type="spellStart"/>
      <w:r w:rsidRPr="00791C1A">
        <w:rPr>
          <w:rFonts w:ascii="Times New Roman" w:hAnsi="Times New Roman" w:cs="Times New Roman"/>
          <w:sz w:val="24"/>
          <w:szCs w:val="24"/>
        </w:rPr>
        <w:t>Frenadin</w:t>
      </w:r>
      <w:proofErr w:type="spellEnd"/>
      <w:r w:rsidRPr="00791C1A">
        <w:rPr>
          <w:rFonts w:ascii="Times New Roman" w:hAnsi="Times New Roman" w:cs="Times New Roman"/>
          <w:sz w:val="24"/>
          <w:szCs w:val="24"/>
        </w:rPr>
        <w:t xml:space="preserve"> </w:t>
      </w:r>
      <w:proofErr w:type="spellStart"/>
      <w:r w:rsidRPr="00791C1A">
        <w:rPr>
          <w:rFonts w:ascii="Times New Roman" w:hAnsi="Times New Roman" w:cs="Times New Roman"/>
          <w:sz w:val="24"/>
          <w:szCs w:val="24"/>
        </w:rPr>
        <w:t>Adegustara</w:t>
      </w:r>
      <w:proofErr w:type="spellEnd"/>
      <w:r w:rsidRPr="00791C1A">
        <w:rPr>
          <w:rFonts w:ascii="Times New Roman" w:hAnsi="Times New Roman" w:cs="Times New Roman"/>
          <w:sz w:val="24"/>
          <w:szCs w:val="24"/>
        </w:rPr>
        <w:t xml:space="preserve"> that government administration lawsuits carried out by BUMN and Private Sector are not within the jurisdiction of administrative procedure law and therefore cannot be filed through the PTUN.</w:t>
      </w:r>
      <w:r w:rsidRPr="00791C1A">
        <w:rPr>
          <w:rStyle w:val="FootnoteReference"/>
          <w:rFonts w:ascii="Times New Roman" w:hAnsi="Times New Roman" w:cs="Times New Roman"/>
          <w:sz w:val="24"/>
          <w:szCs w:val="24"/>
        </w:rPr>
        <w:footnoteReference w:id="38"/>
      </w:r>
    </w:p>
    <w:p w:rsidR="00791C1A" w:rsidRDefault="00791C1A" w:rsidP="00791C1A">
      <w:pPr>
        <w:spacing w:after="0" w:line="360" w:lineRule="auto"/>
        <w:ind w:firstLine="567"/>
        <w:jc w:val="both"/>
        <w:rPr>
          <w:rFonts w:ascii="Times New Roman" w:hAnsi="Times New Roman" w:cs="Times New Roman"/>
          <w:sz w:val="24"/>
          <w:szCs w:val="24"/>
        </w:rPr>
      </w:pPr>
      <w:r w:rsidRPr="00D472D5">
        <w:rPr>
          <w:rFonts w:ascii="Times New Roman" w:hAnsi="Times New Roman" w:cs="Times New Roman"/>
          <w:sz w:val="24"/>
          <w:szCs w:val="24"/>
        </w:rPr>
        <w:t xml:space="preserve">There are several contradictions regarding the interpretation of judges related to other organizers. If it is related to BUMN, that in the Constitutional Court Decision No. 55/PUU-XV/2017 in which the applicant is a retired BUMN employee, where the Constitutional Court in its ruling </w:t>
      </w:r>
      <w:r w:rsidRPr="00D472D5">
        <w:rPr>
          <w:rFonts w:ascii="Times New Roman" w:hAnsi="Times New Roman" w:cs="Times New Roman"/>
          <w:b/>
          <w:bCs/>
          <w:sz w:val="24"/>
          <w:szCs w:val="24"/>
        </w:rPr>
        <w:t xml:space="preserve">cannot be accepted by the Petitioner </w:t>
      </w:r>
      <w:r w:rsidRPr="00D472D5">
        <w:rPr>
          <w:rFonts w:ascii="Times New Roman" w:hAnsi="Times New Roman" w:cs="Times New Roman"/>
          <w:sz w:val="24"/>
          <w:szCs w:val="24"/>
        </w:rPr>
        <w:t xml:space="preserve">regarding the testing of Article 1 number 7, </w:t>
      </w:r>
      <w:r w:rsidRPr="00D472D5">
        <w:rPr>
          <w:rFonts w:ascii="Times New Roman" w:hAnsi="Times New Roman" w:cs="Times New Roman"/>
          <w:sz w:val="24"/>
          <w:szCs w:val="24"/>
        </w:rPr>
        <w:lastRenderedPageBreak/>
        <w:t xml:space="preserve">number 8, and number 9 of Law No. 50 of 2009. Meanwhile, the Bandung State Administrative Court Decision No. 74/G/2014/PTUNBDG granted the Plaintiff's claim in which the Plaintiff is PT </w:t>
      </w:r>
      <w:proofErr w:type="spellStart"/>
      <w:r w:rsidRPr="00D472D5">
        <w:rPr>
          <w:rFonts w:ascii="Times New Roman" w:hAnsi="Times New Roman" w:cs="Times New Roman"/>
          <w:sz w:val="24"/>
          <w:szCs w:val="24"/>
        </w:rPr>
        <w:t>Bajatra</w:t>
      </w:r>
      <w:proofErr w:type="spellEnd"/>
      <w:r w:rsidRPr="00D472D5">
        <w:rPr>
          <w:rFonts w:ascii="Times New Roman" w:hAnsi="Times New Roman" w:cs="Times New Roman"/>
          <w:sz w:val="24"/>
          <w:szCs w:val="24"/>
        </w:rPr>
        <w:t xml:space="preserve"> and the Defendant is the Executive Vice President of Logistics of PT </w:t>
      </w:r>
      <w:proofErr w:type="spellStart"/>
      <w:r w:rsidRPr="00D472D5">
        <w:rPr>
          <w:rFonts w:ascii="Times New Roman" w:hAnsi="Times New Roman" w:cs="Times New Roman"/>
          <w:sz w:val="24"/>
          <w:szCs w:val="24"/>
        </w:rPr>
        <w:t>Kereta</w:t>
      </w:r>
      <w:proofErr w:type="spellEnd"/>
      <w:r w:rsidRPr="00D472D5">
        <w:rPr>
          <w:rFonts w:ascii="Times New Roman" w:hAnsi="Times New Roman" w:cs="Times New Roman"/>
          <w:sz w:val="24"/>
          <w:szCs w:val="24"/>
        </w:rPr>
        <w:t xml:space="preserve"> </w:t>
      </w:r>
      <w:proofErr w:type="spellStart"/>
      <w:proofErr w:type="gramStart"/>
      <w:r w:rsidRPr="00D472D5">
        <w:rPr>
          <w:rFonts w:ascii="Times New Roman" w:hAnsi="Times New Roman" w:cs="Times New Roman"/>
          <w:sz w:val="24"/>
          <w:szCs w:val="24"/>
        </w:rPr>
        <w:t>Api</w:t>
      </w:r>
      <w:proofErr w:type="spellEnd"/>
      <w:proofErr w:type="gramEnd"/>
      <w:r w:rsidRPr="00D472D5">
        <w:rPr>
          <w:rFonts w:ascii="Times New Roman" w:hAnsi="Times New Roman" w:cs="Times New Roman"/>
          <w:sz w:val="24"/>
          <w:szCs w:val="24"/>
        </w:rPr>
        <w:t xml:space="preserve"> Indonesia (</w:t>
      </w:r>
      <w:proofErr w:type="spellStart"/>
      <w:r w:rsidRPr="00D472D5">
        <w:rPr>
          <w:rFonts w:ascii="Times New Roman" w:hAnsi="Times New Roman" w:cs="Times New Roman"/>
          <w:sz w:val="24"/>
          <w:szCs w:val="24"/>
        </w:rPr>
        <w:t>Persero</w:t>
      </w:r>
      <w:proofErr w:type="spellEnd"/>
      <w:r w:rsidRPr="00D472D5">
        <w:rPr>
          <w:rFonts w:ascii="Times New Roman" w:hAnsi="Times New Roman" w:cs="Times New Roman"/>
          <w:sz w:val="24"/>
          <w:szCs w:val="24"/>
        </w:rPr>
        <w:t>). Then in the Surabaya State Administrative Court Decision No. 29/G/2020/PTUN.SBY which rejected the Plaintiff's claim and the Defendant was PT. DOK and Surabaya Shipbuilding (</w:t>
      </w:r>
      <w:proofErr w:type="spellStart"/>
      <w:r w:rsidRPr="00D472D5">
        <w:rPr>
          <w:rFonts w:ascii="Times New Roman" w:hAnsi="Times New Roman" w:cs="Times New Roman"/>
          <w:sz w:val="24"/>
          <w:szCs w:val="24"/>
        </w:rPr>
        <w:t>Persero</w:t>
      </w:r>
      <w:proofErr w:type="spellEnd"/>
      <w:r w:rsidRPr="00D472D5">
        <w:rPr>
          <w:rFonts w:ascii="Times New Roman" w:hAnsi="Times New Roman" w:cs="Times New Roman"/>
          <w:sz w:val="24"/>
          <w:szCs w:val="24"/>
        </w:rPr>
        <w:t xml:space="preserve">), in its legal consideration that the Defendant was not a state administrative body. It should be noted that, from the three decisions, there are various interpretations that SOEs are the object of PTUN disputes, resulting in a conflict of rules and the need for revisions related to Law No.30 of 2014. According to </w:t>
      </w:r>
      <w:proofErr w:type="spellStart"/>
      <w:r w:rsidRPr="00D472D5">
        <w:rPr>
          <w:rFonts w:ascii="Times New Roman" w:hAnsi="Times New Roman" w:cs="Times New Roman"/>
          <w:sz w:val="24"/>
          <w:szCs w:val="24"/>
        </w:rPr>
        <w:t>Philipus</w:t>
      </w:r>
      <w:proofErr w:type="spellEnd"/>
      <w:r w:rsidRPr="00D472D5">
        <w:rPr>
          <w:rFonts w:ascii="Times New Roman" w:hAnsi="Times New Roman" w:cs="Times New Roman"/>
          <w:sz w:val="24"/>
          <w:szCs w:val="24"/>
        </w:rPr>
        <w:t xml:space="preserve"> M. </w:t>
      </w:r>
      <w:proofErr w:type="spellStart"/>
      <w:r w:rsidRPr="00D472D5">
        <w:rPr>
          <w:rFonts w:ascii="Times New Roman" w:hAnsi="Times New Roman" w:cs="Times New Roman"/>
          <w:sz w:val="24"/>
          <w:szCs w:val="24"/>
        </w:rPr>
        <w:t>Hadjon</w:t>
      </w:r>
      <w:proofErr w:type="spellEnd"/>
      <w:r w:rsidRPr="00D472D5">
        <w:rPr>
          <w:rFonts w:ascii="Times New Roman" w:hAnsi="Times New Roman" w:cs="Times New Roman"/>
          <w:sz w:val="24"/>
          <w:szCs w:val="24"/>
        </w:rPr>
        <w:t>, Law No. 30 of 2014 concerning PTUN is not based on a clear conceptual approach, so Law No. 30 of 2014 related to PTUN is very difficult to apply and also judicial practice because the concept is unclear and contradicts the concepts of administrative law.</w:t>
      </w:r>
      <w:r w:rsidR="00D472D5">
        <w:rPr>
          <w:rStyle w:val="FootnoteReference"/>
          <w:rFonts w:ascii="Times New Roman" w:hAnsi="Times New Roman" w:cs="Times New Roman"/>
          <w:sz w:val="24"/>
          <w:szCs w:val="24"/>
        </w:rPr>
        <w:footnoteReference w:id="39"/>
      </w:r>
    </w:p>
    <w:p w:rsidR="00D472D5" w:rsidRPr="00D472D5" w:rsidRDefault="00D472D5" w:rsidP="00791C1A">
      <w:pPr>
        <w:spacing w:after="0" w:line="360" w:lineRule="auto"/>
        <w:ind w:firstLine="567"/>
        <w:jc w:val="both"/>
        <w:rPr>
          <w:rFonts w:ascii="Times New Roman" w:eastAsia="Times New Roman" w:hAnsi="Times New Roman" w:cs="Times New Roman"/>
          <w:bCs/>
          <w:sz w:val="36"/>
          <w:szCs w:val="36"/>
        </w:rPr>
      </w:pPr>
      <w:r w:rsidRPr="00D472D5">
        <w:rPr>
          <w:rFonts w:ascii="Times New Roman" w:hAnsi="Times New Roman" w:cs="Times New Roman"/>
          <w:sz w:val="24"/>
          <w:szCs w:val="24"/>
        </w:rPr>
        <w:t>Then regarding discretion is regulated in Article 175 number 2 of Law No. 6 of 2023 concerning Job Creation, explaining that the conditions for the use of discretion are:</w:t>
      </w:r>
    </w:p>
    <w:p w:rsidR="00D472D5" w:rsidRPr="00D472D5" w:rsidRDefault="00D472D5" w:rsidP="00D472D5">
      <w:pPr>
        <w:pStyle w:val="ListParagraph"/>
        <w:numPr>
          <w:ilvl w:val="1"/>
          <w:numId w:val="15"/>
        </w:numPr>
        <w:spacing w:after="0" w:line="360" w:lineRule="auto"/>
        <w:ind w:left="993"/>
        <w:jc w:val="both"/>
        <w:rPr>
          <w:rFonts w:ascii="Times New Roman" w:eastAsia="Times New Roman" w:hAnsi="Times New Roman" w:cs="Times New Roman"/>
          <w:bCs/>
          <w:sz w:val="24"/>
        </w:rPr>
      </w:pPr>
      <w:r w:rsidRPr="00D472D5">
        <w:rPr>
          <w:rFonts w:ascii="Times New Roman" w:eastAsia="Times New Roman" w:hAnsi="Times New Roman" w:cs="Times New Roman"/>
          <w:bCs/>
          <w:sz w:val="24"/>
        </w:rPr>
        <w:t xml:space="preserve">In accordance with the purpose of discretion in Article 22 paragraph (2) of Law No. 30 of 2014 includes, launching government administration, filling legal vacuum, providing legal certainty and overcoming government stagnation in </w:t>
      </w:r>
      <w:r>
        <w:rPr>
          <w:rFonts w:ascii="Times New Roman" w:eastAsia="Times New Roman" w:hAnsi="Times New Roman" w:cs="Times New Roman"/>
          <w:bCs/>
          <w:sz w:val="24"/>
        </w:rPr>
        <w:t xml:space="preserve"> </w:t>
      </w:r>
      <w:r w:rsidRPr="00D472D5">
        <w:rPr>
          <w:rFonts w:ascii="Times New Roman" w:eastAsia="Times New Roman" w:hAnsi="Times New Roman" w:cs="Times New Roman"/>
          <w:bCs/>
          <w:sz w:val="24"/>
        </w:rPr>
        <w:t>certain circumstances with the aim of benefit and public interest;</w:t>
      </w:r>
    </w:p>
    <w:p w:rsidR="00D472D5" w:rsidRPr="00D472D5" w:rsidRDefault="00D472D5" w:rsidP="00D472D5">
      <w:pPr>
        <w:pStyle w:val="ListParagraph"/>
        <w:numPr>
          <w:ilvl w:val="1"/>
          <w:numId w:val="15"/>
        </w:numPr>
        <w:spacing w:after="0" w:line="360" w:lineRule="auto"/>
        <w:ind w:left="993"/>
        <w:jc w:val="both"/>
        <w:rPr>
          <w:rFonts w:ascii="Times New Roman" w:eastAsia="Times New Roman" w:hAnsi="Times New Roman" w:cs="Times New Roman"/>
          <w:bCs/>
          <w:sz w:val="24"/>
        </w:rPr>
      </w:pPr>
      <w:r w:rsidRPr="00D472D5">
        <w:rPr>
          <w:rFonts w:ascii="Times New Roman" w:eastAsia="Times New Roman" w:hAnsi="Times New Roman" w:cs="Times New Roman"/>
          <w:bCs/>
          <w:sz w:val="24"/>
        </w:rPr>
        <w:t>In accordance with AUPB;</w:t>
      </w:r>
    </w:p>
    <w:p w:rsidR="00D472D5" w:rsidRPr="00D472D5" w:rsidRDefault="00D472D5" w:rsidP="00D472D5">
      <w:pPr>
        <w:pStyle w:val="ListParagraph"/>
        <w:numPr>
          <w:ilvl w:val="1"/>
          <w:numId w:val="15"/>
        </w:numPr>
        <w:spacing w:after="0" w:line="360" w:lineRule="auto"/>
        <w:ind w:left="993"/>
        <w:jc w:val="both"/>
        <w:rPr>
          <w:rFonts w:ascii="Times New Roman" w:eastAsia="Times New Roman" w:hAnsi="Times New Roman" w:cs="Times New Roman"/>
          <w:bCs/>
          <w:sz w:val="24"/>
        </w:rPr>
      </w:pPr>
      <w:r w:rsidRPr="00D472D5">
        <w:rPr>
          <w:rFonts w:ascii="Times New Roman" w:eastAsia="Times New Roman" w:hAnsi="Times New Roman" w:cs="Times New Roman"/>
          <w:bCs/>
          <w:sz w:val="24"/>
        </w:rPr>
        <w:t>It must be based on objective reasons;</w:t>
      </w:r>
    </w:p>
    <w:p w:rsidR="00D472D5" w:rsidRPr="00D472D5" w:rsidRDefault="00D472D5" w:rsidP="00D472D5">
      <w:pPr>
        <w:pStyle w:val="ListParagraph"/>
        <w:numPr>
          <w:ilvl w:val="1"/>
          <w:numId w:val="15"/>
        </w:numPr>
        <w:spacing w:after="0" w:line="360" w:lineRule="auto"/>
        <w:ind w:left="993"/>
        <w:jc w:val="both"/>
        <w:rPr>
          <w:rFonts w:ascii="Times New Roman" w:eastAsia="Times New Roman" w:hAnsi="Times New Roman" w:cs="Times New Roman"/>
          <w:bCs/>
          <w:sz w:val="24"/>
        </w:rPr>
      </w:pPr>
      <w:r w:rsidRPr="00D472D5">
        <w:rPr>
          <w:rFonts w:ascii="Times New Roman" w:eastAsia="Times New Roman" w:hAnsi="Times New Roman" w:cs="Times New Roman"/>
          <w:bCs/>
          <w:sz w:val="24"/>
        </w:rPr>
        <w:t>There is no conflict of interest; and</w:t>
      </w:r>
    </w:p>
    <w:p w:rsidR="00A20F91" w:rsidRPr="00D472D5" w:rsidRDefault="00D472D5" w:rsidP="00D472D5">
      <w:pPr>
        <w:pStyle w:val="ListParagraph"/>
        <w:numPr>
          <w:ilvl w:val="1"/>
          <w:numId w:val="15"/>
        </w:numPr>
        <w:spacing w:after="0" w:line="360" w:lineRule="auto"/>
        <w:ind w:left="993"/>
        <w:jc w:val="both"/>
        <w:rPr>
          <w:rFonts w:ascii="Times New Roman" w:eastAsia="Times New Roman" w:hAnsi="Times New Roman" w:cs="Times New Roman"/>
          <w:bCs/>
          <w:sz w:val="24"/>
        </w:rPr>
      </w:pPr>
      <w:r w:rsidRPr="00D472D5">
        <w:rPr>
          <w:rFonts w:ascii="Times New Roman" w:eastAsia="Times New Roman" w:hAnsi="Times New Roman" w:cs="Times New Roman"/>
          <w:bCs/>
          <w:sz w:val="24"/>
        </w:rPr>
        <w:t>Carried out in good faith.</w:t>
      </w:r>
    </w:p>
    <w:p w:rsidR="00A20F91" w:rsidRDefault="00D472D5" w:rsidP="00D472D5">
      <w:pPr>
        <w:spacing w:after="0" w:line="360" w:lineRule="auto"/>
        <w:jc w:val="both"/>
        <w:rPr>
          <w:rFonts w:ascii="Times New Roman" w:hAnsi="Times New Roman" w:cs="Times New Roman"/>
          <w:sz w:val="24"/>
          <w:szCs w:val="24"/>
        </w:rPr>
      </w:pPr>
      <w:r w:rsidRPr="00D472D5">
        <w:rPr>
          <w:rFonts w:ascii="Times New Roman" w:hAnsi="Times New Roman" w:cs="Times New Roman"/>
          <w:sz w:val="24"/>
          <w:szCs w:val="24"/>
        </w:rPr>
        <w:t xml:space="preserve">Theoretically, the concept of authority in administrative law is bound authority in the Dutch term </w:t>
      </w:r>
      <w:proofErr w:type="spellStart"/>
      <w:r w:rsidRPr="00D472D5">
        <w:rPr>
          <w:rFonts w:ascii="Times New Roman" w:hAnsi="Times New Roman" w:cs="Times New Roman"/>
          <w:i/>
          <w:iCs/>
          <w:sz w:val="24"/>
          <w:szCs w:val="24"/>
        </w:rPr>
        <w:t>gobonden</w:t>
      </w:r>
      <w:proofErr w:type="spellEnd"/>
      <w:r w:rsidRPr="00D472D5">
        <w:rPr>
          <w:rFonts w:ascii="Times New Roman" w:hAnsi="Times New Roman" w:cs="Times New Roman"/>
          <w:i/>
          <w:iCs/>
          <w:sz w:val="24"/>
          <w:szCs w:val="24"/>
        </w:rPr>
        <w:t xml:space="preserve"> </w:t>
      </w:r>
      <w:proofErr w:type="spellStart"/>
      <w:r w:rsidRPr="00D472D5">
        <w:rPr>
          <w:rFonts w:ascii="Times New Roman" w:hAnsi="Times New Roman" w:cs="Times New Roman"/>
          <w:i/>
          <w:iCs/>
          <w:sz w:val="24"/>
          <w:szCs w:val="24"/>
        </w:rPr>
        <w:t>bevoegdheden</w:t>
      </w:r>
      <w:proofErr w:type="spellEnd"/>
      <w:r w:rsidRPr="00D472D5">
        <w:rPr>
          <w:rFonts w:ascii="Times New Roman" w:hAnsi="Times New Roman" w:cs="Times New Roman"/>
          <w:i/>
          <w:iCs/>
          <w:sz w:val="24"/>
          <w:szCs w:val="24"/>
        </w:rPr>
        <w:t>,</w:t>
      </w:r>
      <w:r w:rsidRPr="00D472D5">
        <w:rPr>
          <w:rFonts w:ascii="Times New Roman" w:hAnsi="Times New Roman" w:cs="Times New Roman"/>
          <w:sz w:val="24"/>
          <w:szCs w:val="24"/>
        </w:rPr>
        <w:t xml:space="preserve"> and free authority or </w:t>
      </w:r>
      <w:proofErr w:type="spellStart"/>
      <w:r w:rsidRPr="00D472D5">
        <w:rPr>
          <w:rFonts w:ascii="Times New Roman" w:hAnsi="Times New Roman" w:cs="Times New Roman"/>
          <w:i/>
          <w:iCs/>
          <w:sz w:val="24"/>
          <w:szCs w:val="24"/>
        </w:rPr>
        <w:t>vrije</w:t>
      </w:r>
      <w:proofErr w:type="spellEnd"/>
      <w:r w:rsidRPr="00D472D5">
        <w:rPr>
          <w:rFonts w:ascii="Times New Roman" w:hAnsi="Times New Roman" w:cs="Times New Roman"/>
          <w:i/>
          <w:iCs/>
          <w:sz w:val="24"/>
          <w:szCs w:val="24"/>
        </w:rPr>
        <w:t xml:space="preserve"> </w:t>
      </w:r>
      <w:proofErr w:type="spellStart"/>
      <w:r w:rsidRPr="00D472D5">
        <w:rPr>
          <w:rFonts w:ascii="Times New Roman" w:hAnsi="Times New Roman" w:cs="Times New Roman"/>
          <w:i/>
          <w:iCs/>
          <w:sz w:val="24"/>
          <w:szCs w:val="24"/>
        </w:rPr>
        <w:t>bevoegdheid</w:t>
      </w:r>
      <w:proofErr w:type="spellEnd"/>
      <w:r w:rsidRPr="00D472D5">
        <w:rPr>
          <w:rFonts w:ascii="Times New Roman" w:hAnsi="Times New Roman" w:cs="Times New Roman"/>
          <w:sz w:val="24"/>
          <w:szCs w:val="24"/>
        </w:rPr>
        <w:t xml:space="preserve">. According to </w:t>
      </w:r>
      <w:proofErr w:type="spellStart"/>
      <w:r w:rsidRPr="00D472D5">
        <w:rPr>
          <w:rFonts w:ascii="Times New Roman" w:hAnsi="Times New Roman" w:cs="Times New Roman"/>
          <w:sz w:val="24"/>
          <w:szCs w:val="24"/>
        </w:rPr>
        <w:t>Indroharto</w:t>
      </w:r>
      <w:proofErr w:type="spellEnd"/>
      <w:r w:rsidRPr="00D472D5">
        <w:rPr>
          <w:rFonts w:ascii="Times New Roman" w:hAnsi="Times New Roman" w:cs="Times New Roman"/>
          <w:sz w:val="24"/>
          <w:szCs w:val="24"/>
        </w:rPr>
        <w:t>, the authority of public officials is divided into:</w:t>
      </w:r>
      <w:r>
        <w:rPr>
          <w:rStyle w:val="FootnoteReference"/>
          <w:rFonts w:ascii="Times New Roman" w:hAnsi="Times New Roman" w:cs="Times New Roman"/>
          <w:sz w:val="24"/>
          <w:szCs w:val="24"/>
        </w:rPr>
        <w:footnoteReference w:id="40"/>
      </w:r>
    </w:p>
    <w:p w:rsidR="00D472D5" w:rsidRDefault="00D472D5" w:rsidP="00D472D5">
      <w:pPr>
        <w:pStyle w:val="ListParagraph"/>
        <w:numPr>
          <w:ilvl w:val="0"/>
          <w:numId w:val="20"/>
        </w:numPr>
        <w:spacing w:after="0" w:line="360" w:lineRule="auto"/>
        <w:jc w:val="both"/>
        <w:rPr>
          <w:rFonts w:ascii="Times New Roman" w:eastAsia="Times New Roman" w:hAnsi="Times New Roman" w:cs="Times New Roman"/>
          <w:bCs/>
          <w:sz w:val="24"/>
        </w:rPr>
      </w:pPr>
      <w:r w:rsidRPr="00D472D5">
        <w:rPr>
          <w:rFonts w:ascii="Times New Roman" w:eastAsia="Times New Roman" w:hAnsi="Times New Roman" w:cs="Times New Roman"/>
          <w:bCs/>
          <w:sz w:val="24"/>
        </w:rPr>
        <w:t>Facultative authority, authority based on regulatory norms to determine when and under what circumstances the authority can be used;</w:t>
      </w:r>
    </w:p>
    <w:p w:rsidR="00D472D5" w:rsidRDefault="00D472D5" w:rsidP="00D472D5">
      <w:pPr>
        <w:pStyle w:val="ListParagraph"/>
        <w:numPr>
          <w:ilvl w:val="0"/>
          <w:numId w:val="20"/>
        </w:numPr>
        <w:spacing w:after="0" w:line="360" w:lineRule="auto"/>
        <w:jc w:val="both"/>
        <w:rPr>
          <w:rFonts w:ascii="Times New Roman" w:eastAsia="Times New Roman" w:hAnsi="Times New Roman" w:cs="Times New Roman"/>
          <w:bCs/>
          <w:sz w:val="24"/>
        </w:rPr>
      </w:pPr>
      <w:r w:rsidRPr="00D472D5">
        <w:rPr>
          <w:rFonts w:ascii="Times New Roman" w:eastAsia="Times New Roman" w:hAnsi="Times New Roman" w:cs="Times New Roman"/>
          <w:bCs/>
          <w:sz w:val="24"/>
        </w:rPr>
        <w:lastRenderedPageBreak/>
        <w:t>The authority is bound (</w:t>
      </w:r>
      <w:proofErr w:type="spellStart"/>
      <w:r w:rsidRPr="00D472D5">
        <w:rPr>
          <w:rFonts w:ascii="Times New Roman" w:eastAsia="Times New Roman" w:hAnsi="Times New Roman" w:cs="Times New Roman"/>
          <w:bCs/>
          <w:i/>
          <w:iCs/>
          <w:sz w:val="24"/>
        </w:rPr>
        <w:t>geboden</w:t>
      </w:r>
      <w:proofErr w:type="spellEnd"/>
      <w:r w:rsidRPr="00D472D5">
        <w:rPr>
          <w:rFonts w:ascii="Times New Roman" w:eastAsia="Times New Roman" w:hAnsi="Times New Roman" w:cs="Times New Roman"/>
          <w:bCs/>
          <w:sz w:val="24"/>
        </w:rPr>
        <w:t>), the authority that has been regulated by provisions for any action taken;</w:t>
      </w:r>
    </w:p>
    <w:p w:rsidR="00D472D5" w:rsidRDefault="00D472D5" w:rsidP="00D472D5">
      <w:pPr>
        <w:pStyle w:val="ListParagraph"/>
        <w:numPr>
          <w:ilvl w:val="0"/>
          <w:numId w:val="20"/>
        </w:numPr>
        <w:spacing w:after="0" w:line="360" w:lineRule="auto"/>
        <w:jc w:val="both"/>
        <w:rPr>
          <w:rFonts w:ascii="Times New Roman" w:eastAsia="Times New Roman" w:hAnsi="Times New Roman" w:cs="Times New Roman"/>
          <w:bCs/>
          <w:sz w:val="24"/>
        </w:rPr>
      </w:pPr>
      <w:r w:rsidRPr="00D472D5">
        <w:rPr>
          <w:rFonts w:ascii="Times New Roman" w:eastAsia="Times New Roman" w:hAnsi="Times New Roman" w:cs="Times New Roman"/>
          <w:bCs/>
          <w:sz w:val="24"/>
        </w:rPr>
        <w:t>Discretionary authority, authority based on regulations that are not binding, so that officials are free to determine the content of their actions based on their interpretation.</w:t>
      </w:r>
    </w:p>
    <w:p w:rsidR="00D472D5" w:rsidRPr="00BC288F" w:rsidRDefault="00D472D5" w:rsidP="00D472D5">
      <w:pPr>
        <w:spacing w:after="0" w:line="360" w:lineRule="auto"/>
        <w:jc w:val="both"/>
        <w:rPr>
          <w:rFonts w:ascii="Times New Roman" w:eastAsia="Times New Roman" w:hAnsi="Times New Roman" w:cs="Times New Roman"/>
          <w:bCs/>
          <w:sz w:val="24"/>
          <w:szCs w:val="24"/>
        </w:rPr>
      </w:pPr>
      <w:r w:rsidRPr="00D472D5">
        <w:rPr>
          <w:rFonts w:ascii="Times New Roman" w:hAnsi="Times New Roman" w:cs="Times New Roman"/>
          <w:sz w:val="24"/>
          <w:szCs w:val="24"/>
        </w:rPr>
        <w:t xml:space="preserve">This discretion is a free authority, so if it is drawn back to its terminology that </w:t>
      </w:r>
      <w:r w:rsidRPr="00D472D5">
        <w:rPr>
          <w:rFonts w:ascii="Times New Roman" w:hAnsi="Times New Roman" w:cs="Times New Roman"/>
          <w:i/>
          <w:iCs/>
          <w:sz w:val="24"/>
          <w:szCs w:val="24"/>
        </w:rPr>
        <w:t xml:space="preserve">discretion </w:t>
      </w:r>
      <w:r w:rsidRPr="00D472D5">
        <w:rPr>
          <w:rFonts w:ascii="Times New Roman" w:hAnsi="Times New Roman" w:cs="Times New Roman"/>
          <w:sz w:val="24"/>
          <w:szCs w:val="24"/>
        </w:rPr>
        <w:t xml:space="preserve">(English), </w:t>
      </w:r>
      <w:proofErr w:type="spellStart"/>
      <w:r w:rsidRPr="00D472D5">
        <w:rPr>
          <w:rFonts w:ascii="Times New Roman" w:hAnsi="Times New Roman" w:cs="Times New Roman"/>
          <w:i/>
          <w:iCs/>
          <w:sz w:val="24"/>
          <w:szCs w:val="24"/>
        </w:rPr>
        <w:t>discre'tion</w:t>
      </w:r>
      <w:proofErr w:type="spellEnd"/>
      <w:r w:rsidRPr="00D472D5">
        <w:rPr>
          <w:rFonts w:ascii="Times New Roman" w:hAnsi="Times New Roman" w:cs="Times New Roman"/>
          <w:sz w:val="24"/>
          <w:szCs w:val="24"/>
        </w:rPr>
        <w:t xml:space="preserve"> (French), </w:t>
      </w:r>
      <w:proofErr w:type="spellStart"/>
      <w:r w:rsidRPr="00D472D5">
        <w:rPr>
          <w:rFonts w:ascii="Times New Roman" w:hAnsi="Times New Roman" w:cs="Times New Roman"/>
          <w:i/>
          <w:iCs/>
          <w:sz w:val="24"/>
          <w:szCs w:val="24"/>
        </w:rPr>
        <w:t>freies</w:t>
      </w:r>
      <w:proofErr w:type="spellEnd"/>
      <w:r w:rsidRPr="00D472D5">
        <w:rPr>
          <w:rFonts w:ascii="Times New Roman" w:hAnsi="Times New Roman" w:cs="Times New Roman"/>
          <w:i/>
          <w:iCs/>
          <w:sz w:val="24"/>
          <w:szCs w:val="24"/>
        </w:rPr>
        <w:t xml:space="preserve"> </w:t>
      </w:r>
      <w:proofErr w:type="spellStart"/>
      <w:r w:rsidRPr="00D472D5">
        <w:rPr>
          <w:rFonts w:ascii="Times New Roman" w:hAnsi="Times New Roman" w:cs="Times New Roman"/>
          <w:i/>
          <w:iCs/>
          <w:sz w:val="24"/>
          <w:szCs w:val="24"/>
        </w:rPr>
        <w:t>ermessen</w:t>
      </w:r>
      <w:proofErr w:type="spellEnd"/>
      <w:r w:rsidRPr="00D472D5">
        <w:rPr>
          <w:rFonts w:ascii="Times New Roman" w:hAnsi="Times New Roman" w:cs="Times New Roman"/>
          <w:sz w:val="24"/>
          <w:szCs w:val="24"/>
        </w:rPr>
        <w:t xml:space="preserve"> (German). In the French term </w:t>
      </w:r>
      <w:proofErr w:type="spellStart"/>
      <w:r w:rsidRPr="00D472D5">
        <w:rPr>
          <w:rFonts w:ascii="Times New Roman" w:hAnsi="Times New Roman" w:cs="Times New Roman"/>
          <w:i/>
          <w:iCs/>
          <w:sz w:val="24"/>
          <w:szCs w:val="24"/>
        </w:rPr>
        <w:t>discre'tion</w:t>
      </w:r>
      <w:proofErr w:type="spellEnd"/>
      <w:r w:rsidRPr="00D472D5">
        <w:rPr>
          <w:rFonts w:ascii="Times New Roman" w:hAnsi="Times New Roman" w:cs="Times New Roman"/>
          <w:i/>
          <w:iCs/>
          <w:sz w:val="24"/>
          <w:szCs w:val="24"/>
        </w:rPr>
        <w:t xml:space="preserve"> </w:t>
      </w:r>
      <w:r w:rsidRPr="00D472D5">
        <w:rPr>
          <w:rFonts w:ascii="Times New Roman" w:hAnsi="Times New Roman" w:cs="Times New Roman"/>
          <w:sz w:val="24"/>
          <w:szCs w:val="24"/>
        </w:rPr>
        <w:t xml:space="preserve">which means that a discretion, discretion, prudence or in the adjective is </w:t>
      </w:r>
      <w:proofErr w:type="spellStart"/>
      <w:r w:rsidRPr="00D472D5">
        <w:rPr>
          <w:rFonts w:ascii="Times New Roman" w:hAnsi="Times New Roman" w:cs="Times New Roman"/>
          <w:i/>
          <w:iCs/>
          <w:sz w:val="24"/>
          <w:szCs w:val="24"/>
        </w:rPr>
        <w:t>discre'tionnaire</w:t>
      </w:r>
      <w:proofErr w:type="spellEnd"/>
      <w:r w:rsidRPr="00D472D5">
        <w:rPr>
          <w:rFonts w:ascii="Times New Roman" w:hAnsi="Times New Roman" w:cs="Times New Roman"/>
          <w:sz w:val="24"/>
          <w:szCs w:val="24"/>
        </w:rPr>
        <w:t xml:space="preserve"> which is </w:t>
      </w:r>
      <w:r w:rsidRPr="00BC288F">
        <w:rPr>
          <w:rFonts w:ascii="Times New Roman" w:hAnsi="Times New Roman" w:cs="Times New Roman"/>
          <w:sz w:val="24"/>
          <w:szCs w:val="24"/>
        </w:rPr>
        <w:t>interpreted as a surrender of discretion on the basis of freedom to determine.</w:t>
      </w:r>
      <w:r w:rsidRPr="00BC288F">
        <w:rPr>
          <w:rStyle w:val="FootnoteReference"/>
          <w:rFonts w:ascii="Times New Roman" w:hAnsi="Times New Roman" w:cs="Times New Roman"/>
          <w:sz w:val="24"/>
          <w:szCs w:val="24"/>
        </w:rPr>
        <w:footnoteReference w:id="41"/>
      </w:r>
    </w:p>
    <w:p w:rsidR="00D472D5" w:rsidRPr="00BC288F" w:rsidRDefault="00D472D5" w:rsidP="00D472D5">
      <w:pPr>
        <w:spacing w:after="0" w:line="360" w:lineRule="auto"/>
        <w:ind w:firstLine="567"/>
        <w:jc w:val="both"/>
        <w:rPr>
          <w:rFonts w:ascii="Times New Roman" w:hAnsi="Times New Roman" w:cs="Times New Roman"/>
          <w:sz w:val="24"/>
          <w:szCs w:val="24"/>
        </w:rPr>
      </w:pPr>
      <w:r w:rsidRPr="00BC288F">
        <w:rPr>
          <w:rFonts w:ascii="Times New Roman" w:hAnsi="Times New Roman" w:cs="Times New Roman"/>
          <w:sz w:val="24"/>
          <w:szCs w:val="24"/>
        </w:rPr>
        <w:t xml:space="preserve">Article 1 point 9 of Law No.30 of 2014 explains that discretion is a decision / action determined or carried out by an official with the aim of solving concrete problems encountered in carrying out government functions in the context of regulations that provide options, do not regulate, are incomplete or unclear, and also government stagnation. If based on the Constitutional Court Decision No. 25 / PUU-XIV / 2016 regarding the testing of Article 1 paragraph (2) and Article 3 of the Anti-Corruption Law, which if reviewed based on the ruling that the Constitutional Court concluded that every government official in acting uses discretion, of course there is no problem anymore. The legal effect in practice is that law enforcement officials must be able to prove the existence of alleged real </w:t>
      </w:r>
      <w:proofErr w:type="spellStart"/>
      <w:r w:rsidRPr="00BC288F">
        <w:rPr>
          <w:rFonts w:ascii="Times New Roman" w:hAnsi="Times New Roman" w:cs="Times New Roman"/>
          <w:sz w:val="24"/>
          <w:szCs w:val="24"/>
        </w:rPr>
        <w:t>state</w:t>
      </w:r>
      <w:proofErr w:type="spellEnd"/>
      <w:r w:rsidRPr="00BC288F">
        <w:rPr>
          <w:rFonts w:ascii="Times New Roman" w:hAnsi="Times New Roman" w:cs="Times New Roman"/>
          <w:sz w:val="24"/>
          <w:szCs w:val="24"/>
        </w:rPr>
        <w:t xml:space="preserve"> losses before acting to investigate corruption cases.</w:t>
      </w:r>
      <w:r w:rsidRPr="00BC288F">
        <w:rPr>
          <w:rStyle w:val="FootnoteReference"/>
          <w:rFonts w:ascii="Times New Roman" w:hAnsi="Times New Roman" w:cs="Times New Roman"/>
          <w:sz w:val="24"/>
          <w:szCs w:val="24"/>
        </w:rPr>
        <w:footnoteReference w:id="42"/>
      </w:r>
      <w:r w:rsidRPr="00BC288F">
        <w:rPr>
          <w:rFonts w:ascii="Times New Roman" w:hAnsi="Times New Roman" w:cs="Times New Roman"/>
          <w:sz w:val="24"/>
          <w:szCs w:val="24"/>
        </w:rPr>
        <w:t xml:space="preserve"> Another example, regarding the use of discretion, is </w:t>
      </w:r>
      <w:proofErr w:type="spellStart"/>
      <w:r w:rsidRPr="00BC288F">
        <w:rPr>
          <w:rFonts w:ascii="Times New Roman" w:hAnsi="Times New Roman" w:cs="Times New Roman"/>
          <w:sz w:val="24"/>
          <w:szCs w:val="24"/>
        </w:rPr>
        <w:t>Bantul</w:t>
      </w:r>
      <w:proofErr w:type="spellEnd"/>
      <w:r w:rsidRPr="00BC288F">
        <w:rPr>
          <w:rFonts w:ascii="Times New Roman" w:hAnsi="Times New Roman" w:cs="Times New Roman"/>
          <w:sz w:val="24"/>
          <w:szCs w:val="24"/>
        </w:rPr>
        <w:t xml:space="preserve"> Regent Regulation No. 11B of 2006 and No. 7 of 2007 which contradicts </w:t>
      </w:r>
      <w:proofErr w:type="spellStart"/>
      <w:r w:rsidRPr="00BC288F">
        <w:rPr>
          <w:rFonts w:ascii="Times New Roman" w:hAnsi="Times New Roman" w:cs="Times New Roman"/>
          <w:sz w:val="24"/>
          <w:szCs w:val="24"/>
        </w:rPr>
        <w:t>Bantul</w:t>
      </w:r>
      <w:proofErr w:type="spellEnd"/>
      <w:r w:rsidRPr="00BC288F">
        <w:rPr>
          <w:rFonts w:ascii="Times New Roman" w:hAnsi="Times New Roman" w:cs="Times New Roman"/>
          <w:sz w:val="24"/>
          <w:szCs w:val="24"/>
        </w:rPr>
        <w:t xml:space="preserve"> Regency Regional Regulation No. 7 of 2002.</w:t>
      </w:r>
      <w:r w:rsidRPr="00BC288F">
        <w:rPr>
          <w:rStyle w:val="FootnoteReference"/>
          <w:rFonts w:ascii="Times New Roman" w:hAnsi="Times New Roman" w:cs="Times New Roman"/>
          <w:sz w:val="24"/>
          <w:szCs w:val="24"/>
        </w:rPr>
        <w:footnoteReference w:id="43"/>
      </w:r>
    </w:p>
    <w:p w:rsidR="00BC288F" w:rsidRPr="00BC288F" w:rsidRDefault="00BC288F" w:rsidP="00D472D5">
      <w:pPr>
        <w:spacing w:after="0" w:line="360" w:lineRule="auto"/>
        <w:ind w:firstLine="567"/>
        <w:jc w:val="both"/>
        <w:rPr>
          <w:rFonts w:ascii="Times New Roman" w:hAnsi="Times New Roman" w:cs="Times New Roman"/>
          <w:sz w:val="24"/>
          <w:szCs w:val="24"/>
        </w:rPr>
      </w:pPr>
      <w:r w:rsidRPr="00BC288F">
        <w:rPr>
          <w:rFonts w:ascii="Times New Roman" w:hAnsi="Times New Roman" w:cs="Times New Roman"/>
          <w:sz w:val="24"/>
          <w:szCs w:val="24"/>
        </w:rPr>
        <w:t xml:space="preserve">Discretion should be a free policy, but here there are conditions that must be met. According to Paulus </w:t>
      </w:r>
      <w:proofErr w:type="spellStart"/>
      <w:r w:rsidRPr="00BC288F">
        <w:rPr>
          <w:rFonts w:ascii="Times New Roman" w:hAnsi="Times New Roman" w:cs="Times New Roman"/>
          <w:sz w:val="24"/>
          <w:szCs w:val="24"/>
        </w:rPr>
        <w:t>Efendi</w:t>
      </w:r>
      <w:proofErr w:type="spellEnd"/>
      <w:r w:rsidRPr="00BC288F">
        <w:rPr>
          <w:rFonts w:ascii="Times New Roman" w:hAnsi="Times New Roman" w:cs="Times New Roman"/>
          <w:sz w:val="24"/>
          <w:szCs w:val="24"/>
        </w:rPr>
        <w:t xml:space="preserve"> </w:t>
      </w:r>
      <w:proofErr w:type="spellStart"/>
      <w:r w:rsidRPr="00BC288F">
        <w:rPr>
          <w:rFonts w:ascii="Times New Roman" w:hAnsi="Times New Roman" w:cs="Times New Roman"/>
          <w:sz w:val="24"/>
          <w:szCs w:val="24"/>
        </w:rPr>
        <w:t>Lotulung</w:t>
      </w:r>
      <w:proofErr w:type="spellEnd"/>
      <w:r w:rsidRPr="00BC288F">
        <w:rPr>
          <w:rFonts w:ascii="Times New Roman" w:hAnsi="Times New Roman" w:cs="Times New Roman"/>
          <w:sz w:val="24"/>
          <w:szCs w:val="24"/>
        </w:rPr>
        <w:t>, discretion is based on 2 (two) things, that is:</w:t>
      </w:r>
      <w:r w:rsidRPr="00BC288F">
        <w:rPr>
          <w:rStyle w:val="FootnoteReference"/>
          <w:rFonts w:ascii="Times New Roman" w:hAnsi="Times New Roman" w:cs="Times New Roman"/>
          <w:sz w:val="24"/>
          <w:szCs w:val="24"/>
        </w:rPr>
        <w:footnoteReference w:id="44"/>
      </w:r>
    </w:p>
    <w:p w:rsidR="00BC288F" w:rsidRPr="00BC288F" w:rsidRDefault="00BC288F" w:rsidP="00D472D5">
      <w:pPr>
        <w:spacing w:after="0" w:line="360" w:lineRule="auto"/>
        <w:ind w:firstLine="567"/>
        <w:jc w:val="both"/>
        <w:rPr>
          <w:rFonts w:ascii="Times New Roman" w:hAnsi="Times New Roman" w:cs="Times New Roman"/>
          <w:sz w:val="24"/>
          <w:szCs w:val="24"/>
        </w:rPr>
      </w:pPr>
      <w:r w:rsidRPr="00BC288F">
        <w:rPr>
          <w:rFonts w:ascii="Times New Roman" w:hAnsi="Times New Roman" w:cs="Times New Roman"/>
          <w:sz w:val="24"/>
          <w:szCs w:val="24"/>
        </w:rPr>
        <w:t xml:space="preserve">1. Discretion involves abuse of power; </w:t>
      </w:r>
    </w:p>
    <w:p w:rsidR="00BC288F" w:rsidRPr="00BC288F" w:rsidRDefault="00BC288F" w:rsidP="00D472D5">
      <w:pPr>
        <w:spacing w:after="0" w:line="360" w:lineRule="auto"/>
        <w:ind w:firstLine="567"/>
        <w:jc w:val="both"/>
        <w:rPr>
          <w:rFonts w:ascii="Times New Roman" w:hAnsi="Times New Roman" w:cs="Times New Roman"/>
          <w:sz w:val="24"/>
          <w:szCs w:val="24"/>
        </w:rPr>
      </w:pPr>
      <w:r w:rsidRPr="00BC288F">
        <w:rPr>
          <w:rFonts w:ascii="Times New Roman" w:hAnsi="Times New Roman" w:cs="Times New Roman"/>
          <w:sz w:val="24"/>
          <w:szCs w:val="24"/>
        </w:rPr>
        <w:t xml:space="preserve">2. Discretion is arbitrary. </w:t>
      </w:r>
    </w:p>
    <w:p w:rsidR="00BC288F" w:rsidRDefault="00BC288F" w:rsidP="00BC288F">
      <w:pPr>
        <w:spacing w:after="0" w:line="360" w:lineRule="auto"/>
        <w:jc w:val="both"/>
        <w:rPr>
          <w:rFonts w:ascii="Times New Roman" w:hAnsi="Times New Roman" w:cs="Times New Roman"/>
          <w:sz w:val="24"/>
          <w:szCs w:val="24"/>
        </w:rPr>
      </w:pPr>
      <w:r w:rsidRPr="00BC288F">
        <w:rPr>
          <w:rFonts w:ascii="Times New Roman" w:hAnsi="Times New Roman" w:cs="Times New Roman"/>
          <w:sz w:val="24"/>
          <w:szCs w:val="24"/>
        </w:rPr>
        <w:t xml:space="preserve">The application of discretion which is a policy or freedom of action, has two patterns, including: first, freedom of action to judge objectively, for example the norms in the legislation are vague, namely the formulation of behavior for good state servants; and second, freedom of action to </w:t>
      </w:r>
      <w:r w:rsidRPr="00BC288F">
        <w:rPr>
          <w:rFonts w:ascii="Times New Roman" w:hAnsi="Times New Roman" w:cs="Times New Roman"/>
          <w:sz w:val="24"/>
          <w:szCs w:val="24"/>
        </w:rPr>
        <w:lastRenderedPageBreak/>
        <w:t>judge subjectively, for example giving authority to officials to determine themselves in terms of solving the problems faced.</w:t>
      </w:r>
      <w:r w:rsidRPr="00BC288F">
        <w:rPr>
          <w:rStyle w:val="FootnoteReference"/>
          <w:rFonts w:ascii="Times New Roman" w:hAnsi="Times New Roman" w:cs="Times New Roman"/>
          <w:sz w:val="24"/>
          <w:szCs w:val="24"/>
        </w:rPr>
        <w:footnoteReference w:id="45"/>
      </w:r>
      <w:r w:rsidRPr="00BC288F">
        <w:rPr>
          <w:rFonts w:ascii="Times New Roman" w:hAnsi="Times New Roman" w:cs="Times New Roman"/>
          <w:sz w:val="24"/>
          <w:szCs w:val="24"/>
        </w:rPr>
        <w:t xml:space="preserve"> Indeed, in this article, discretion is no longer an inherent right in the government, because it is limited in its use to carry out the validity of superior officials. </w:t>
      </w:r>
      <w:proofErr w:type="gramStart"/>
      <w:r w:rsidRPr="00BC288F">
        <w:rPr>
          <w:rFonts w:ascii="Times New Roman" w:hAnsi="Times New Roman" w:cs="Times New Roman"/>
          <w:sz w:val="24"/>
          <w:szCs w:val="24"/>
        </w:rPr>
        <w:t>So that this hinders discretion as a rule of freedom of action.</w:t>
      </w:r>
      <w:proofErr w:type="gramEnd"/>
      <w:r w:rsidRPr="00BC288F">
        <w:rPr>
          <w:rStyle w:val="FootnoteReference"/>
          <w:rFonts w:ascii="Times New Roman" w:hAnsi="Times New Roman" w:cs="Times New Roman"/>
          <w:sz w:val="24"/>
          <w:szCs w:val="24"/>
        </w:rPr>
        <w:footnoteReference w:id="46"/>
      </w:r>
    </w:p>
    <w:p w:rsidR="00BC288F" w:rsidRPr="00BC288F" w:rsidRDefault="00BC288F" w:rsidP="00BC288F">
      <w:pPr>
        <w:spacing w:after="0" w:line="360" w:lineRule="auto"/>
        <w:ind w:firstLine="567"/>
        <w:jc w:val="both"/>
        <w:rPr>
          <w:rFonts w:ascii="Times New Roman" w:hAnsi="Times New Roman" w:cs="Times New Roman"/>
          <w:sz w:val="24"/>
          <w:szCs w:val="24"/>
        </w:rPr>
      </w:pPr>
      <w:r w:rsidRPr="00BC288F">
        <w:rPr>
          <w:rFonts w:ascii="Times New Roman" w:hAnsi="Times New Roman" w:cs="Times New Roman"/>
          <w:sz w:val="24"/>
          <w:szCs w:val="24"/>
        </w:rPr>
        <w:t xml:space="preserve">The limits of discretion will be appropriate to use the concept explained by </w:t>
      </w:r>
      <w:proofErr w:type="spellStart"/>
      <w:r w:rsidRPr="00BC288F">
        <w:rPr>
          <w:rFonts w:ascii="Times New Roman" w:hAnsi="Times New Roman" w:cs="Times New Roman"/>
          <w:sz w:val="24"/>
          <w:szCs w:val="24"/>
        </w:rPr>
        <w:t>Sjahran</w:t>
      </w:r>
      <w:proofErr w:type="spellEnd"/>
      <w:r w:rsidRPr="00BC288F">
        <w:rPr>
          <w:rFonts w:ascii="Times New Roman" w:hAnsi="Times New Roman" w:cs="Times New Roman"/>
          <w:sz w:val="24"/>
          <w:szCs w:val="24"/>
        </w:rPr>
        <w:t xml:space="preserve"> </w:t>
      </w:r>
      <w:proofErr w:type="spellStart"/>
      <w:r w:rsidRPr="00BC288F">
        <w:rPr>
          <w:rFonts w:ascii="Times New Roman" w:hAnsi="Times New Roman" w:cs="Times New Roman"/>
          <w:sz w:val="24"/>
          <w:szCs w:val="24"/>
        </w:rPr>
        <w:t>Basah</w:t>
      </w:r>
      <w:proofErr w:type="spellEnd"/>
      <w:r w:rsidRPr="00BC288F">
        <w:rPr>
          <w:rFonts w:ascii="Times New Roman" w:hAnsi="Times New Roman" w:cs="Times New Roman"/>
          <w:sz w:val="24"/>
          <w:szCs w:val="24"/>
        </w:rPr>
        <w:t>, that the form of responsibility that contains the limits of obedience to the principle or called obedience, namely the upper limit and lower limit.</w:t>
      </w:r>
      <w:r w:rsidRPr="00BC288F">
        <w:rPr>
          <w:rStyle w:val="FootnoteReference"/>
          <w:rFonts w:ascii="Times New Roman" w:hAnsi="Times New Roman" w:cs="Times New Roman"/>
          <w:sz w:val="24"/>
          <w:szCs w:val="24"/>
        </w:rPr>
        <w:footnoteReference w:id="47"/>
      </w:r>
      <w:r w:rsidRPr="00BC288F">
        <w:rPr>
          <w:rFonts w:ascii="Times New Roman" w:hAnsi="Times New Roman" w:cs="Times New Roman"/>
          <w:sz w:val="24"/>
          <w:szCs w:val="24"/>
        </w:rPr>
        <w:t xml:space="preserve"> The government's freedom to act based on discretion, "for the sake of" the public interest, </w:t>
      </w:r>
      <w:proofErr w:type="gramStart"/>
      <w:r w:rsidRPr="00BC288F">
        <w:rPr>
          <w:rFonts w:ascii="Times New Roman" w:hAnsi="Times New Roman" w:cs="Times New Roman"/>
          <w:sz w:val="24"/>
          <w:szCs w:val="24"/>
        </w:rPr>
        <w:t>then</w:t>
      </w:r>
      <w:proofErr w:type="gramEnd"/>
      <w:r w:rsidRPr="00BC288F">
        <w:rPr>
          <w:rFonts w:ascii="Times New Roman" w:hAnsi="Times New Roman" w:cs="Times New Roman"/>
          <w:sz w:val="24"/>
          <w:szCs w:val="24"/>
        </w:rPr>
        <w:t xml:space="preserve"> this brings a new paradigm of freedom that is significantly limited.</w:t>
      </w:r>
      <w:r w:rsidRPr="00BC288F">
        <w:rPr>
          <w:rStyle w:val="FootnoteReference"/>
          <w:rFonts w:ascii="Times New Roman" w:hAnsi="Times New Roman" w:cs="Times New Roman"/>
          <w:sz w:val="24"/>
          <w:szCs w:val="24"/>
        </w:rPr>
        <w:footnoteReference w:id="48"/>
      </w:r>
      <w:r w:rsidRPr="00BC288F">
        <w:rPr>
          <w:rFonts w:ascii="Times New Roman" w:hAnsi="Times New Roman" w:cs="Times New Roman"/>
          <w:sz w:val="24"/>
          <w:szCs w:val="24"/>
        </w:rPr>
        <w:t xml:space="preserve"> This limitation is certainly guided by the principle of not abusing authority and the principle of public interest. The public interest aspect in Law No. 30 of 2014 contains elements: </w:t>
      </w:r>
    </w:p>
    <w:p w:rsidR="00BC288F" w:rsidRPr="00BC288F" w:rsidRDefault="00BC288F" w:rsidP="00BC288F">
      <w:pPr>
        <w:spacing w:after="0" w:line="360" w:lineRule="auto"/>
        <w:ind w:firstLine="567"/>
        <w:jc w:val="both"/>
        <w:rPr>
          <w:rFonts w:ascii="Times New Roman" w:hAnsi="Times New Roman" w:cs="Times New Roman"/>
          <w:sz w:val="24"/>
          <w:szCs w:val="24"/>
        </w:rPr>
      </w:pPr>
      <w:r w:rsidRPr="00BC288F">
        <w:rPr>
          <w:rFonts w:ascii="Times New Roman" w:hAnsi="Times New Roman" w:cs="Times New Roman"/>
          <w:sz w:val="24"/>
          <w:szCs w:val="24"/>
        </w:rPr>
        <w:t>a. Promote public welfare and benefit;</w:t>
      </w:r>
    </w:p>
    <w:p w:rsidR="00BC288F" w:rsidRPr="00BC288F" w:rsidRDefault="00BC288F" w:rsidP="00BC288F">
      <w:pPr>
        <w:spacing w:after="0" w:line="360" w:lineRule="auto"/>
        <w:ind w:firstLine="567"/>
        <w:jc w:val="both"/>
        <w:rPr>
          <w:rFonts w:ascii="Times New Roman" w:hAnsi="Times New Roman" w:cs="Times New Roman"/>
          <w:sz w:val="24"/>
          <w:szCs w:val="24"/>
        </w:rPr>
      </w:pPr>
      <w:r w:rsidRPr="00BC288F">
        <w:rPr>
          <w:rFonts w:ascii="Times New Roman" w:hAnsi="Times New Roman" w:cs="Times New Roman"/>
          <w:sz w:val="24"/>
          <w:szCs w:val="24"/>
        </w:rPr>
        <w:t xml:space="preserve">b. By being aspirational, accommodating, selective, and non-discriminatory. </w:t>
      </w:r>
    </w:p>
    <w:p w:rsidR="00A20F91" w:rsidRDefault="00BC288F" w:rsidP="00BC288F">
      <w:pPr>
        <w:spacing w:after="0" w:line="360" w:lineRule="auto"/>
        <w:jc w:val="both"/>
        <w:rPr>
          <w:rFonts w:ascii="Times New Roman" w:eastAsia="Times New Roman" w:hAnsi="Times New Roman"/>
          <w:bCs/>
          <w:sz w:val="24"/>
        </w:rPr>
      </w:pPr>
      <w:r w:rsidRPr="00BC288F">
        <w:rPr>
          <w:rFonts w:ascii="Times New Roman" w:hAnsi="Times New Roman" w:cs="Times New Roman"/>
          <w:sz w:val="24"/>
          <w:szCs w:val="24"/>
        </w:rPr>
        <w:t>Then if reviewed in Article 58 of Law No. 23 of 2014 concerning Regional Government which states the principle of public interest, it has the same elements if studied.</w:t>
      </w:r>
      <w:r w:rsidRPr="00BC288F">
        <w:rPr>
          <w:rStyle w:val="FootnoteReference"/>
          <w:rFonts w:ascii="Times New Roman" w:hAnsi="Times New Roman" w:cs="Times New Roman"/>
          <w:sz w:val="24"/>
          <w:szCs w:val="24"/>
        </w:rPr>
        <w:footnoteReference w:id="49"/>
      </w:r>
    </w:p>
    <w:p w:rsidR="00A20F91" w:rsidRDefault="00BC288F" w:rsidP="00BC288F">
      <w:pPr>
        <w:spacing w:after="0" w:line="360" w:lineRule="auto"/>
        <w:ind w:firstLine="567"/>
        <w:jc w:val="both"/>
        <w:rPr>
          <w:rFonts w:ascii="Times New Roman" w:hAnsi="Times New Roman" w:cs="Times New Roman"/>
          <w:sz w:val="24"/>
          <w:szCs w:val="24"/>
        </w:rPr>
      </w:pPr>
      <w:r w:rsidRPr="00BC288F">
        <w:rPr>
          <w:rFonts w:ascii="Times New Roman" w:eastAsia="Times New Roman" w:hAnsi="Times New Roman"/>
          <w:bCs/>
          <w:sz w:val="24"/>
        </w:rPr>
        <w:t xml:space="preserve">The importance of discretion in the aspects of the life of the nation and state, especially in filling the void of rules, as well as flexing rules that are rigid and out of date and even adjusting to </w:t>
      </w:r>
      <w:r w:rsidRPr="009D6D7D">
        <w:rPr>
          <w:rFonts w:ascii="Times New Roman" w:eastAsia="Times New Roman" w:hAnsi="Times New Roman" w:cs="Times New Roman"/>
          <w:bCs/>
          <w:sz w:val="24"/>
          <w:szCs w:val="24"/>
        </w:rPr>
        <w:t>the current context that is better and more beneficial (</w:t>
      </w:r>
      <w:proofErr w:type="spellStart"/>
      <w:r w:rsidRPr="009D6D7D">
        <w:rPr>
          <w:rFonts w:ascii="Times New Roman" w:eastAsia="Times New Roman" w:hAnsi="Times New Roman" w:cs="Times New Roman"/>
          <w:bCs/>
          <w:i/>
          <w:iCs/>
          <w:sz w:val="24"/>
          <w:szCs w:val="24"/>
        </w:rPr>
        <w:t>doelmatigheid</w:t>
      </w:r>
      <w:proofErr w:type="spellEnd"/>
      <w:r w:rsidRPr="009D6D7D">
        <w:rPr>
          <w:rFonts w:ascii="Times New Roman" w:eastAsia="Times New Roman" w:hAnsi="Times New Roman" w:cs="Times New Roman"/>
          <w:bCs/>
          <w:sz w:val="24"/>
          <w:szCs w:val="24"/>
        </w:rPr>
        <w:t>) for the public interest.</w:t>
      </w:r>
      <w:r w:rsidRPr="009D6D7D">
        <w:rPr>
          <w:rStyle w:val="FootnoteReference"/>
          <w:rFonts w:ascii="Times New Roman" w:eastAsia="Times New Roman" w:hAnsi="Times New Roman" w:cs="Times New Roman"/>
          <w:bCs/>
          <w:sz w:val="24"/>
          <w:szCs w:val="24"/>
        </w:rPr>
        <w:footnoteReference w:id="50"/>
      </w:r>
      <w:r w:rsidR="009D6D7D" w:rsidRPr="009D6D7D">
        <w:rPr>
          <w:rFonts w:ascii="Times New Roman" w:eastAsia="Times New Roman" w:hAnsi="Times New Roman" w:cs="Times New Roman"/>
          <w:bCs/>
          <w:sz w:val="24"/>
          <w:szCs w:val="24"/>
        </w:rPr>
        <w:t xml:space="preserve"> </w:t>
      </w:r>
      <w:r w:rsidR="009D6D7D" w:rsidRPr="009D6D7D">
        <w:rPr>
          <w:rFonts w:ascii="Times New Roman" w:hAnsi="Times New Roman" w:cs="Times New Roman"/>
          <w:sz w:val="24"/>
          <w:szCs w:val="24"/>
        </w:rPr>
        <w:t>So that in the concept of administrative law, actions outside the provisions can be justified, namely the principle of legality at the operational stage can be carried out dynamically, effectively and efficiently.</w:t>
      </w:r>
      <w:r w:rsidR="009D6D7D" w:rsidRPr="009D6D7D">
        <w:rPr>
          <w:rStyle w:val="FootnoteReference"/>
          <w:rFonts w:ascii="Times New Roman" w:hAnsi="Times New Roman" w:cs="Times New Roman"/>
          <w:sz w:val="24"/>
          <w:szCs w:val="24"/>
        </w:rPr>
        <w:footnoteReference w:id="51"/>
      </w:r>
      <w:r w:rsidR="009D6D7D" w:rsidRPr="009D6D7D">
        <w:rPr>
          <w:rFonts w:ascii="Times New Roman" w:hAnsi="Times New Roman" w:cs="Times New Roman"/>
          <w:sz w:val="24"/>
          <w:szCs w:val="24"/>
        </w:rPr>
        <w:t xml:space="preserve"> In the perspective of administrative law, the interpretation of discretion in the form of decisions and actions is an exception to the principle of legality, but is still guided by the predetermined authority. Even though the authority in question is multi-interpreted, or under certain conditions or urgent, the government is obliged to provide solutions </w:t>
      </w:r>
      <w:r w:rsidR="009D6D7D" w:rsidRPr="009D6D7D">
        <w:rPr>
          <w:rFonts w:ascii="Times New Roman" w:hAnsi="Times New Roman" w:cs="Times New Roman"/>
          <w:sz w:val="24"/>
          <w:szCs w:val="24"/>
        </w:rPr>
        <w:lastRenderedPageBreak/>
        <w:t xml:space="preserve">to the problems faced. Meanwhile, the criteria for discretion are generally characterized by the birth of new laws or new circumstances, such as: forming or dissolving institutions or civil legal entities, in the form of orders, can be beneficial (positive) or detrimental (negative) to related </w:t>
      </w:r>
      <w:proofErr w:type="gramStart"/>
      <w:r w:rsidR="009D6D7D" w:rsidRPr="009D6D7D">
        <w:rPr>
          <w:rFonts w:ascii="Times New Roman" w:hAnsi="Times New Roman" w:cs="Times New Roman"/>
          <w:sz w:val="24"/>
          <w:szCs w:val="24"/>
        </w:rPr>
        <w:t>parties,</w:t>
      </w:r>
      <w:proofErr w:type="gramEnd"/>
      <w:r w:rsidR="009D6D7D" w:rsidRPr="009D6D7D">
        <w:rPr>
          <w:rFonts w:ascii="Times New Roman" w:hAnsi="Times New Roman" w:cs="Times New Roman"/>
          <w:sz w:val="24"/>
          <w:szCs w:val="24"/>
        </w:rPr>
        <w:t xml:space="preserve"> and the actions taken are the duties and obligations of their authority.</w:t>
      </w:r>
      <w:r w:rsidR="009D6D7D" w:rsidRPr="009D6D7D">
        <w:rPr>
          <w:rStyle w:val="FootnoteReference"/>
          <w:rFonts w:ascii="Times New Roman" w:hAnsi="Times New Roman" w:cs="Times New Roman"/>
          <w:sz w:val="24"/>
          <w:szCs w:val="24"/>
        </w:rPr>
        <w:footnoteReference w:id="52"/>
      </w:r>
    </w:p>
    <w:p w:rsidR="009D6D7D" w:rsidRDefault="009D6D7D" w:rsidP="00BC288F">
      <w:pPr>
        <w:spacing w:after="0" w:line="360" w:lineRule="auto"/>
        <w:ind w:firstLine="567"/>
        <w:jc w:val="both"/>
        <w:rPr>
          <w:rFonts w:ascii="Times New Roman" w:hAnsi="Times New Roman" w:cs="Times New Roman"/>
          <w:sz w:val="24"/>
          <w:szCs w:val="24"/>
        </w:rPr>
      </w:pPr>
      <w:proofErr w:type="gramStart"/>
      <w:r w:rsidRPr="009D6D7D">
        <w:rPr>
          <w:rFonts w:ascii="Times New Roman" w:hAnsi="Times New Roman" w:cs="Times New Roman"/>
          <w:sz w:val="24"/>
          <w:szCs w:val="24"/>
        </w:rPr>
        <w:t>Article 1 Point 9 which regulates discretion to be used when the substance of laws and regulations provides options, does not regulate, is incomplete or unclear, and/or government stagnation.</w:t>
      </w:r>
      <w:proofErr w:type="gramEnd"/>
      <w:r w:rsidRPr="009D6D7D">
        <w:rPr>
          <w:rFonts w:ascii="Times New Roman" w:hAnsi="Times New Roman" w:cs="Times New Roman"/>
          <w:sz w:val="24"/>
          <w:szCs w:val="24"/>
        </w:rPr>
        <w:t xml:space="preserve"> This means that KTUN can be used to implement the provisions of laws and regulations, AUPB, the existence of options provided by law, or the existence of unclear substance in laws and regulations. One of the characteristics of choice in laws addressed to government officials is the use of the word "</w:t>
      </w:r>
      <w:proofErr w:type="gramStart"/>
      <w:r w:rsidRPr="009D6D7D">
        <w:rPr>
          <w:rFonts w:ascii="Times New Roman" w:hAnsi="Times New Roman" w:cs="Times New Roman"/>
          <w:sz w:val="24"/>
          <w:szCs w:val="24"/>
        </w:rPr>
        <w:t>may</w:t>
      </w:r>
      <w:proofErr w:type="gramEnd"/>
      <w:r w:rsidRPr="009D6D7D">
        <w:rPr>
          <w:rFonts w:ascii="Times New Roman" w:hAnsi="Times New Roman" w:cs="Times New Roman"/>
          <w:sz w:val="24"/>
          <w:szCs w:val="24"/>
        </w:rPr>
        <w:t>" in the formulation of norms. These characteristics have been confirmed in the Annex to Law No. 12 of 2011 on the Formation of Laws Delegation of authority to government officials to form Administrative Decrees is characterized by the formulation of the norm of authority "determined by".</w:t>
      </w:r>
      <w:r>
        <w:rPr>
          <w:rStyle w:val="FootnoteReference"/>
          <w:rFonts w:ascii="Times New Roman" w:hAnsi="Times New Roman" w:cs="Times New Roman"/>
          <w:sz w:val="24"/>
          <w:szCs w:val="24"/>
        </w:rPr>
        <w:footnoteReference w:id="53"/>
      </w:r>
    </w:p>
    <w:p w:rsidR="009D6D7D" w:rsidRDefault="009D6D7D" w:rsidP="009D6D7D">
      <w:pPr>
        <w:spacing w:after="0" w:line="360" w:lineRule="auto"/>
        <w:jc w:val="both"/>
        <w:rPr>
          <w:rFonts w:ascii="Times New Roman" w:hAnsi="Times New Roman" w:cs="Times New Roman"/>
          <w:sz w:val="24"/>
          <w:szCs w:val="24"/>
        </w:rPr>
      </w:pPr>
    </w:p>
    <w:p w:rsidR="009D6D7D" w:rsidRDefault="009D6D7D" w:rsidP="009D6D7D">
      <w:pPr>
        <w:pStyle w:val="ListParagraph"/>
        <w:numPr>
          <w:ilvl w:val="0"/>
          <w:numId w:val="15"/>
        </w:numPr>
        <w:spacing w:after="0" w:line="360" w:lineRule="auto"/>
        <w:ind w:left="426"/>
        <w:jc w:val="both"/>
        <w:rPr>
          <w:rFonts w:ascii="Times New Roman" w:hAnsi="Times New Roman" w:cs="Times New Roman"/>
          <w:b/>
          <w:bCs/>
          <w:sz w:val="24"/>
          <w:szCs w:val="24"/>
        </w:rPr>
      </w:pPr>
      <w:r w:rsidRPr="009D6D7D">
        <w:rPr>
          <w:rFonts w:ascii="Times New Roman" w:hAnsi="Times New Roman" w:cs="Times New Roman"/>
          <w:b/>
          <w:bCs/>
          <w:sz w:val="24"/>
          <w:szCs w:val="24"/>
        </w:rPr>
        <w:t>The Problem of State Administrative Decisions (KTUN) and the Principle of Positive Fiction</w:t>
      </w:r>
    </w:p>
    <w:p w:rsidR="009D6D7D" w:rsidRPr="009D6D7D" w:rsidRDefault="009D6D7D" w:rsidP="009D6D7D">
      <w:pPr>
        <w:spacing w:after="0" w:line="360" w:lineRule="auto"/>
        <w:ind w:left="66"/>
        <w:jc w:val="both"/>
        <w:rPr>
          <w:rFonts w:ascii="Times New Roman" w:hAnsi="Times New Roman" w:cs="Times New Roman"/>
          <w:b/>
          <w:bCs/>
          <w:sz w:val="28"/>
          <w:szCs w:val="28"/>
        </w:rPr>
      </w:pPr>
      <w:r w:rsidRPr="009D6D7D">
        <w:rPr>
          <w:rFonts w:ascii="Times New Roman" w:hAnsi="Times New Roman" w:cs="Times New Roman"/>
          <w:sz w:val="24"/>
          <w:szCs w:val="24"/>
        </w:rPr>
        <w:t>KTUN in its definition in Article 1 point 7 of Law No. 30 of 2014 explains that KTUN is a written decision issued by a state administrative agency/official in the administration of government. The concept of KTUN is expanded through Article 87 of this Law so as to expand the competence of PTUN and also creates a new construction of the elements contained in KTUN as an object of dispute at PTUN.</w:t>
      </w:r>
      <w:r w:rsidRPr="009D6D7D">
        <w:rPr>
          <w:rStyle w:val="FootnoteReference"/>
          <w:rFonts w:ascii="Times New Roman" w:hAnsi="Times New Roman" w:cs="Times New Roman"/>
          <w:sz w:val="24"/>
          <w:szCs w:val="24"/>
        </w:rPr>
        <w:footnoteReference w:id="54"/>
      </w:r>
      <w:r w:rsidRPr="009D6D7D">
        <w:rPr>
          <w:rFonts w:ascii="Times New Roman" w:hAnsi="Times New Roman" w:cs="Times New Roman"/>
          <w:sz w:val="24"/>
          <w:szCs w:val="24"/>
        </w:rPr>
        <w:t xml:space="preserve"> There are at least 2 (two) reasons for the object of state administrative disputes after this Law, that is:</w:t>
      </w:r>
      <w:r w:rsidRPr="009D6D7D">
        <w:rPr>
          <w:rStyle w:val="FootnoteReference"/>
          <w:rFonts w:ascii="Times New Roman" w:hAnsi="Times New Roman" w:cs="Times New Roman"/>
          <w:sz w:val="24"/>
          <w:szCs w:val="24"/>
        </w:rPr>
        <w:footnoteReference w:id="55"/>
      </w:r>
    </w:p>
    <w:p w:rsidR="009D6D7D" w:rsidRPr="009D6D7D" w:rsidRDefault="009D6D7D" w:rsidP="009D6D7D">
      <w:pPr>
        <w:pStyle w:val="ListParagraph"/>
        <w:numPr>
          <w:ilvl w:val="0"/>
          <w:numId w:val="23"/>
        </w:numPr>
        <w:spacing w:after="0" w:line="360" w:lineRule="auto"/>
        <w:jc w:val="both"/>
        <w:rPr>
          <w:rFonts w:ascii="Times New Roman" w:hAnsi="Times New Roman" w:cs="Times New Roman"/>
          <w:sz w:val="24"/>
          <w:szCs w:val="24"/>
        </w:rPr>
      </w:pPr>
      <w:r w:rsidRPr="009D6D7D">
        <w:rPr>
          <w:rFonts w:ascii="Times New Roman" w:hAnsi="Times New Roman" w:cs="Times New Roman"/>
          <w:sz w:val="24"/>
          <w:szCs w:val="24"/>
        </w:rPr>
        <w:t xml:space="preserve">KTUN issued by a TUN official or body; and </w:t>
      </w:r>
    </w:p>
    <w:p w:rsidR="009D6D7D" w:rsidRPr="009D6D7D" w:rsidRDefault="009D6D7D" w:rsidP="009D6D7D">
      <w:pPr>
        <w:pStyle w:val="ListParagraph"/>
        <w:numPr>
          <w:ilvl w:val="0"/>
          <w:numId w:val="23"/>
        </w:numPr>
        <w:spacing w:after="0" w:line="360" w:lineRule="auto"/>
        <w:jc w:val="both"/>
        <w:rPr>
          <w:rFonts w:ascii="Times New Roman" w:hAnsi="Times New Roman" w:cs="Times New Roman"/>
          <w:sz w:val="24"/>
          <w:szCs w:val="24"/>
        </w:rPr>
      </w:pPr>
      <w:r w:rsidRPr="009D6D7D">
        <w:rPr>
          <w:rFonts w:ascii="Times New Roman" w:hAnsi="Times New Roman" w:cs="Times New Roman"/>
          <w:sz w:val="24"/>
          <w:szCs w:val="24"/>
        </w:rPr>
        <w:t>Performing or not performing factual actions by government officials or other state administrators.</w:t>
      </w:r>
    </w:p>
    <w:p w:rsidR="009D6D7D" w:rsidRDefault="009D6D7D" w:rsidP="009D6D7D">
      <w:pPr>
        <w:spacing w:after="0" w:line="360" w:lineRule="auto"/>
        <w:jc w:val="both"/>
        <w:rPr>
          <w:rFonts w:ascii="Times New Roman" w:hAnsi="Times New Roman" w:cs="Times New Roman"/>
          <w:sz w:val="24"/>
          <w:szCs w:val="24"/>
        </w:rPr>
      </w:pPr>
      <w:r w:rsidRPr="009D6D7D">
        <w:rPr>
          <w:rFonts w:ascii="Times New Roman" w:hAnsi="Times New Roman" w:cs="Times New Roman"/>
          <w:sz w:val="24"/>
          <w:szCs w:val="24"/>
        </w:rPr>
        <w:t xml:space="preserve">However, this is contrary to Article 47 </w:t>
      </w:r>
      <w:proofErr w:type="spellStart"/>
      <w:proofErr w:type="gramStart"/>
      <w:r w:rsidRPr="009D6D7D">
        <w:rPr>
          <w:rFonts w:ascii="Times New Roman" w:hAnsi="Times New Roman" w:cs="Times New Roman"/>
          <w:sz w:val="24"/>
          <w:szCs w:val="24"/>
        </w:rPr>
        <w:t>jo</w:t>
      </w:r>
      <w:proofErr w:type="spellEnd"/>
      <w:proofErr w:type="gramEnd"/>
      <w:r w:rsidRPr="009D6D7D">
        <w:rPr>
          <w:rFonts w:ascii="Times New Roman" w:hAnsi="Times New Roman" w:cs="Times New Roman"/>
          <w:sz w:val="24"/>
          <w:szCs w:val="24"/>
        </w:rPr>
        <w:t xml:space="preserve">. Article 1 point 10 of Law No. 51/2009, which, if understood, states that one of the competencies of the Administrative </w:t>
      </w:r>
      <w:proofErr w:type="gramStart"/>
      <w:r w:rsidRPr="009D6D7D">
        <w:rPr>
          <w:rFonts w:ascii="Times New Roman" w:hAnsi="Times New Roman" w:cs="Times New Roman"/>
          <w:sz w:val="24"/>
          <w:szCs w:val="24"/>
        </w:rPr>
        <w:t>Court</w:t>
      </w:r>
      <w:proofErr w:type="gramEnd"/>
      <w:r w:rsidRPr="009D6D7D">
        <w:rPr>
          <w:rFonts w:ascii="Times New Roman" w:hAnsi="Times New Roman" w:cs="Times New Roman"/>
          <w:sz w:val="24"/>
          <w:szCs w:val="24"/>
        </w:rPr>
        <w:t xml:space="preserve"> is the effect of the </w:t>
      </w:r>
      <w:r w:rsidRPr="009D6D7D">
        <w:rPr>
          <w:rFonts w:ascii="Times New Roman" w:hAnsi="Times New Roman" w:cs="Times New Roman"/>
          <w:sz w:val="24"/>
          <w:szCs w:val="24"/>
        </w:rPr>
        <w:lastRenderedPageBreak/>
        <w:t xml:space="preserve">issuance of a KTUN. If interpreted an </w:t>
      </w:r>
      <w:proofErr w:type="spellStart"/>
      <w:r w:rsidRPr="009D6D7D">
        <w:rPr>
          <w:rFonts w:ascii="Times New Roman" w:hAnsi="Times New Roman" w:cs="Times New Roman"/>
          <w:sz w:val="24"/>
          <w:szCs w:val="24"/>
        </w:rPr>
        <w:t>sicht</w:t>
      </w:r>
      <w:proofErr w:type="spellEnd"/>
      <w:r w:rsidRPr="009D6D7D">
        <w:rPr>
          <w:rFonts w:ascii="Times New Roman" w:hAnsi="Times New Roman" w:cs="Times New Roman"/>
          <w:sz w:val="24"/>
          <w:szCs w:val="24"/>
        </w:rPr>
        <w:t>, it is as if the government is actively acting (commission) to issue a KTUN, but it turns out that there are KTUN issued because the government does nothing or is passive (omission).</w:t>
      </w:r>
      <w:r>
        <w:rPr>
          <w:rStyle w:val="FootnoteReference"/>
          <w:rFonts w:ascii="Times New Roman" w:hAnsi="Times New Roman" w:cs="Times New Roman"/>
          <w:sz w:val="24"/>
          <w:szCs w:val="24"/>
        </w:rPr>
        <w:footnoteReference w:id="56"/>
      </w:r>
      <w:r>
        <w:rPr>
          <w:rFonts w:ascii="Times New Roman" w:hAnsi="Times New Roman" w:cs="Times New Roman"/>
          <w:sz w:val="24"/>
          <w:szCs w:val="24"/>
        </w:rPr>
        <w:t xml:space="preserve"> </w:t>
      </w:r>
      <w:r w:rsidRPr="009D6D7D">
        <w:rPr>
          <w:rFonts w:ascii="Times New Roman" w:hAnsi="Times New Roman" w:cs="Times New Roman"/>
          <w:sz w:val="24"/>
          <w:szCs w:val="24"/>
        </w:rPr>
        <w:t xml:space="preserve">The elements of a KTUN in Article 1 number 9 of Law No. 50 of 2009 are: </w:t>
      </w:r>
    </w:p>
    <w:p w:rsidR="009D6D7D" w:rsidRPr="009D6D7D" w:rsidRDefault="009D6D7D" w:rsidP="009D6D7D">
      <w:pPr>
        <w:pStyle w:val="ListParagraph"/>
        <w:numPr>
          <w:ilvl w:val="1"/>
          <w:numId w:val="23"/>
        </w:numPr>
        <w:spacing w:after="0" w:line="360" w:lineRule="auto"/>
        <w:ind w:left="851" w:hanging="284"/>
        <w:jc w:val="both"/>
        <w:rPr>
          <w:rFonts w:ascii="Times New Roman" w:eastAsia="Times New Roman" w:hAnsi="Times New Roman" w:cs="Times New Roman"/>
          <w:bCs/>
          <w:sz w:val="36"/>
          <w:szCs w:val="32"/>
        </w:rPr>
      </w:pPr>
      <w:r>
        <w:rPr>
          <w:rFonts w:ascii="Times New Roman" w:hAnsi="Times New Roman" w:cs="Times New Roman"/>
          <w:sz w:val="24"/>
          <w:szCs w:val="24"/>
        </w:rPr>
        <w:t xml:space="preserve">Written stipulation; </w:t>
      </w:r>
    </w:p>
    <w:p w:rsidR="009D6D7D" w:rsidRPr="009D6D7D" w:rsidRDefault="009D6D7D" w:rsidP="009D6D7D">
      <w:pPr>
        <w:pStyle w:val="ListParagraph"/>
        <w:numPr>
          <w:ilvl w:val="1"/>
          <w:numId w:val="23"/>
        </w:numPr>
        <w:spacing w:after="0" w:line="360" w:lineRule="auto"/>
        <w:ind w:left="851" w:hanging="284"/>
        <w:jc w:val="both"/>
        <w:rPr>
          <w:rFonts w:ascii="Times New Roman" w:eastAsia="Times New Roman" w:hAnsi="Times New Roman" w:cs="Times New Roman"/>
          <w:bCs/>
          <w:sz w:val="36"/>
          <w:szCs w:val="32"/>
        </w:rPr>
      </w:pPr>
      <w:r w:rsidRPr="009D6D7D">
        <w:rPr>
          <w:rFonts w:ascii="Times New Roman" w:hAnsi="Times New Roman" w:cs="Times New Roman"/>
          <w:sz w:val="24"/>
          <w:szCs w:val="24"/>
        </w:rPr>
        <w:t>By a state adm</w:t>
      </w:r>
      <w:r>
        <w:rPr>
          <w:rFonts w:ascii="Times New Roman" w:hAnsi="Times New Roman" w:cs="Times New Roman"/>
          <w:sz w:val="24"/>
          <w:szCs w:val="24"/>
        </w:rPr>
        <w:t xml:space="preserve">inistrative agency/official; </w:t>
      </w:r>
    </w:p>
    <w:p w:rsidR="009D6D7D" w:rsidRPr="009D6D7D" w:rsidRDefault="009D6D7D" w:rsidP="009D6D7D">
      <w:pPr>
        <w:pStyle w:val="ListParagraph"/>
        <w:numPr>
          <w:ilvl w:val="1"/>
          <w:numId w:val="23"/>
        </w:numPr>
        <w:spacing w:after="0" w:line="360" w:lineRule="auto"/>
        <w:ind w:left="851" w:hanging="284"/>
        <w:jc w:val="both"/>
        <w:rPr>
          <w:rFonts w:ascii="Times New Roman" w:eastAsia="Times New Roman" w:hAnsi="Times New Roman" w:cs="Times New Roman"/>
          <w:bCs/>
          <w:sz w:val="36"/>
          <w:szCs w:val="32"/>
        </w:rPr>
      </w:pPr>
      <w:r>
        <w:rPr>
          <w:rFonts w:ascii="Times New Roman" w:hAnsi="Times New Roman" w:cs="Times New Roman"/>
          <w:sz w:val="24"/>
          <w:szCs w:val="24"/>
        </w:rPr>
        <w:t xml:space="preserve">Administrative legal action; </w:t>
      </w:r>
    </w:p>
    <w:p w:rsidR="009D6D7D" w:rsidRPr="009D6D7D" w:rsidRDefault="009D6D7D" w:rsidP="009D6D7D">
      <w:pPr>
        <w:pStyle w:val="ListParagraph"/>
        <w:numPr>
          <w:ilvl w:val="1"/>
          <w:numId w:val="23"/>
        </w:numPr>
        <w:spacing w:after="0" w:line="360" w:lineRule="auto"/>
        <w:ind w:left="851" w:hanging="284"/>
        <w:jc w:val="both"/>
        <w:rPr>
          <w:rFonts w:ascii="Times New Roman" w:eastAsia="Times New Roman" w:hAnsi="Times New Roman" w:cs="Times New Roman"/>
          <w:bCs/>
          <w:sz w:val="36"/>
          <w:szCs w:val="32"/>
        </w:rPr>
      </w:pPr>
      <w:r>
        <w:rPr>
          <w:rFonts w:ascii="Times New Roman" w:hAnsi="Times New Roman" w:cs="Times New Roman"/>
          <w:sz w:val="24"/>
          <w:szCs w:val="24"/>
        </w:rPr>
        <w:t xml:space="preserve">Concrete, individualized; </w:t>
      </w:r>
    </w:p>
    <w:p w:rsidR="009D6D7D" w:rsidRPr="009D6D7D" w:rsidRDefault="009D6D7D" w:rsidP="009D6D7D">
      <w:pPr>
        <w:pStyle w:val="ListParagraph"/>
        <w:numPr>
          <w:ilvl w:val="1"/>
          <w:numId w:val="23"/>
        </w:numPr>
        <w:spacing w:after="0" w:line="360" w:lineRule="auto"/>
        <w:ind w:left="851" w:hanging="284"/>
        <w:jc w:val="both"/>
        <w:rPr>
          <w:rFonts w:ascii="Times New Roman" w:eastAsia="Times New Roman" w:hAnsi="Times New Roman" w:cs="Times New Roman"/>
          <w:bCs/>
          <w:sz w:val="36"/>
          <w:szCs w:val="32"/>
        </w:rPr>
      </w:pPr>
      <w:r>
        <w:rPr>
          <w:rFonts w:ascii="Times New Roman" w:hAnsi="Times New Roman" w:cs="Times New Roman"/>
          <w:sz w:val="24"/>
          <w:szCs w:val="24"/>
        </w:rPr>
        <w:t xml:space="preserve">Final; </w:t>
      </w:r>
    </w:p>
    <w:p w:rsidR="00BC288F" w:rsidRPr="009D6D7D" w:rsidRDefault="009D6D7D" w:rsidP="009D6D7D">
      <w:pPr>
        <w:pStyle w:val="ListParagraph"/>
        <w:numPr>
          <w:ilvl w:val="1"/>
          <w:numId w:val="23"/>
        </w:numPr>
        <w:spacing w:after="0" w:line="360" w:lineRule="auto"/>
        <w:ind w:left="851" w:hanging="284"/>
        <w:jc w:val="both"/>
        <w:rPr>
          <w:rFonts w:ascii="Times New Roman" w:eastAsia="Times New Roman" w:hAnsi="Times New Roman" w:cs="Times New Roman"/>
          <w:bCs/>
          <w:sz w:val="36"/>
          <w:szCs w:val="32"/>
        </w:rPr>
      </w:pPr>
      <w:r w:rsidRPr="009D6D7D">
        <w:rPr>
          <w:rFonts w:ascii="Times New Roman" w:hAnsi="Times New Roman" w:cs="Times New Roman"/>
          <w:sz w:val="24"/>
          <w:szCs w:val="24"/>
        </w:rPr>
        <w:t>Legal consequences for citizens or civil legal entities</w:t>
      </w:r>
      <w:r>
        <w:rPr>
          <w:rFonts w:ascii="Times New Roman" w:hAnsi="Times New Roman" w:cs="Times New Roman"/>
          <w:sz w:val="24"/>
          <w:szCs w:val="24"/>
        </w:rPr>
        <w:t>.</w:t>
      </w:r>
    </w:p>
    <w:p w:rsidR="009D6D7D" w:rsidRPr="009D6D7D" w:rsidRDefault="009D6D7D" w:rsidP="009D6D7D">
      <w:pPr>
        <w:spacing w:after="0" w:line="360" w:lineRule="auto"/>
        <w:jc w:val="both"/>
        <w:rPr>
          <w:rFonts w:ascii="Times New Roman" w:eastAsia="Times New Roman" w:hAnsi="Times New Roman" w:cs="Times New Roman"/>
          <w:bCs/>
          <w:sz w:val="40"/>
          <w:szCs w:val="36"/>
        </w:rPr>
      </w:pPr>
      <w:r w:rsidRPr="009D6D7D">
        <w:rPr>
          <w:rFonts w:ascii="Times New Roman" w:hAnsi="Times New Roman" w:cs="Times New Roman"/>
          <w:sz w:val="24"/>
          <w:szCs w:val="24"/>
        </w:rPr>
        <w:t>The nomenclature that can be used in the use of policies is KTUN and factual government actions. When referring to the definition of KTUN in Law No. 30 of 2014 which expands the definition of KTUN in Law No. 51 of 2009, it can be concluded that the use of KTUN as an instrument of discretion is contrary to the nature of discretion. Article 87 of Law No. 30 of 2014 stipulates that the KTUN in Law 51 of 2009 must be interpreted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7"/>
      </w:r>
    </w:p>
    <w:p w:rsidR="009D6D7D" w:rsidRPr="00693C0F" w:rsidRDefault="009D6D7D" w:rsidP="00693C0F">
      <w:pPr>
        <w:pStyle w:val="ListParagraph"/>
        <w:numPr>
          <w:ilvl w:val="0"/>
          <w:numId w:val="26"/>
        </w:numPr>
        <w:spacing w:after="0" w:line="360" w:lineRule="auto"/>
        <w:jc w:val="both"/>
        <w:rPr>
          <w:rFonts w:ascii="Times New Roman" w:eastAsia="Times New Roman" w:hAnsi="Times New Roman" w:cs="Times New Roman"/>
          <w:bCs/>
          <w:sz w:val="28"/>
          <w:szCs w:val="24"/>
        </w:rPr>
      </w:pPr>
      <w:r w:rsidRPr="00693C0F">
        <w:rPr>
          <w:rFonts w:ascii="Times New Roman" w:hAnsi="Times New Roman" w:cs="Times New Roman"/>
          <w:sz w:val="24"/>
          <w:szCs w:val="24"/>
        </w:rPr>
        <w:t xml:space="preserve">A written stipulation that also includes factual actions; </w:t>
      </w:r>
    </w:p>
    <w:p w:rsidR="00693C0F" w:rsidRPr="00693C0F" w:rsidRDefault="009D6D7D" w:rsidP="00693C0F">
      <w:pPr>
        <w:pStyle w:val="ListParagraph"/>
        <w:numPr>
          <w:ilvl w:val="0"/>
          <w:numId w:val="26"/>
        </w:numPr>
        <w:spacing w:after="0" w:line="360" w:lineRule="auto"/>
        <w:jc w:val="both"/>
        <w:rPr>
          <w:rFonts w:ascii="Times New Roman" w:eastAsia="Times New Roman" w:hAnsi="Times New Roman" w:cs="Times New Roman"/>
          <w:bCs/>
          <w:sz w:val="28"/>
          <w:szCs w:val="24"/>
        </w:rPr>
      </w:pPr>
      <w:r w:rsidRPr="00693C0F">
        <w:rPr>
          <w:rFonts w:ascii="Times New Roman" w:hAnsi="Times New Roman" w:cs="Times New Roman"/>
          <w:sz w:val="24"/>
          <w:szCs w:val="24"/>
        </w:rPr>
        <w:t>Decisions of state administrative agencies/officials within the executive, legislative, judicial, and</w:t>
      </w:r>
      <w:r w:rsidR="00693C0F" w:rsidRPr="00693C0F">
        <w:rPr>
          <w:rFonts w:ascii="Times New Roman" w:hAnsi="Times New Roman" w:cs="Times New Roman"/>
          <w:sz w:val="24"/>
          <w:szCs w:val="24"/>
        </w:rPr>
        <w:t xml:space="preserve"> other state administrators; </w:t>
      </w:r>
    </w:p>
    <w:p w:rsidR="00693C0F" w:rsidRPr="00693C0F" w:rsidRDefault="009D6D7D" w:rsidP="00693C0F">
      <w:pPr>
        <w:pStyle w:val="ListParagraph"/>
        <w:numPr>
          <w:ilvl w:val="0"/>
          <w:numId w:val="26"/>
        </w:numPr>
        <w:spacing w:after="0" w:line="360" w:lineRule="auto"/>
        <w:jc w:val="both"/>
        <w:rPr>
          <w:rFonts w:ascii="Times New Roman" w:eastAsia="Times New Roman" w:hAnsi="Times New Roman" w:cs="Times New Roman"/>
          <w:bCs/>
          <w:sz w:val="28"/>
          <w:szCs w:val="24"/>
        </w:rPr>
      </w:pPr>
      <w:r w:rsidRPr="00693C0F">
        <w:rPr>
          <w:rFonts w:ascii="Times New Roman" w:hAnsi="Times New Roman" w:cs="Times New Roman"/>
          <w:sz w:val="24"/>
          <w:szCs w:val="24"/>
        </w:rPr>
        <w:t>Based on st</w:t>
      </w:r>
      <w:r w:rsidR="00693C0F" w:rsidRPr="00693C0F">
        <w:rPr>
          <w:rFonts w:ascii="Times New Roman" w:hAnsi="Times New Roman" w:cs="Times New Roman"/>
          <w:sz w:val="24"/>
          <w:szCs w:val="24"/>
        </w:rPr>
        <w:t xml:space="preserve">atutory provisions and AUPB; </w:t>
      </w:r>
    </w:p>
    <w:p w:rsidR="00693C0F" w:rsidRPr="00693C0F" w:rsidRDefault="00693C0F" w:rsidP="00693C0F">
      <w:pPr>
        <w:pStyle w:val="ListParagraph"/>
        <w:numPr>
          <w:ilvl w:val="0"/>
          <w:numId w:val="26"/>
        </w:numPr>
        <w:spacing w:after="0" w:line="360" w:lineRule="auto"/>
        <w:jc w:val="both"/>
        <w:rPr>
          <w:rFonts w:ascii="Times New Roman" w:eastAsia="Times New Roman" w:hAnsi="Times New Roman" w:cs="Times New Roman"/>
          <w:bCs/>
          <w:sz w:val="28"/>
          <w:szCs w:val="24"/>
        </w:rPr>
      </w:pPr>
      <w:r w:rsidRPr="00693C0F">
        <w:rPr>
          <w:rFonts w:ascii="Times New Roman" w:hAnsi="Times New Roman" w:cs="Times New Roman"/>
          <w:sz w:val="24"/>
          <w:szCs w:val="24"/>
        </w:rPr>
        <w:t xml:space="preserve">Final in the broadest sense; </w:t>
      </w:r>
    </w:p>
    <w:p w:rsidR="00693C0F" w:rsidRPr="00693C0F" w:rsidRDefault="009D6D7D" w:rsidP="00693C0F">
      <w:pPr>
        <w:pStyle w:val="ListParagraph"/>
        <w:numPr>
          <w:ilvl w:val="0"/>
          <w:numId w:val="26"/>
        </w:numPr>
        <w:spacing w:after="0" w:line="360" w:lineRule="auto"/>
        <w:jc w:val="both"/>
        <w:rPr>
          <w:rFonts w:ascii="Times New Roman" w:eastAsia="Times New Roman" w:hAnsi="Times New Roman" w:cs="Times New Roman"/>
          <w:bCs/>
          <w:sz w:val="28"/>
          <w:szCs w:val="24"/>
        </w:rPr>
      </w:pPr>
      <w:r w:rsidRPr="00693C0F">
        <w:rPr>
          <w:rFonts w:ascii="Times New Roman" w:hAnsi="Times New Roman" w:cs="Times New Roman"/>
          <w:sz w:val="24"/>
          <w:szCs w:val="24"/>
        </w:rPr>
        <w:t>Decisions that have the potential to c</w:t>
      </w:r>
      <w:r w:rsidR="00693C0F" w:rsidRPr="00693C0F">
        <w:rPr>
          <w:rFonts w:ascii="Times New Roman" w:hAnsi="Times New Roman" w:cs="Times New Roman"/>
          <w:sz w:val="24"/>
          <w:szCs w:val="24"/>
        </w:rPr>
        <w:t xml:space="preserve">ause legal consequences; and </w:t>
      </w:r>
    </w:p>
    <w:p w:rsidR="00A20F91" w:rsidRPr="00693C0F" w:rsidRDefault="009D6D7D" w:rsidP="00693C0F">
      <w:pPr>
        <w:pStyle w:val="ListParagraph"/>
        <w:numPr>
          <w:ilvl w:val="0"/>
          <w:numId w:val="26"/>
        </w:numPr>
        <w:spacing w:after="0" w:line="360" w:lineRule="auto"/>
        <w:jc w:val="both"/>
        <w:rPr>
          <w:rFonts w:ascii="Times New Roman" w:eastAsia="Times New Roman" w:hAnsi="Times New Roman" w:cs="Times New Roman"/>
          <w:bCs/>
          <w:sz w:val="28"/>
          <w:szCs w:val="24"/>
        </w:rPr>
      </w:pPr>
      <w:r w:rsidRPr="00693C0F">
        <w:rPr>
          <w:rFonts w:ascii="Times New Roman" w:hAnsi="Times New Roman" w:cs="Times New Roman"/>
          <w:sz w:val="24"/>
          <w:szCs w:val="24"/>
        </w:rPr>
        <w:t>Decisions that apply to the citizens of the community.</w:t>
      </w:r>
    </w:p>
    <w:p w:rsidR="00693C0F" w:rsidRDefault="00693C0F" w:rsidP="00693C0F">
      <w:pPr>
        <w:spacing w:after="0" w:line="360" w:lineRule="auto"/>
        <w:jc w:val="both"/>
        <w:rPr>
          <w:rFonts w:ascii="Times New Roman" w:hAnsi="Times New Roman" w:cs="Times New Roman"/>
          <w:sz w:val="24"/>
          <w:szCs w:val="24"/>
        </w:rPr>
      </w:pPr>
      <w:r w:rsidRPr="00693C0F">
        <w:rPr>
          <w:rFonts w:ascii="Times New Roman" w:hAnsi="Times New Roman" w:cs="Times New Roman"/>
          <w:sz w:val="24"/>
          <w:szCs w:val="24"/>
        </w:rPr>
        <w:t xml:space="preserve">The concept in </w:t>
      </w:r>
      <w:r w:rsidRPr="00693C0F">
        <w:rPr>
          <w:rFonts w:ascii="Times New Roman" w:hAnsi="Times New Roman" w:cs="Times New Roman"/>
          <w:b/>
          <w:bCs/>
          <w:sz w:val="24"/>
          <w:szCs w:val="24"/>
        </w:rPr>
        <w:t>Article 87 letter a</w:t>
      </w:r>
      <w:r w:rsidRPr="00693C0F">
        <w:rPr>
          <w:rFonts w:ascii="Times New Roman" w:hAnsi="Times New Roman" w:cs="Times New Roman"/>
          <w:sz w:val="24"/>
          <w:szCs w:val="24"/>
        </w:rPr>
        <w:t xml:space="preserve"> which reaps contradictions regarding the concept of administrative law, according to </w:t>
      </w:r>
      <w:proofErr w:type="spellStart"/>
      <w:r w:rsidRPr="00693C0F">
        <w:rPr>
          <w:rFonts w:ascii="Times New Roman" w:hAnsi="Times New Roman" w:cs="Times New Roman"/>
          <w:sz w:val="24"/>
          <w:szCs w:val="24"/>
        </w:rPr>
        <w:t>Philpus</w:t>
      </w:r>
      <w:proofErr w:type="spellEnd"/>
      <w:r w:rsidRPr="00693C0F">
        <w:rPr>
          <w:rFonts w:ascii="Times New Roman" w:hAnsi="Times New Roman" w:cs="Times New Roman"/>
          <w:sz w:val="24"/>
          <w:szCs w:val="24"/>
        </w:rPr>
        <w:t xml:space="preserve"> M. </w:t>
      </w:r>
      <w:proofErr w:type="spellStart"/>
      <w:r w:rsidRPr="00693C0F">
        <w:rPr>
          <w:rFonts w:ascii="Times New Roman" w:hAnsi="Times New Roman" w:cs="Times New Roman"/>
          <w:sz w:val="24"/>
          <w:szCs w:val="24"/>
        </w:rPr>
        <w:t>Hadjon</w:t>
      </w:r>
      <w:proofErr w:type="spellEnd"/>
      <w:r w:rsidRPr="00693C0F">
        <w:rPr>
          <w:rFonts w:ascii="Times New Roman" w:hAnsi="Times New Roman" w:cs="Times New Roman"/>
          <w:sz w:val="24"/>
          <w:szCs w:val="24"/>
        </w:rPr>
        <w:t xml:space="preserve">, so that Article 87 letter a of Law No. 30 of 2014 is not a </w:t>
      </w:r>
      <w:proofErr w:type="spellStart"/>
      <w:r w:rsidRPr="00693C0F">
        <w:rPr>
          <w:rFonts w:ascii="Times New Roman" w:hAnsi="Times New Roman" w:cs="Times New Roman"/>
          <w:i/>
          <w:iCs/>
          <w:sz w:val="24"/>
          <w:szCs w:val="24"/>
        </w:rPr>
        <w:t>contradictio</w:t>
      </w:r>
      <w:proofErr w:type="spellEnd"/>
      <w:r w:rsidRPr="00693C0F">
        <w:rPr>
          <w:rFonts w:ascii="Times New Roman" w:hAnsi="Times New Roman" w:cs="Times New Roman"/>
          <w:i/>
          <w:iCs/>
          <w:sz w:val="24"/>
          <w:szCs w:val="24"/>
        </w:rPr>
        <w:t xml:space="preserve"> in </w:t>
      </w:r>
      <w:proofErr w:type="spellStart"/>
      <w:r w:rsidRPr="00693C0F">
        <w:rPr>
          <w:rFonts w:ascii="Times New Roman" w:hAnsi="Times New Roman" w:cs="Times New Roman"/>
          <w:i/>
          <w:iCs/>
          <w:sz w:val="24"/>
          <w:szCs w:val="24"/>
        </w:rPr>
        <w:t>termino</w:t>
      </w:r>
      <w:proofErr w:type="spellEnd"/>
      <w:r w:rsidRPr="00693C0F">
        <w:rPr>
          <w:rFonts w:ascii="Times New Roman" w:hAnsi="Times New Roman" w:cs="Times New Roman"/>
          <w:sz w:val="24"/>
          <w:szCs w:val="24"/>
        </w:rPr>
        <w:t xml:space="preserve"> (it would not be the same if comparing a goat with a cat).</w:t>
      </w:r>
      <w:r w:rsidRPr="00693C0F">
        <w:rPr>
          <w:rStyle w:val="FootnoteReference"/>
          <w:rFonts w:ascii="Times New Roman" w:hAnsi="Times New Roman" w:cs="Times New Roman"/>
          <w:sz w:val="24"/>
          <w:szCs w:val="24"/>
        </w:rPr>
        <w:footnoteReference w:id="58"/>
      </w:r>
      <w:r w:rsidRPr="00693C0F">
        <w:rPr>
          <w:rFonts w:ascii="Times New Roman" w:hAnsi="Times New Roman" w:cs="Times New Roman"/>
          <w:sz w:val="24"/>
          <w:szCs w:val="24"/>
        </w:rPr>
        <w:t xml:space="preserve"> The question is whether the provisions in Article 87 letter </w:t>
      </w:r>
      <w:proofErr w:type="gramStart"/>
      <w:r w:rsidRPr="00693C0F">
        <w:rPr>
          <w:rFonts w:ascii="Times New Roman" w:hAnsi="Times New Roman" w:cs="Times New Roman"/>
          <w:sz w:val="24"/>
          <w:szCs w:val="24"/>
        </w:rPr>
        <w:t>a</w:t>
      </w:r>
      <w:proofErr w:type="gramEnd"/>
      <w:r w:rsidRPr="00693C0F">
        <w:rPr>
          <w:rFonts w:ascii="Times New Roman" w:hAnsi="Times New Roman" w:cs="Times New Roman"/>
          <w:sz w:val="24"/>
          <w:szCs w:val="24"/>
        </w:rPr>
        <w:t xml:space="preserve"> are the absolute competence of the PTUN based on Article 1 number 10 of Law No. 51/2009 expanded? If so, then what should be changed </w:t>
      </w:r>
      <w:proofErr w:type="gramStart"/>
      <w:r w:rsidRPr="00693C0F">
        <w:rPr>
          <w:rFonts w:ascii="Times New Roman" w:hAnsi="Times New Roman" w:cs="Times New Roman"/>
          <w:sz w:val="24"/>
          <w:szCs w:val="24"/>
        </w:rPr>
        <w:t>is</w:t>
      </w:r>
      <w:proofErr w:type="gramEnd"/>
      <w:r w:rsidRPr="00693C0F">
        <w:rPr>
          <w:rFonts w:ascii="Times New Roman" w:hAnsi="Times New Roman" w:cs="Times New Roman"/>
          <w:sz w:val="24"/>
          <w:szCs w:val="24"/>
        </w:rPr>
        <w:t xml:space="preserve"> the provisions of Article 1 number 10 of Law No. 51/2009. So is it appropriate to </w:t>
      </w:r>
      <w:r w:rsidRPr="00693C0F">
        <w:rPr>
          <w:rFonts w:ascii="Times New Roman" w:hAnsi="Times New Roman" w:cs="Times New Roman"/>
          <w:sz w:val="24"/>
          <w:szCs w:val="24"/>
        </w:rPr>
        <w:lastRenderedPageBreak/>
        <w:t xml:space="preserve">expand the absolute competence of the PTUN only with the transitional provisions of Law No. 30 of 2014 and not through the PTUN Law itself? And does the principle of </w:t>
      </w:r>
      <w:proofErr w:type="spellStart"/>
      <w:r w:rsidRPr="00693C0F">
        <w:rPr>
          <w:rFonts w:ascii="Times New Roman" w:hAnsi="Times New Roman" w:cs="Times New Roman"/>
          <w:sz w:val="24"/>
          <w:szCs w:val="24"/>
        </w:rPr>
        <w:t>contarius</w:t>
      </w:r>
      <w:proofErr w:type="spellEnd"/>
      <w:r w:rsidRPr="00693C0F">
        <w:rPr>
          <w:rFonts w:ascii="Times New Roman" w:hAnsi="Times New Roman" w:cs="Times New Roman"/>
          <w:sz w:val="24"/>
          <w:szCs w:val="24"/>
        </w:rPr>
        <w:t xml:space="preserve"> </w:t>
      </w:r>
      <w:proofErr w:type="spellStart"/>
      <w:r w:rsidRPr="00693C0F">
        <w:rPr>
          <w:rFonts w:ascii="Times New Roman" w:hAnsi="Times New Roman" w:cs="Times New Roman"/>
          <w:sz w:val="24"/>
          <w:szCs w:val="24"/>
        </w:rPr>
        <w:t>actus</w:t>
      </w:r>
      <w:proofErr w:type="spellEnd"/>
      <w:r w:rsidRPr="00693C0F">
        <w:rPr>
          <w:rFonts w:ascii="Times New Roman" w:hAnsi="Times New Roman" w:cs="Times New Roman"/>
          <w:sz w:val="24"/>
          <w:szCs w:val="24"/>
        </w:rPr>
        <w:t xml:space="preserve"> no longer apply</w:t>
      </w:r>
      <w:proofErr w:type="gramStart"/>
      <w:r w:rsidRPr="00693C0F">
        <w:rPr>
          <w:rFonts w:ascii="Times New Roman" w:hAnsi="Times New Roman" w:cs="Times New Roman"/>
          <w:sz w:val="24"/>
          <w:szCs w:val="24"/>
        </w:rPr>
        <w:t>?.</w:t>
      </w:r>
      <w:proofErr w:type="gramEnd"/>
      <w:r w:rsidRPr="00693C0F">
        <w:rPr>
          <w:rStyle w:val="FootnoteReference"/>
          <w:rFonts w:ascii="Times New Roman" w:hAnsi="Times New Roman" w:cs="Times New Roman"/>
          <w:sz w:val="24"/>
          <w:szCs w:val="24"/>
        </w:rPr>
        <w:footnoteReference w:id="59"/>
      </w:r>
      <w:r w:rsidRPr="00693C0F">
        <w:rPr>
          <w:rFonts w:ascii="Times New Roman" w:hAnsi="Times New Roman" w:cs="Times New Roman"/>
          <w:sz w:val="24"/>
          <w:szCs w:val="24"/>
        </w:rPr>
        <w:t xml:space="preserve"> </w:t>
      </w:r>
      <w:proofErr w:type="gramStart"/>
      <w:r w:rsidRPr="00693C0F">
        <w:rPr>
          <w:rFonts w:ascii="Times New Roman" w:hAnsi="Times New Roman" w:cs="Times New Roman"/>
          <w:sz w:val="24"/>
          <w:szCs w:val="24"/>
        </w:rPr>
        <w:t>That the location of Article 87 lies in the transitional provisions that expand the meaning of KTUN in Law No. 50 of 2009.</w:t>
      </w:r>
      <w:proofErr w:type="gramEnd"/>
      <w:r w:rsidRPr="00693C0F">
        <w:rPr>
          <w:rFonts w:ascii="Times New Roman" w:hAnsi="Times New Roman" w:cs="Times New Roman"/>
          <w:sz w:val="24"/>
          <w:szCs w:val="24"/>
        </w:rPr>
        <w:t xml:space="preserve"> Therefore, State Administrative Court decisions that test the validity of a State Administrative Official's product in the form of a KTUN often have to be in the dialectic between justice and legal certainty.</w:t>
      </w:r>
      <w:r w:rsidRPr="00693C0F">
        <w:rPr>
          <w:rStyle w:val="FootnoteReference"/>
          <w:rFonts w:ascii="Times New Roman" w:hAnsi="Times New Roman" w:cs="Times New Roman"/>
          <w:sz w:val="24"/>
          <w:szCs w:val="24"/>
        </w:rPr>
        <w:footnoteReference w:id="60"/>
      </w:r>
      <w:r w:rsidRPr="00693C0F">
        <w:rPr>
          <w:rFonts w:ascii="Times New Roman" w:hAnsi="Times New Roman" w:cs="Times New Roman"/>
          <w:sz w:val="24"/>
          <w:szCs w:val="24"/>
        </w:rPr>
        <w:t xml:space="preserve"> The fallacy of Article 87 letter (a) of Law No. 30 of 2014, according to Enrico </w:t>
      </w:r>
      <w:proofErr w:type="spellStart"/>
      <w:r w:rsidRPr="00693C0F">
        <w:rPr>
          <w:rFonts w:ascii="Times New Roman" w:hAnsi="Times New Roman" w:cs="Times New Roman"/>
          <w:sz w:val="24"/>
          <w:szCs w:val="24"/>
        </w:rPr>
        <w:t>Simanjuntak</w:t>
      </w:r>
      <w:proofErr w:type="spellEnd"/>
      <w:r w:rsidRPr="00693C0F">
        <w:rPr>
          <w:rFonts w:ascii="Times New Roman" w:hAnsi="Times New Roman" w:cs="Times New Roman"/>
          <w:sz w:val="24"/>
          <w:szCs w:val="24"/>
        </w:rPr>
        <w:t>, is that it equates administrative law actions with non-law actions of written determinations, including factual actions.</w:t>
      </w:r>
      <w:r>
        <w:rPr>
          <w:rStyle w:val="FootnoteReference"/>
          <w:rFonts w:ascii="Times New Roman" w:hAnsi="Times New Roman" w:cs="Times New Roman"/>
          <w:sz w:val="24"/>
          <w:szCs w:val="24"/>
        </w:rPr>
        <w:footnoteReference w:id="61"/>
      </w:r>
    </w:p>
    <w:p w:rsidR="00693C0F" w:rsidRDefault="00693C0F" w:rsidP="00693C0F">
      <w:pPr>
        <w:spacing w:after="0" w:line="360" w:lineRule="auto"/>
        <w:ind w:firstLine="567"/>
        <w:jc w:val="both"/>
        <w:rPr>
          <w:rFonts w:ascii="Times New Roman" w:hAnsi="Times New Roman" w:cs="Times New Roman"/>
          <w:sz w:val="24"/>
          <w:szCs w:val="24"/>
        </w:rPr>
      </w:pPr>
      <w:r w:rsidRPr="00693C0F">
        <w:rPr>
          <w:rFonts w:ascii="Times New Roman" w:hAnsi="Times New Roman" w:cs="Times New Roman"/>
          <w:b/>
          <w:bCs/>
          <w:sz w:val="24"/>
          <w:szCs w:val="24"/>
        </w:rPr>
        <w:t>In letter b,</w:t>
      </w:r>
      <w:r w:rsidRPr="00693C0F">
        <w:rPr>
          <w:rFonts w:ascii="Times New Roman" w:hAnsi="Times New Roman" w:cs="Times New Roman"/>
          <w:sz w:val="24"/>
          <w:szCs w:val="24"/>
        </w:rPr>
        <w:t xml:space="preserve"> it gives space to the meaning of government broadly, but the question is what is said to be a legal action and factual action in the legislative and executive fields, then in </w:t>
      </w:r>
      <w:r w:rsidRPr="00693C0F">
        <w:rPr>
          <w:rFonts w:ascii="Times New Roman" w:hAnsi="Times New Roman" w:cs="Times New Roman"/>
          <w:b/>
          <w:bCs/>
          <w:sz w:val="24"/>
          <w:szCs w:val="24"/>
        </w:rPr>
        <w:t>letter c</w:t>
      </w:r>
      <w:r w:rsidRPr="00693C0F">
        <w:rPr>
          <w:rFonts w:ascii="Times New Roman" w:hAnsi="Times New Roman" w:cs="Times New Roman"/>
          <w:sz w:val="24"/>
          <w:szCs w:val="24"/>
        </w:rPr>
        <w:t xml:space="preserve"> that, </w:t>
      </w:r>
      <w:proofErr w:type="gramStart"/>
      <w:r w:rsidRPr="00693C0F">
        <w:rPr>
          <w:rFonts w:ascii="Times New Roman" w:hAnsi="Times New Roman" w:cs="Times New Roman"/>
          <w:sz w:val="24"/>
          <w:szCs w:val="24"/>
        </w:rPr>
        <w:t>What</w:t>
      </w:r>
      <w:proofErr w:type="gramEnd"/>
      <w:r w:rsidRPr="00693C0F">
        <w:rPr>
          <w:rFonts w:ascii="Times New Roman" w:hAnsi="Times New Roman" w:cs="Times New Roman"/>
          <w:sz w:val="24"/>
          <w:szCs w:val="24"/>
        </w:rPr>
        <w:t xml:space="preserve"> is the purpose of this provision? AUPB is one of the parameters of legality. So the phrase applicable laws and regulations in Article 1 number 9 of Law No. 51/2009 </w:t>
      </w:r>
      <w:proofErr w:type="gramStart"/>
      <w:r w:rsidRPr="00693C0F">
        <w:rPr>
          <w:rFonts w:ascii="Times New Roman" w:hAnsi="Times New Roman" w:cs="Times New Roman"/>
          <w:sz w:val="24"/>
          <w:szCs w:val="24"/>
        </w:rPr>
        <w:t>is</w:t>
      </w:r>
      <w:proofErr w:type="gramEnd"/>
      <w:r w:rsidRPr="00693C0F">
        <w:rPr>
          <w:rFonts w:ascii="Times New Roman" w:hAnsi="Times New Roman" w:cs="Times New Roman"/>
          <w:sz w:val="24"/>
          <w:szCs w:val="24"/>
        </w:rPr>
        <w:t xml:space="preserve"> appropriate and redundant plus AUPB.</w:t>
      </w:r>
      <w:r w:rsidRPr="00693C0F">
        <w:rPr>
          <w:rStyle w:val="FootnoteReference"/>
          <w:rFonts w:ascii="Times New Roman" w:hAnsi="Times New Roman" w:cs="Times New Roman"/>
          <w:sz w:val="24"/>
          <w:szCs w:val="24"/>
        </w:rPr>
        <w:footnoteReference w:id="62"/>
      </w:r>
      <w:r w:rsidRPr="00693C0F">
        <w:rPr>
          <w:rFonts w:ascii="Times New Roman" w:hAnsi="Times New Roman" w:cs="Times New Roman"/>
          <w:sz w:val="24"/>
          <w:szCs w:val="24"/>
        </w:rPr>
        <w:t xml:space="preserve"> </w:t>
      </w:r>
      <w:r w:rsidRPr="00693C0F">
        <w:rPr>
          <w:rFonts w:ascii="Times New Roman" w:hAnsi="Times New Roman" w:cs="Times New Roman"/>
          <w:b/>
          <w:bCs/>
          <w:sz w:val="24"/>
          <w:szCs w:val="24"/>
        </w:rPr>
        <w:t>Letter d</w:t>
      </w:r>
      <w:r w:rsidRPr="00693C0F">
        <w:rPr>
          <w:rFonts w:ascii="Times New Roman" w:hAnsi="Times New Roman" w:cs="Times New Roman"/>
          <w:sz w:val="24"/>
          <w:szCs w:val="24"/>
        </w:rPr>
        <w:t xml:space="preserve"> raises the question of final in a broad </w:t>
      </w:r>
      <w:proofErr w:type="gramStart"/>
      <w:r w:rsidRPr="00693C0F">
        <w:rPr>
          <w:rFonts w:ascii="Times New Roman" w:hAnsi="Times New Roman" w:cs="Times New Roman"/>
          <w:sz w:val="24"/>
          <w:szCs w:val="24"/>
        </w:rPr>
        <w:t>sense,</w:t>
      </w:r>
      <w:proofErr w:type="gramEnd"/>
      <w:r w:rsidRPr="00693C0F">
        <w:rPr>
          <w:rFonts w:ascii="Times New Roman" w:hAnsi="Times New Roman" w:cs="Times New Roman"/>
          <w:sz w:val="24"/>
          <w:szCs w:val="24"/>
        </w:rPr>
        <w:t xml:space="preserve"> of course there is the intention of final in a narrow sense. In the explanation of Article 87 letter d, it is stated that final in a broad sense includes decisions that are taken over by the superior authorized official. And who is authorized to be responsible for decisions that are taken over? This is certainly difficult to understand. Then in </w:t>
      </w:r>
      <w:r w:rsidRPr="00693C0F">
        <w:rPr>
          <w:rFonts w:ascii="Times New Roman" w:hAnsi="Times New Roman" w:cs="Times New Roman"/>
          <w:b/>
          <w:bCs/>
          <w:sz w:val="24"/>
          <w:szCs w:val="24"/>
        </w:rPr>
        <w:t>letter e</w:t>
      </w:r>
      <w:r w:rsidRPr="00693C0F">
        <w:rPr>
          <w:rFonts w:ascii="Times New Roman" w:hAnsi="Times New Roman" w:cs="Times New Roman"/>
          <w:sz w:val="24"/>
          <w:szCs w:val="24"/>
        </w:rPr>
        <w:t xml:space="preserve"> regarding decisions that have the potential to cause legal consequences, isn't it that decisions are consumptive and declarative. And theoretically both have legal consequences. Legal consequences are the emergence of legal relations, that’s the existence of new rights and obligations and the elimination of rights and obligations. In </w:t>
      </w:r>
      <w:r w:rsidRPr="00693C0F">
        <w:rPr>
          <w:rFonts w:ascii="Times New Roman" w:hAnsi="Times New Roman" w:cs="Times New Roman"/>
          <w:b/>
          <w:bCs/>
          <w:sz w:val="24"/>
          <w:szCs w:val="24"/>
        </w:rPr>
        <w:t>letter f</w:t>
      </w:r>
      <w:r w:rsidRPr="00693C0F">
        <w:rPr>
          <w:rFonts w:ascii="Times New Roman" w:hAnsi="Times New Roman" w:cs="Times New Roman"/>
          <w:sz w:val="24"/>
          <w:szCs w:val="24"/>
        </w:rPr>
        <w:t>, to date there is no example of what is meant by a decision that is publicly applicable. Theoretically, the KTUN is addressed to a specified object.</w:t>
      </w:r>
    </w:p>
    <w:p w:rsidR="00693C0F" w:rsidRDefault="00693C0F" w:rsidP="00693C0F">
      <w:pPr>
        <w:spacing w:after="0" w:line="360" w:lineRule="auto"/>
        <w:ind w:firstLine="567"/>
        <w:jc w:val="both"/>
        <w:rPr>
          <w:rFonts w:ascii="Times New Roman" w:hAnsi="Times New Roman" w:cs="Times New Roman"/>
          <w:sz w:val="24"/>
          <w:szCs w:val="24"/>
        </w:rPr>
      </w:pPr>
      <w:r w:rsidRPr="00AC1DFA">
        <w:rPr>
          <w:rFonts w:ascii="Times New Roman" w:hAnsi="Times New Roman" w:cs="Times New Roman"/>
          <w:sz w:val="24"/>
          <w:szCs w:val="24"/>
        </w:rPr>
        <w:t xml:space="preserve">According to Article 54 (1) of Law No. 30 of 2014, a KTUN is constitutive and declarative in nature. In the explanation of the article, what is meant by constitutive is an independent KTUN by a government official and declarative is a KTUN that is ratified after going through a discussion process at the level of the government official who made the constitutive decision. Of course this is </w:t>
      </w:r>
      <w:proofErr w:type="gramStart"/>
      <w:r w:rsidRPr="00AC1DFA">
        <w:rPr>
          <w:rFonts w:ascii="Times New Roman" w:hAnsi="Times New Roman" w:cs="Times New Roman"/>
          <w:sz w:val="24"/>
          <w:szCs w:val="24"/>
        </w:rPr>
        <w:t>wrong,</w:t>
      </w:r>
      <w:proofErr w:type="gramEnd"/>
      <w:r w:rsidRPr="00AC1DFA">
        <w:rPr>
          <w:rFonts w:ascii="Times New Roman" w:hAnsi="Times New Roman" w:cs="Times New Roman"/>
          <w:sz w:val="24"/>
          <w:szCs w:val="24"/>
        </w:rPr>
        <w:t xml:space="preserve"> theoretically a constitutive decree is one that creates a new legal situation. </w:t>
      </w:r>
      <w:r w:rsidRPr="00AC1DFA">
        <w:rPr>
          <w:rFonts w:ascii="Times New Roman" w:hAnsi="Times New Roman" w:cs="Times New Roman"/>
          <w:sz w:val="24"/>
          <w:szCs w:val="24"/>
        </w:rPr>
        <w:lastRenderedPageBreak/>
        <w:t xml:space="preserve">For example: issuance of a business license, or revocation of a business license. Meanwhile, a declarative KTUN confirms a pre-existing legal situation, for example: the issuance of a birth certificate. Then in Article 54 paragraph (2) of the AP Law, declarative decisions become the responsibility of Government Officials who make constitutive decisions. This is certainly problematic, because it is not in accordance with the principle of authority, namely </w:t>
      </w:r>
      <w:proofErr w:type="spellStart"/>
      <w:r w:rsidRPr="00AC1DFA">
        <w:rPr>
          <w:rFonts w:ascii="Times New Roman" w:hAnsi="Times New Roman" w:cs="Times New Roman"/>
          <w:sz w:val="24"/>
          <w:szCs w:val="24"/>
        </w:rPr>
        <w:t>geen</w:t>
      </w:r>
      <w:proofErr w:type="spellEnd"/>
      <w:r w:rsidRPr="00AC1DFA">
        <w:rPr>
          <w:rFonts w:ascii="Times New Roman" w:hAnsi="Times New Roman" w:cs="Times New Roman"/>
          <w:sz w:val="24"/>
          <w:szCs w:val="24"/>
        </w:rPr>
        <w:t xml:space="preserve"> </w:t>
      </w:r>
      <w:proofErr w:type="spellStart"/>
      <w:r w:rsidRPr="00AC1DFA">
        <w:rPr>
          <w:rFonts w:ascii="Times New Roman" w:hAnsi="Times New Roman" w:cs="Times New Roman"/>
          <w:sz w:val="24"/>
          <w:szCs w:val="24"/>
        </w:rPr>
        <w:t>verantwoordelijkheid</w:t>
      </w:r>
      <w:proofErr w:type="spellEnd"/>
      <w:r w:rsidRPr="00AC1DFA">
        <w:rPr>
          <w:rFonts w:ascii="Times New Roman" w:hAnsi="Times New Roman" w:cs="Times New Roman"/>
          <w:sz w:val="24"/>
          <w:szCs w:val="24"/>
        </w:rPr>
        <w:t xml:space="preserve"> </w:t>
      </w:r>
      <w:proofErr w:type="spellStart"/>
      <w:r w:rsidRPr="00AC1DFA">
        <w:rPr>
          <w:rFonts w:ascii="Times New Roman" w:hAnsi="Times New Roman" w:cs="Times New Roman"/>
          <w:sz w:val="24"/>
          <w:szCs w:val="24"/>
        </w:rPr>
        <w:t>zonder</w:t>
      </w:r>
      <w:proofErr w:type="spellEnd"/>
      <w:r w:rsidRPr="00AC1DFA">
        <w:rPr>
          <w:rFonts w:ascii="Times New Roman" w:hAnsi="Times New Roman" w:cs="Times New Roman"/>
          <w:sz w:val="24"/>
          <w:szCs w:val="24"/>
        </w:rPr>
        <w:t xml:space="preserve"> </w:t>
      </w:r>
      <w:proofErr w:type="spellStart"/>
      <w:r w:rsidRPr="00AC1DFA">
        <w:rPr>
          <w:rFonts w:ascii="Times New Roman" w:hAnsi="Times New Roman" w:cs="Times New Roman"/>
          <w:sz w:val="24"/>
          <w:szCs w:val="24"/>
        </w:rPr>
        <w:t>bevoegdheid</w:t>
      </w:r>
      <w:proofErr w:type="spellEnd"/>
      <w:r w:rsidRPr="00AC1DFA">
        <w:rPr>
          <w:rFonts w:ascii="Times New Roman" w:hAnsi="Times New Roman" w:cs="Times New Roman"/>
          <w:sz w:val="24"/>
          <w:szCs w:val="24"/>
        </w:rPr>
        <w:t xml:space="preserve"> (no responsibility without authority). This means that whoever is authorized to determine is responsible. </w:t>
      </w:r>
      <w:r w:rsidR="00AC1DFA" w:rsidRPr="00AC1DFA">
        <w:rPr>
          <w:rFonts w:ascii="Times New Roman" w:hAnsi="Times New Roman" w:cs="Times New Roman"/>
          <w:sz w:val="24"/>
          <w:szCs w:val="24"/>
        </w:rPr>
        <w:t>Furthermore, Article 7 paragraph (2) letter f explains that state administrative officials are obliged to provide opportunities for citizens to have their opinions heard before making decisions/actions. And here, it raises the question that an obligation will have consequences if it does not carry out the obligation, therefore, is it void for a KTUN that does not involve the community</w:t>
      </w:r>
      <w:proofErr w:type="gramStart"/>
      <w:r w:rsidR="00AC1DFA" w:rsidRPr="00AC1DFA">
        <w:rPr>
          <w:rFonts w:ascii="Times New Roman" w:hAnsi="Times New Roman" w:cs="Times New Roman"/>
          <w:sz w:val="24"/>
          <w:szCs w:val="24"/>
        </w:rPr>
        <w:t>?.</w:t>
      </w:r>
      <w:proofErr w:type="gramEnd"/>
    </w:p>
    <w:p w:rsidR="00AC1DFA" w:rsidRPr="00AC1DFA" w:rsidRDefault="00AC1DFA" w:rsidP="00693C0F">
      <w:pPr>
        <w:spacing w:after="0" w:line="360" w:lineRule="auto"/>
        <w:ind w:firstLine="567"/>
        <w:jc w:val="both"/>
        <w:rPr>
          <w:rFonts w:ascii="Times New Roman" w:hAnsi="Times New Roman" w:cs="Times New Roman"/>
          <w:sz w:val="24"/>
          <w:szCs w:val="24"/>
        </w:rPr>
      </w:pPr>
      <w:r w:rsidRPr="00AC1DFA">
        <w:rPr>
          <w:rFonts w:ascii="Times New Roman" w:hAnsi="Times New Roman" w:cs="Times New Roman"/>
          <w:sz w:val="24"/>
          <w:szCs w:val="24"/>
        </w:rPr>
        <w:t>In the study of positive fictitious and negative fictitious KTUN, there is certainly a paradigm shift, if reviewed again that Article 3 of Law No. 51 of 2009 states that the legal effect of silence (omission) on the application for KTUN is that the application is considered rejected (negative fictitious).</w:t>
      </w:r>
      <w:r w:rsidRPr="00AC1DFA">
        <w:rPr>
          <w:rStyle w:val="FootnoteReference"/>
          <w:rFonts w:ascii="Times New Roman" w:hAnsi="Times New Roman" w:cs="Times New Roman"/>
          <w:sz w:val="24"/>
          <w:szCs w:val="24"/>
        </w:rPr>
        <w:footnoteReference w:id="63"/>
      </w:r>
      <w:r w:rsidRPr="00AC1DFA">
        <w:rPr>
          <w:rFonts w:ascii="Times New Roman" w:hAnsi="Times New Roman" w:cs="Times New Roman"/>
          <w:sz w:val="24"/>
          <w:szCs w:val="24"/>
        </w:rPr>
        <w:t xml:space="preserve"> Article 53 paragraph (3) of Law No. 30 of 2014 which states that if within the time limit as stipulated in paragraph (2), the Government Official does not determine and/or carry out a decision and/or action, then the request is considered granted. In this case, it can be interpreted that what used to be "silence means refusal" or also called negative fictitious, has changed to "silence means agreement" or also called positive fictitious.</w:t>
      </w:r>
      <w:r w:rsidRPr="00AC1DFA">
        <w:rPr>
          <w:rStyle w:val="FootnoteReference"/>
          <w:rFonts w:ascii="Times New Roman" w:hAnsi="Times New Roman" w:cs="Times New Roman"/>
          <w:sz w:val="24"/>
          <w:szCs w:val="24"/>
        </w:rPr>
        <w:footnoteReference w:id="64"/>
      </w:r>
    </w:p>
    <w:p w:rsidR="00AC1DFA" w:rsidRPr="00AC1DFA" w:rsidRDefault="00AC1DFA" w:rsidP="00693C0F">
      <w:pPr>
        <w:spacing w:after="0" w:line="360" w:lineRule="auto"/>
        <w:ind w:firstLine="567"/>
        <w:jc w:val="both"/>
        <w:rPr>
          <w:rFonts w:ascii="Times New Roman" w:hAnsi="Times New Roman" w:cs="Times New Roman"/>
          <w:sz w:val="24"/>
          <w:szCs w:val="24"/>
        </w:rPr>
      </w:pPr>
      <w:r w:rsidRPr="00AC1DFA">
        <w:rPr>
          <w:rFonts w:ascii="Times New Roman" w:hAnsi="Times New Roman" w:cs="Times New Roman"/>
          <w:sz w:val="24"/>
          <w:szCs w:val="24"/>
        </w:rPr>
        <w:t xml:space="preserve">The change from negative fictitious to positive fictitious is intended to optimize the basis of community service and government implementation based on AUPB. The </w:t>
      </w:r>
      <w:r w:rsidRPr="00AC1DFA">
        <w:rPr>
          <w:rFonts w:ascii="Times New Roman" w:hAnsi="Times New Roman" w:cs="Times New Roman"/>
          <w:i/>
          <w:iCs/>
          <w:sz w:val="24"/>
          <w:szCs w:val="24"/>
        </w:rPr>
        <w:t xml:space="preserve">ratio </w:t>
      </w:r>
      <w:proofErr w:type="spellStart"/>
      <w:r w:rsidRPr="00AC1DFA">
        <w:rPr>
          <w:rFonts w:ascii="Times New Roman" w:hAnsi="Times New Roman" w:cs="Times New Roman"/>
          <w:i/>
          <w:iCs/>
          <w:sz w:val="24"/>
          <w:szCs w:val="24"/>
        </w:rPr>
        <w:t>legis</w:t>
      </w:r>
      <w:proofErr w:type="spellEnd"/>
      <w:r w:rsidRPr="00AC1DFA">
        <w:rPr>
          <w:rFonts w:ascii="Times New Roman" w:hAnsi="Times New Roman" w:cs="Times New Roman"/>
          <w:sz w:val="24"/>
          <w:szCs w:val="24"/>
        </w:rPr>
        <w:t xml:space="preserve"> of the change from negative fictitious to positive fictitious is that the negligence of the government is the fault of the government itself, so it must not harm the community. Therefore, the government's silence actually brings legal consequences to the acceptance of the application submitted by the community.</w:t>
      </w:r>
      <w:r w:rsidRPr="00AC1DFA">
        <w:rPr>
          <w:rStyle w:val="FootnoteReference"/>
          <w:rFonts w:ascii="Times New Roman" w:hAnsi="Times New Roman" w:cs="Times New Roman"/>
          <w:sz w:val="24"/>
          <w:szCs w:val="24"/>
        </w:rPr>
        <w:footnoteReference w:id="65"/>
      </w:r>
      <w:r w:rsidRPr="00AC1DFA">
        <w:rPr>
          <w:rFonts w:ascii="Times New Roman" w:hAnsi="Times New Roman" w:cs="Times New Roman"/>
          <w:sz w:val="24"/>
          <w:szCs w:val="24"/>
        </w:rPr>
        <w:t xml:space="preserve"> Therefore, the amendment to Article 53 of the AP Law in Article 175 number 7 of the Job Creation Law removes the authority of the Administrative Court in the context of positive fictitious applications because it is assumed that the follow-up to positive fictitious decisions is regulated by presidential regulation. However, the fact is that until now </w:t>
      </w:r>
      <w:r w:rsidRPr="00AC1DFA">
        <w:rPr>
          <w:rFonts w:ascii="Times New Roman" w:hAnsi="Times New Roman" w:cs="Times New Roman"/>
          <w:sz w:val="24"/>
          <w:szCs w:val="24"/>
        </w:rPr>
        <w:lastRenderedPageBreak/>
        <w:t>there are many fictitious positive cases that are smuggled into factual action disputes at the State Administrative Court.</w:t>
      </w:r>
    </w:p>
    <w:p w:rsidR="00AC1DFA" w:rsidRPr="00AC1DFA" w:rsidRDefault="00AC1DFA" w:rsidP="00693C0F">
      <w:pPr>
        <w:spacing w:after="0" w:line="360" w:lineRule="auto"/>
        <w:ind w:firstLine="567"/>
        <w:jc w:val="both"/>
        <w:rPr>
          <w:rFonts w:ascii="Times New Roman" w:hAnsi="Times New Roman" w:cs="Times New Roman"/>
          <w:sz w:val="24"/>
          <w:szCs w:val="24"/>
        </w:rPr>
      </w:pPr>
      <w:r w:rsidRPr="00AC1DFA">
        <w:rPr>
          <w:rFonts w:ascii="Times New Roman" w:hAnsi="Times New Roman" w:cs="Times New Roman"/>
          <w:sz w:val="24"/>
          <w:szCs w:val="24"/>
        </w:rPr>
        <w:t xml:space="preserve">Based on the provisions of Article 97 paragraph (9) letter c of Law No. 5 of 1986, the type of case disputed is in the form of a lawsuit, even though the State Administrative Dispute arises as a result of silence on the request for issuance of a decision. </w:t>
      </w:r>
      <w:proofErr w:type="gramStart"/>
      <w:r w:rsidRPr="00AC1DFA">
        <w:rPr>
          <w:rFonts w:ascii="Times New Roman" w:hAnsi="Times New Roman" w:cs="Times New Roman"/>
          <w:sz w:val="24"/>
          <w:szCs w:val="24"/>
        </w:rPr>
        <w:t>So that the object of the lawsuit is the decision of the refusal of the State Administrative Body or Official on the request for the issuance of the KTUN.</w:t>
      </w:r>
      <w:proofErr w:type="gramEnd"/>
      <w:r w:rsidRPr="00AC1DFA">
        <w:rPr>
          <w:rFonts w:ascii="Times New Roman" w:hAnsi="Times New Roman" w:cs="Times New Roman"/>
          <w:sz w:val="24"/>
          <w:szCs w:val="24"/>
        </w:rPr>
        <w:t xml:space="preserve"> Because the form of the negative fictitious case is a lawsuit, the procedural law used is the same as the procedural law in ordinary lawsuits, including accommodating third parties to enter as parties in the trial. However, if the verdict of an ordinary lawsuit that is granted contains the dictum "revoked", in a negative fictitious lawsuit this is not the case, because the dictum of the lawsuit that is granted must be accompanied by an order to issue a decision that has been considered rejected by the state administrative agency or official.</w:t>
      </w:r>
      <w:r w:rsidRPr="00AC1DFA">
        <w:rPr>
          <w:rStyle w:val="FootnoteReference"/>
          <w:rFonts w:ascii="Times New Roman" w:hAnsi="Times New Roman" w:cs="Times New Roman"/>
          <w:sz w:val="24"/>
          <w:szCs w:val="24"/>
        </w:rPr>
        <w:footnoteReference w:id="66"/>
      </w:r>
      <w:r w:rsidRPr="00AC1DFA">
        <w:rPr>
          <w:rFonts w:ascii="Times New Roman" w:hAnsi="Times New Roman" w:cs="Times New Roman"/>
          <w:sz w:val="24"/>
          <w:szCs w:val="24"/>
        </w:rPr>
        <w:t xml:space="preserve"> Then regarding, Positive Fictitious is tried with a special event as stipulated in Supreme Court Regulation Number 8 of 2017 concerning Procedural Guidelines for Obtaining Decisions on the Receipt of Requests to Obtain Decisions and / or Actions of Government Agencies or Officials. Here are some differences in the examination in fictitious positive cases compared to ordinary lawsuits:</w:t>
      </w:r>
      <w:r w:rsidRPr="00AC1DFA">
        <w:rPr>
          <w:rStyle w:val="FootnoteReference"/>
          <w:rFonts w:ascii="Times New Roman" w:hAnsi="Times New Roman" w:cs="Times New Roman"/>
          <w:sz w:val="24"/>
          <w:szCs w:val="24"/>
        </w:rPr>
        <w:footnoteReference w:id="67"/>
      </w:r>
    </w:p>
    <w:p w:rsidR="00AC1DFA" w:rsidRPr="00AC1DFA" w:rsidRDefault="00AC1DFA" w:rsidP="00AC1DFA">
      <w:pPr>
        <w:pStyle w:val="ListParagraph"/>
        <w:numPr>
          <w:ilvl w:val="2"/>
          <w:numId w:val="15"/>
        </w:numPr>
        <w:spacing w:after="0" w:line="360" w:lineRule="auto"/>
        <w:ind w:left="851" w:hanging="305"/>
        <w:jc w:val="both"/>
        <w:rPr>
          <w:rFonts w:ascii="Times New Roman" w:eastAsia="Times New Roman" w:hAnsi="Times New Roman" w:cs="Times New Roman"/>
          <w:bCs/>
          <w:sz w:val="24"/>
          <w:szCs w:val="24"/>
        </w:rPr>
      </w:pPr>
      <w:r w:rsidRPr="00AC1DFA">
        <w:rPr>
          <w:rFonts w:ascii="Times New Roman" w:hAnsi="Times New Roman" w:cs="Times New Roman"/>
          <w:sz w:val="24"/>
          <w:szCs w:val="24"/>
        </w:rPr>
        <w:t xml:space="preserve">Registration of the Petition with the Court is accompanied by preliminary evidence; </w:t>
      </w:r>
    </w:p>
    <w:p w:rsidR="00AC1DFA" w:rsidRPr="00AC1DFA" w:rsidRDefault="00AC1DFA" w:rsidP="00AC1DFA">
      <w:pPr>
        <w:pStyle w:val="ListParagraph"/>
        <w:numPr>
          <w:ilvl w:val="2"/>
          <w:numId w:val="15"/>
        </w:numPr>
        <w:spacing w:after="0" w:line="360" w:lineRule="auto"/>
        <w:ind w:left="851" w:hanging="305"/>
        <w:jc w:val="both"/>
        <w:rPr>
          <w:rFonts w:ascii="Times New Roman" w:eastAsia="Times New Roman" w:hAnsi="Times New Roman" w:cs="Times New Roman"/>
          <w:bCs/>
          <w:sz w:val="24"/>
          <w:szCs w:val="24"/>
        </w:rPr>
      </w:pPr>
      <w:r w:rsidRPr="00AC1DFA">
        <w:rPr>
          <w:rFonts w:ascii="Times New Roman" w:hAnsi="Times New Roman" w:cs="Times New Roman"/>
          <w:sz w:val="24"/>
          <w:szCs w:val="24"/>
        </w:rPr>
        <w:t xml:space="preserve">The President of the Court determines the composition of the Tribunal without going through the dismissal process; </w:t>
      </w:r>
    </w:p>
    <w:p w:rsidR="00AC1DFA" w:rsidRPr="00AC1DFA" w:rsidRDefault="00AC1DFA" w:rsidP="00AC1DFA">
      <w:pPr>
        <w:pStyle w:val="ListParagraph"/>
        <w:numPr>
          <w:ilvl w:val="2"/>
          <w:numId w:val="15"/>
        </w:numPr>
        <w:spacing w:after="0" w:line="360" w:lineRule="auto"/>
        <w:ind w:left="851" w:hanging="305"/>
        <w:jc w:val="both"/>
        <w:rPr>
          <w:rFonts w:ascii="Times New Roman" w:eastAsia="Times New Roman" w:hAnsi="Times New Roman" w:cs="Times New Roman"/>
          <w:bCs/>
          <w:sz w:val="24"/>
          <w:szCs w:val="24"/>
        </w:rPr>
      </w:pPr>
      <w:r w:rsidRPr="00AC1DFA">
        <w:rPr>
          <w:rFonts w:ascii="Times New Roman" w:hAnsi="Times New Roman" w:cs="Times New Roman"/>
          <w:sz w:val="24"/>
          <w:szCs w:val="24"/>
        </w:rPr>
        <w:t xml:space="preserve">The President of the Tribunal sets the day of the hearing and the court calendar from the time the file is received without prior preparatory hearings; </w:t>
      </w:r>
    </w:p>
    <w:p w:rsidR="00AC1DFA" w:rsidRPr="00AC1DFA" w:rsidRDefault="00AC1DFA" w:rsidP="00AC1DFA">
      <w:pPr>
        <w:pStyle w:val="ListParagraph"/>
        <w:numPr>
          <w:ilvl w:val="2"/>
          <w:numId w:val="15"/>
        </w:numPr>
        <w:spacing w:after="0" w:line="360" w:lineRule="auto"/>
        <w:ind w:left="851" w:hanging="305"/>
        <w:jc w:val="both"/>
        <w:rPr>
          <w:rFonts w:ascii="Times New Roman" w:eastAsia="Times New Roman" w:hAnsi="Times New Roman" w:cs="Times New Roman"/>
          <w:bCs/>
          <w:sz w:val="24"/>
          <w:szCs w:val="24"/>
        </w:rPr>
      </w:pPr>
      <w:r w:rsidRPr="00AC1DFA">
        <w:rPr>
          <w:rFonts w:ascii="Times New Roman" w:hAnsi="Times New Roman" w:cs="Times New Roman"/>
          <w:sz w:val="24"/>
          <w:szCs w:val="24"/>
        </w:rPr>
        <w:t xml:space="preserve">The application shall be examined and decided within 21 (twenty-one) working days after the application is registered; </w:t>
      </w:r>
    </w:p>
    <w:p w:rsidR="00AC1DFA" w:rsidRPr="00AC1DFA" w:rsidRDefault="00AC1DFA" w:rsidP="00AC1DFA">
      <w:pPr>
        <w:pStyle w:val="ListParagraph"/>
        <w:numPr>
          <w:ilvl w:val="2"/>
          <w:numId w:val="15"/>
        </w:numPr>
        <w:spacing w:after="0" w:line="360" w:lineRule="auto"/>
        <w:ind w:left="851" w:hanging="305"/>
        <w:jc w:val="both"/>
        <w:rPr>
          <w:rFonts w:ascii="Times New Roman" w:eastAsia="Times New Roman" w:hAnsi="Times New Roman" w:cs="Times New Roman"/>
          <w:bCs/>
          <w:sz w:val="24"/>
          <w:szCs w:val="24"/>
        </w:rPr>
      </w:pPr>
      <w:r w:rsidRPr="00AC1DFA">
        <w:rPr>
          <w:rFonts w:ascii="Times New Roman" w:hAnsi="Times New Roman" w:cs="Times New Roman"/>
          <w:sz w:val="24"/>
          <w:szCs w:val="24"/>
        </w:rPr>
        <w:t>The First Instance Decision is final and binding.</w:t>
      </w:r>
    </w:p>
    <w:p w:rsidR="00AC1DFA" w:rsidRDefault="00AC1DFA" w:rsidP="00AC1DFA">
      <w:pPr>
        <w:spacing w:after="0" w:line="360" w:lineRule="auto"/>
        <w:jc w:val="both"/>
        <w:rPr>
          <w:rFonts w:ascii="Times New Roman" w:hAnsi="Times New Roman" w:cs="Times New Roman"/>
          <w:sz w:val="24"/>
          <w:szCs w:val="24"/>
        </w:rPr>
      </w:pPr>
      <w:r w:rsidRPr="00AC1DFA">
        <w:rPr>
          <w:rFonts w:ascii="Times New Roman" w:hAnsi="Times New Roman" w:cs="Times New Roman"/>
          <w:sz w:val="24"/>
          <w:szCs w:val="24"/>
        </w:rPr>
        <w:t>There is a comparative description of positive fictitious and negative fictitious, as follows:</w:t>
      </w:r>
    </w:p>
    <w:tbl>
      <w:tblPr>
        <w:tblStyle w:val="LightShading"/>
        <w:tblW w:w="0" w:type="auto"/>
        <w:tblLook w:val="04A0" w:firstRow="1" w:lastRow="0" w:firstColumn="1" w:lastColumn="0" w:noHBand="0" w:noVBand="1"/>
      </w:tblPr>
      <w:tblGrid>
        <w:gridCol w:w="2907"/>
        <w:gridCol w:w="2907"/>
        <w:gridCol w:w="2907"/>
      </w:tblGrid>
      <w:tr w:rsidR="00AC1DFA" w:rsidTr="00EE0E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7" w:type="dxa"/>
            <w:shd w:val="clear" w:color="auto" w:fill="auto"/>
          </w:tcPr>
          <w:p w:rsidR="00AC1DFA" w:rsidRDefault="00AC1DFA" w:rsidP="00EE0E36">
            <w:pPr>
              <w:jc w:val="both"/>
              <w:rPr>
                <w:rFonts w:ascii="Book Antiqua" w:eastAsia="Book Antiqua" w:hAnsi="Book Antiqua" w:cs="Book Antiqua"/>
                <w:sz w:val="22"/>
                <w:szCs w:val="22"/>
              </w:rPr>
            </w:pPr>
            <w:r>
              <w:rPr>
                <w:rFonts w:ascii="Book Antiqua" w:eastAsia="Book Antiqua" w:hAnsi="Book Antiqua" w:cs="Book Antiqua"/>
                <w:sz w:val="22"/>
                <w:szCs w:val="22"/>
              </w:rPr>
              <w:t>Criteria</w:t>
            </w:r>
          </w:p>
        </w:tc>
        <w:tc>
          <w:tcPr>
            <w:tcW w:w="2907" w:type="dxa"/>
            <w:shd w:val="clear" w:color="auto" w:fill="auto"/>
          </w:tcPr>
          <w:p w:rsidR="00AC1DFA" w:rsidRDefault="00AC1DFA" w:rsidP="00EE0E36">
            <w:pPr>
              <w:jc w:val="both"/>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sz w:val="22"/>
                <w:szCs w:val="22"/>
              </w:rPr>
            </w:pPr>
            <w:r w:rsidRPr="00AC1DFA">
              <w:rPr>
                <w:rFonts w:ascii="Book Antiqua" w:eastAsia="Book Antiqua" w:hAnsi="Book Antiqua" w:cs="Book Antiqua"/>
                <w:sz w:val="22"/>
                <w:szCs w:val="22"/>
              </w:rPr>
              <w:t>Positive Fictitious</w:t>
            </w:r>
          </w:p>
        </w:tc>
        <w:tc>
          <w:tcPr>
            <w:tcW w:w="2907" w:type="dxa"/>
            <w:shd w:val="clear" w:color="auto" w:fill="auto"/>
          </w:tcPr>
          <w:p w:rsidR="00AC1DFA" w:rsidRDefault="005B65D7" w:rsidP="00EE0E36">
            <w:pPr>
              <w:jc w:val="both"/>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sz w:val="22"/>
                <w:szCs w:val="22"/>
              </w:rPr>
            </w:pPr>
            <w:r>
              <w:t>Negative fictitious</w:t>
            </w:r>
          </w:p>
        </w:tc>
      </w:tr>
      <w:tr w:rsidR="00AC1DFA" w:rsidTr="00EE0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7" w:type="dxa"/>
            <w:shd w:val="clear" w:color="auto" w:fill="auto"/>
          </w:tcPr>
          <w:p w:rsidR="00AC1DFA" w:rsidRDefault="005B65D7" w:rsidP="00EE0E36">
            <w:pPr>
              <w:jc w:val="both"/>
              <w:rPr>
                <w:rFonts w:ascii="Book Antiqua" w:eastAsia="Book Antiqua" w:hAnsi="Book Antiqua" w:cs="Book Antiqua"/>
                <w:sz w:val="22"/>
                <w:szCs w:val="22"/>
              </w:rPr>
            </w:pPr>
            <w:r w:rsidRPr="005B65D7">
              <w:rPr>
                <w:rFonts w:ascii="Book Antiqua" w:eastAsia="Book Antiqua" w:hAnsi="Book Antiqua" w:cs="Book Antiqua"/>
                <w:sz w:val="22"/>
                <w:szCs w:val="22"/>
              </w:rPr>
              <w:t>Silence</w:t>
            </w:r>
          </w:p>
        </w:tc>
        <w:tc>
          <w:tcPr>
            <w:tcW w:w="2907" w:type="dxa"/>
            <w:shd w:val="clear" w:color="auto" w:fill="auto"/>
          </w:tcPr>
          <w:p w:rsidR="00AC1DFA" w:rsidRDefault="005B65D7" w:rsidP="00EE0E36">
            <w:pP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2"/>
                <w:szCs w:val="22"/>
              </w:rPr>
            </w:pPr>
            <w:r w:rsidRPr="005B65D7">
              <w:rPr>
                <w:rFonts w:ascii="Book Antiqua" w:eastAsia="Book Antiqua" w:hAnsi="Book Antiqua" w:cs="Book Antiqua"/>
                <w:sz w:val="22"/>
                <w:szCs w:val="22"/>
              </w:rPr>
              <w:t>Approval of application</w:t>
            </w:r>
          </w:p>
        </w:tc>
        <w:tc>
          <w:tcPr>
            <w:tcW w:w="2907" w:type="dxa"/>
            <w:shd w:val="clear" w:color="auto" w:fill="auto"/>
          </w:tcPr>
          <w:p w:rsidR="00AC1DFA" w:rsidRDefault="005B65D7" w:rsidP="00EE0E36">
            <w:pP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2"/>
                <w:szCs w:val="22"/>
              </w:rPr>
            </w:pPr>
            <w:r w:rsidRPr="005B65D7">
              <w:rPr>
                <w:rFonts w:ascii="Book Antiqua" w:eastAsia="Book Antiqua" w:hAnsi="Book Antiqua" w:cs="Book Antiqua"/>
                <w:sz w:val="22"/>
                <w:szCs w:val="22"/>
              </w:rPr>
              <w:t>Approval of application</w:t>
            </w:r>
          </w:p>
          <w:p w:rsidR="005B65D7" w:rsidRDefault="005B65D7" w:rsidP="00EE0E36">
            <w:pP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2"/>
                <w:szCs w:val="22"/>
              </w:rPr>
            </w:pPr>
          </w:p>
        </w:tc>
      </w:tr>
      <w:tr w:rsidR="00AC1DFA" w:rsidTr="00EE0E36">
        <w:tc>
          <w:tcPr>
            <w:cnfStyle w:val="001000000000" w:firstRow="0" w:lastRow="0" w:firstColumn="1" w:lastColumn="0" w:oddVBand="0" w:evenVBand="0" w:oddHBand="0" w:evenHBand="0" w:firstRowFirstColumn="0" w:firstRowLastColumn="0" w:lastRowFirstColumn="0" w:lastRowLastColumn="0"/>
            <w:tcW w:w="2907" w:type="dxa"/>
            <w:shd w:val="clear" w:color="auto" w:fill="auto"/>
          </w:tcPr>
          <w:p w:rsidR="00AC1DFA" w:rsidRDefault="005B65D7" w:rsidP="00EE0E36">
            <w:pPr>
              <w:jc w:val="both"/>
              <w:rPr>
                <w:rFonts w:ascii="Book Antiqua" w:eastAsia="Book Antiqua" w:hAnsi="Book Antiqua" w:cs="Book Antiqua"/>
                <w:sz w:val="22"/>
                <w:szCs w:val="22"/>
              </w:rPr>
            </w:pPr>
            <w:r>
              <w:t>Case Type</w:t>
            </w:r>
          </w:p>
        </w:tc>
        <w:tc>
          <w:tcPr>
            <w:tcW w:w="2907" w:type="dxa"/>
            <w:shd w:val="clear" w:color="auto" w:fill="auto"/>
          </w:tcPr>
          <w:p w:rsidR="00AC1DFA" w:rsidRDefault="005B65D7" w:rsidP="00EE0E36">
            <w:pPr>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2"/>
                <w:szCs w:val="22"/>
              </w:rPr>
            </w:pPr>
            <w:r w:rsidRPr="005B65D7">
              <w:rPr>
                <w:rFonts w:ascii="Book Antiqua" w:eastAsia="Book Antiqua" w:hAnsi="Book Antiqua" w:cs="Book Antiqua"/>
                <w:sz w:val="22"/>
                <w:szCs w:val="22"/>
              </w:rPr>
              <w:t>Application</w:t>
            </w:r>
          </w:p>
        </w:tc>
        <w:tc>
          <w:tcPr>
            <w:tcW w:w="2907" w:type="dxa"/>
            <w:shd w:val="clear" w:color="auto" w:fill="auto"/>
          </w:tcPr>
          <w:p w:rsidR="00AC1DFA" w:rsidRDefault="005B65D7" w:rsidP="00EE0E36">
            <w:pPr>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2"/>
                <w:szCs w:val="22"/>
              </w:rPr>
            </w:pPr>
            <w:r>
              <w:rPr>
                <w:rFonts w:ascii="Book Antiqua" w:eastAsia="Book Antiqua" w:hAnsi="Book Antiqua" w:cs="Book Antiqua"/>
                <w:sz w:val="22"/>
                <w:szCs w:val="22"/>
              </w:rPr>
              <w:t>Lawsuit</w:t>
            </w:r>
          </w:p>
          <w:p w:rsidR="005B65D7" w:rsidRDefault="005B65D7" w:rsidP="00EE0E36">
            <w:pPr>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2"/>
                <w:szCs w:val="22"/>
              </w:rPr>
            </w:pPr>
          </w:p>
        </w:tc>
      </w:tr>
      <w:tr w:rsidR="00AC1DFA" w:rsidTr="00EE0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7" w:type="dxa"/>
            <w:shd w:val="clear" w:color="auto" w:fill="auto"/>
          </w:tcPr>
          <w:p w:rsidR="00AC1DFA" w:rsidRDefault="005B65D7" w:rsidP="00EE0E36">
            <w:pPr>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Subject</w:t>
            </w:r>
          </w:p>
        </w:tc>
        <w:tc>
          <w:tcPr>
            <w:tcW w:w="2907" w:type="dxa"/>
            <w:shd w:val="clear" w:color="auto" w:fill="auto"/>
          </w:tcPr>
          <w:p w:rsidR="00AC1DFA" w:rsidRDefault="005B65D7" w:rsidP="00EE0E36">
            <w:pP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2"/>
                <w:szCs w:val="22"/>
              </w:rPr>
            </w:pPr>
            <w:r w:rsidRPr="005B65D7">
              <w:rPr>
                <w:rFonts w:ascii="Book Antiqua" w:eastAsia="Book Antiqua" w:hAnsi="Book Antiqua" w:cs="Book Antiqua"/>
                <w:sz w:val="22"/>
                <w:szCs w:val="22"/>
              </w:rPr>
              <w:t>Petitioner and respondent (no intervention possible)</w:t>
            </w:r>
          </w:p>
          <w:p w:rsidR="00AC1DFA" w:rsidRDefault="00AC1DFA" w:rsidP="00EE0E36">
            <w:pP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2"/>
                <w:szCs w:val="22"/>
              </w:rPr>
            </w:pPr>
          </w:p>
        </w:tc>
        <w:tc>
          <w:tcPr>
            <w:tcW w:w="2907" w:type="dxa"/>
            <w:shd w:val="clear" w:color="auto" w:fill="auto"/>
          </w:tcPr>
          <w:p w:rsidR="00AC1DFA" w:rsidRDefault="005B65D7" w:rsidP="00EE0E36">
            <w:pP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2"/>
                <w:szCs w:val="22"/>
              </w:rPr>
            </w:pPr>
            <w:r w:rsidRPr="005B65D7">
              <w:rPr>
                <w:rFonts w:ascii="Book Antiqua" w:eastAsia="Book Antiqua" w:hAnsi="Book Antiqua" w:cs="Book Antiqua"/>
                <w:sz w:val="22"/>
                <w:szCs w:val="22"/>
              </w:rPr>
              <w:t>Plaintiff and Defendant</w:t>
            </w:r>
            <w:r>
              <w:rPr>
                <w:rFonts w:ascii="Book Antiqua" w:eastAsia="Book Antiqua" w:hAnsi="Book Antiqua" w:cs="Book Antiqua"/>
                <w:sz w:val="22"/>
                <w:szCs w:val="22"/>
              </w:rPr>
              <w:t xml:space="preserve"> </w:t>
            </w:r>
            <w:r w:rsidRPr="005B65D7">
              <w:rPr>
                <w:rFonts w:ascii="Book Antiqua" w:eastAsia="Book Antiqua" w:hAnsi="Book Antiqua" w:cs="Book Antiqua"/>
                <w:sz w:val="22"/>
                <w:szCs w:val="22"/>
              </w:rPr>
              <w:t xml:space="preserve">(possible </w:t>
            </w:r>
            <w:proofErr w:type="spellStart"/>
            <w:r w:rsidRPr="005B65D7">
              <w:rPr>
                <w:rFonts w:ascii="Book Antiqua" w:eastAsia="Book Antiqua" w:hAnsi="Book Antiqua" w:cs="Book Antiqua"/>
                <w:sz w:val="22"/>
                <w:szCs w:val="22"/>
              </w:rPr>
              <w:t>intervenor</w:t>
            </w:r>
            <w:proofErr w:type="spellEnd"/>
            <w:r w:rsidRPr="005B65D7">
              <w:rPr>
                <w:rFonts w:ascii="Book Antiqua" w:eastAsia="Book Antiqua" w:hAnsi="Book Antiqua" w:cs="Book Antiqua"/>
                <w:sz w:val="22"/>
                <w:szCs w:val="22"/>
              </w:rPr>
              <w:t>)</w:t>
            </w:r>
          </w:p>
        </w:tc>
      </w:tr>
      <w:tr w:rsidR="00AC1DFA" w:rsidTr="00EE0E36">
        <w:tc>
          <w:tcPr>
            <w:cnfStyle w:val="001000000000" w:firstRow="0" w:lastRow="0" w:firstColumn="1" w:lastColumn="0" w:oddVBand="0" w:evenVBand="0" w:oddHBand="0" w:evenHBand="0" w:firstRowFirstColumn="0" w:firstRowLastColumn="0" w:lastRowFirstColumn="0" w:lastRowLastColumn="0"/>
            <w:tcW w:w="2907" w:type="dxa"/>
            <w:shd w:val="clear" w:color="auto" w:fill="auto"/>
          </w:tcPr>
          <w:p w:rsidR="00AC1DFA" w:rsidRDefault="005B65D7" w:rsidP="00EE0E36">
            <w:pPr>
              <w:jc w:val="both"/>
              <w:rPr>
                <w:rFonts w:ascii="Book Antiqua" w:eastAsia="Book Antiqua" w:hAnsi="Book Antiqua" w:cs="Book Antiqua"/>
                <w:sz w:val="22"/>
                <w:szCs w:val="22"/>
              </w:rPr>
            </w:pPr>
            <w:r>
              <w:rPr>
                <w:rFonts w:ascii="Book Antiqua" w:eastAsia="Book Antiqua" w:hAnsi="Book Antiqua" w:cs="Book Antiqua"/>
                <w:sz w:val="22"/>
                <w:szCs w:val="22"/>
              </w:rPr>
              <w:t>Object</w:t>
            </w:r>
          </w:p>
        </w:tc>
        <w:tc>
          <w:tcPr>
            <w:tcW w:w="2907" w:type="dxa"/>
            <w:shd w:val="clear" w:color="auto" w:fill="auto"/>
          </w:tcPr>
          <w:p w:rsidR="00AC1DFA" w:rsidRDefault="005B65D7" w:rsidP="00EE0E36">
            <w:pPr>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2"/>
                <w:szCs w:val="22"/>
              </w:rPr>
            </w:pPr>
            <w:r w:rsidRPr="005B65D7">
              <w:rPr>
                <w:rFonts w:ascii="Book Antiqua" w:eastAsia="Book Antiqua" w:hAnsi="Book Antiqua" w:cs="Book Antiqua"/>
                <w:sz w:val="22"/>
                <w:szCs w:val="22"/>
              </w:rPr>
              <w:t>Decision/action</w:t>
            </w:r>
          </w:p>
        </w:tc>
        <w:tc>
          <w:tcPr>
            <w:tcW w:w="2907" w:type="dxa"/>
            <w:shd w:val="clear" w:color="auto" w:fill="auto"/>
          </w:tcPr>
          <w:p w:rsidR="00AC1DFA" w:rsidRDefault="005B65D7" w:rsidP="00EE0E36">
            <w:pPr>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2"/>
                <w:szCs w:val="22"/>
              </w:rPr>
            </w:pPr>
            <w:r w:rsidRPr="005B65D7">
              <w:rPr>
                <w:rFonts w:ascii="Book Antiqua" w:eastAsia="Book Antiqua" w:hAnsi="Book Antiqua" w:cs="Book Antiqua"/>
                <w:sz w:val="22"/>
                <w:szCs w:val="22"/>
              </w:rPr>
              <w:t>Decision</w:t>
            </w:r>
          </w:p>
          <w:p w:rsidR="005B65D7" w:rsidRDefault="005B65D7" w:rsidP="00EE0E36">
            <w:pPr>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2"/>
                <w:szCs w:val="22"/>
              </w:rPr>
            </w:pPr>
          </w:p>
        </w:tc>
      </w:tr>
      <w:tr w:rsidR="00AC1DFA" w:rsidTr="00EE0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7" w:type="dxa"/>
            <w:shd w:val="clear" w:color="auto" w:fill="auto"/>
          </w:tcPr>
          <w:p w:rsidR="00AC1DFA" w:rsidRDefault="005B65D7" w:rsidP="00EE0E36">
            <w:pPr>
              <w:jc w:val="both"/>
              <w:rPr>
                <w:rFonts w:ascii="Book Antiqua" w:eastAsia="Book Antiqua" w:hAnsi="Book Antiqua" w:cs="Book Antiqua"/>
                <w:sz w:val="22"/>
                <w:szCs w:val="22"/>
              </w:rPr>
            </w:pPr>
            <w:r w:rsidRPr="005B65D7">
              <w:rPr>
                <w:rFonts w:ascii="Book Antiqua" w:eastAsia="Book Antiqua" w:hAnsi="Book Antiqua" w:cs="Book Antiqua"/>
                <w:sz w:val="22"/>
                <w:szCs w:val="22"/>
              </w:rPr>
              <w:t>Grace Period</w:t>
            </w:r>
          </w:p>
        </w:tc>
        <w:tc>
          <w:tcPr>
            <w:tcW w:w="2907" w:type="dxa"/>
            <w:shd w:val="clear" w:color="auto" w:fill="auto"/>
          </w:tcPr>
          <w:p w:rsidR="005B65D7" w:rsidRPr="005B65D7" w:rsidRDefault="005B65D7" w:rsidP="005B65D7">
            <w:pP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2"/>
                <w:szCs w:val="22"/>
              </w:rPr>
            </w:pPr>
            <w:r w:rsidRPr="005B65D7">
              <w:rPr>
                <w:rFonts w:ascii="Book Antiqua" w:eastAsia="Book Antiqua" w:hAnsi="Book Antiqua" w:cs="Book Antiqua"/>
                <w:sz w:val="22"/>
                <w:szCs w:val="22"/>
              </w:rPr>
              <w:t xml:space="preserve">Calculated 90 days from 20 </w:t>
            </w:r>
          </w:p>
          <w:p w:rsidR="005B65D7" w:rsidRPr="005B65D7" w:rsidRDefault="005B65D7" w:rsidP="005B65D7">
            <w:pP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2"/>
                <w:szCs w:val="22"/>
              </w:rPr>
            </w:pPr>
            <w:r w:rsidRPr="005B65D7">
              <w:rPr>
                <w:rFonts w:ascii="Book Antiqua" w:eastAsia="Book Antiqua" w:hAnsi="Book Antiqua" w:cs="Book Antiqua"/>
                <w:sz w:val="22"/>
                <w:szCs w:val="22"/>
              </w:rPr>
              <w:t xml:space="preserve">working days of receipt of </w:t>
            </w:r>
          </w:p>
          <w:p w:rsidR="005B65D7" w:rsidRPr="005B65D7" w:rsidRDefault="005B65D7" w:rsidP="005B65D7">
            <w:pP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2"/>
                <w:szCs w:val="22"/>
              </w:rPr>
            </w:pPr>
            <w:r w:rsidRPr="005B65D7">
              <w:rPr>
                <w:rFonts w:ascii="Book Antiqua" w:eastAsia="Book Antiqua" w:hAnsi="Book Antiqua" w:cs="Book Antiqua"/>
                <w:sz w:val="22"/>
                <w:szCs w:val="22"/>
              </w:rPr>
              <w:t xml:space="preserve">the request if not regulated </w:t>
            </w:r>
          </w:p>
          <w:p w:rsidR="00AC1DFA" w:rsidRDefault="005B65D7" w:rsidP="005B65D7">
            <w:pP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2"/>
                <w:szCs w:val="22"/>
              </w:rPr>
            </w:pPr>
            <w:r w:rsidRPr="005B65D7">
              <w:rPr>
                <w:rFonts w:ascii="Book Antiqua" w:eastAsia="Book Antiqua" w:hAnsi="Book Antiqua" w:cs="Book Antiqua"/>
                <w:sz w:val="22"/>
                <w:szCs w:val="22"/>
              </w:rPr>
              <w:t>in the basic regulation</w:t>
            </w:r>
          </w:p>
        </w:tc>
        <w:tc>
          <w:tcPr>
            <w:tcW w:w="2907" w:type="dxa"/>
            <w:shd w:val="clear" w:color="auto" w:fill="auto"/>
          </w:tcPr>
          <w:p w:rsidR="005B65D7" w:rsidRPr="005B65D7" w:rsidRDefault="005B65D7" w:rsidP="005B65D7">
            <w:pP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2"/>
                <w:szCs w:val="22"/>
              </w:rPr>
            </w:pPr>
            <w:r>
              <w:rPr>
                <w:rFonts w:ascii="Book Antiqua" w:eastAsia="Book Antiqua" w:hAnsi="Book Antiqua" w:cs="Book Antiqua"/>
                <w:sz w:val="22"/>
                <w:szCs w:val="22"/>
              </w:rPr>
              <w:t>C</w:t>
            </w:r>
            <w:r w:rsidRPr="005B65D7">
              <w:rPr>
                <w:rFonts w:ascii="Book Antiqua" w:eastAsia="Book Antiqua" w:hAnsi="Book Antiqua" w:cs="Book Antiqua"/>
                <w:sz w:val="22"/>
                <w:szCs w:val="22"/>
              </w:rPr>
              <w:t xml:space="preserve">alculated 90 days from 4 </w:t>
            </w:r>
          </w:p>
          <w:p w:rsidR="005B65D7" w:rsidRPr="005B65D7" w:rsidRDefault="005B65D7" w:rsidP="005B65D7">
            <w:pP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2"/>
                <w:szCs w:val="22"/>
              </w:rPr>
            </w:pPr>
            <w:r w:rsidRPr="005B65D7">
              <w:rPr>
                <w:rFonts w:ascii="Book Antiqua" w:eastAsia="Book Antiqua" w:hAnsi="Book Antiqua" w:cs="Book Antiqua"/>
                <w:sz w:val="22"/>
                <w:szCs w:val="22"/>
              </w:rPr>
              <w:t xml:space="preserve">months of receipt of the </w:t>
            </w:r>
          </w:p>
          <w:p w:rsidR="005B65D7" w:rsidRPr="005B65D7" w:rsidRDefault="005B65D7" w:rsidP="005B65D7">
            <w:pP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2"/>
                <w:szCs w:val="22"/>
              </w:rPr>
            </w:pPr>
            <w:r w:rsidRPr="005B65D7">
              <w:rPr>
                <w:rFonts w:ascii="Book Antiqua" w:eastAsia="Book Antiqua" w:hAnsi="Book Antiqua" w:cs="Book Antiqua"/>
                <w:sz w:val="22"/>
                <w:szCs w:val="22"/>
              </w:rPr>
              <w:t xml:space="preserve">application if not </w:t>
            </w:r>
          </w:p>
          <w:p w:rsidR="005B65D7" w:rsidRPr="005B65D7" w:rsidRDefault="005B65D7" w:rsidP="005B65D7">
            <w:pP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2"/>
                <w:szCs w:val="22"/>
              </w:rPr>
            </w:pPr>
            <w:r w:rsidRPr="005B65D7">
              <w:rPr>
                <w:rFonts w:ascii="Book Antiqua" w:eastAsia="Book Antiqua" w:hAnsi="Book Antiqua" w:cs="Book Antiqua"/>
                <w:sz w:val="22"/>
                <w:szCs w:val="22"/>
              </w:rPr>
              <w:t xml:space="preserve">stipulated in the basic </w:t>
            </w:r>
          </w:p>
          <w:p w:rsidR="00AC1DFA" w:rsidRDefault="005B65D7" w:rsidP="005B65D7">
            <w:pP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2"/>
                <w:szCs w:val="22"/>
              </w:rPr>
            </w:pPr>
            <w:r w:rsidRPr="005B65D7">
              <w:rPr>
                <w:rFonts w:ascii="Book Antiqua" w:eastAsia="Book Antiqua" w:hAnsi="Book Antiqua" w:cs="Book Antiqua"/>
                <w:sz w:val="22"/>
                <w:szCs w:val="22"/>
              </w:rPr>
              <w:t>regulation</w:t>
            </w:r>
          </w:p>
          <w:p w:rsidR="005B65D7" w:rsidRDefault="005B65D7" w:rsidP="005B65D7">
            <w:pP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2"/>
                <w:szCs w:val="22"/>
              </w:rPr>
            </w:pPr>
          </w:p>
        </w:tc>
      </w:tr>
      <w:tr w:rsidR="00AC1DFA" w:rsidTr="00EE0E36">
        <w:tc>
          <w:tcPr>
            <w:cnfStyle w:val="001000000000" w:firstRow="0" w:lastRow="0" w:firstColumn="1" w:lastColumn="0" w:oddVBand="0" w:evenVBand="0" w:oddHBand="0" w:evenHBand="0" w:firstRowFirstColumn="0" w:firstRowLastColumn="0" w:lastRowFirstColumn="0" w:lastRowLastColumn="0"/>
            <w:tcW w:w="2907" w:type="dxa"/>
            <w:shd w:val="clear" w:color="auto" w:fill="auto"/>
          </w:tcPr>
          <w:p w:rsidR="00AC1DFA" w:rsidRDefault="005B65D7" w:rsidP="00EE0E36">
            <w:pPr>
              <w:jc w:val="both"/>
              <w:rPr>
                <w:rFonts w:ascii="Book Antiqua" w:eastAsia="Book Antiqua" w:hAnsi="Book Antiqua" w:cs="Book Antiqua"/>
                <w:sz w:val="22"/>
                <w:szCs w:val="22"/>
              </w:rPr>
            </w:pPr>
            <w:r>
              <w:rPr>
                <w:rFonts w:ascii="Book Antiqua" w:eastAsia="Book Antiqua" w:hAnsi="Book Antiqua" w:cs="Book Antiqua"/>
                <w:sz w:val="22"/>
                <w:szCs w:val="22"/>
              </w:rPr>
              <w:t>I</w:t>
            </w:r>
            <w:r w:rsidRPr="005B65D7">
              <w:rPr>
                <w:rFonts w:ascii="Book Antiqua" w:eastAsia="Book Antiqua" w:hAnsi="Book Antiqua" w:cs="Book Antiqua"/>
                <w:sz w:val="22"/>
                <w:szCs w:val="22"/>
              </w:rPr>
              <w:t>nspection Deadline</w:t>
            </w:r>
          </w:p>
        </w:tc>
        <w:tc>
          <w:tcPr>
            <w:tcW w:w="2907" w:type="dxa"/>
            <w:shd w:val="clear" w:color="auto" w:fill="auto"/>
          </w:tcPr>
          <w:p w:rsidR="005B65D7" w:rsidRPr="005B65D7" w:rsidRDefault="005B65D7" w:rsidP="005B65D7">
            <w:pPr>
              <w:jc w:val="both"/>
              <w:cnfStyle w:val="000000000000" w:firstRow="0" w:lastRow="0" w:firstColumn="0" w:lastColumn="0" w:oddVBand="0" w:evenVBand="0" w:oddHBand="0" w:evenHBand="0" w:firstRowFirstColumn="0" w:firstRowLastColumn="0" w:lastRowFirstColumn="0" w:lastRowLastColumn="0"/>
              <w:rPr>
                <w:rFonts w:eastAsia="Book Antiqua"/>
                <w:sz w:val="24"/>
                <w:szCs w:val="24"/>
              </w:rPr>
            </w:pPr>
            <w:r w:rsidRPr="005B65D7">
              <w:rPr>
                <w:rFonts w:eastAsia="Book Antiqua"/>
                <w:sz w:val="24"/>
                <w:szCs w:val="24"/>
              </w:rPr>
              <w:t xml:space="preserve">Must be decided within 21 </w:t>
            </w:r>
          </w:p>
          <w:p w:rsidR="00AC1DFA" w:rsidRPr="005B65D7" w:rsidRDefault="005B65D7" w:rsidP="005B65D7">
            <w:pPr>
              <w:jc w:val="both"/>
              <w:cnfStyle w:val="000000000000" w:firstRow="0" w:lastRow="0" w:firstColumn="0" w:lastColumn="0" w:oddVBand="0" w:evenVBand="0" w:oddHBand="0" w:evenHBand="0" w:firstRowFirstColumn="0" w:firstRowLastColumn="0" w:lastRowFirstColumn="0" w:lastRowLastColumn="0"/>
              <w:rPr>
                <w:rFonts w:eastAsia="Book Antiqua"/>
                <w:sz w:val="24"/>
                <w:szCs w:val="24"/>
              </w:rPr>
            </w:pPr>
            <w:r w:rsidRPr="005B65D7">
              <w:rPr>
                <w:rFonts w:eastAsia="Book Antiqua"/>
                <w:sz w:val="24"/>
                <w:szCs w:val="24"/>
              </w:rPr>
              <w:t>working days</w:t>
            </w:r>
          </w:p>
        </w:tc>
        <w:tc>
          <w:tcPr>
            <w:tcW w:w="2907" w:type="dxa"/>
            <w:shd w:val="clear" w:color="auto" w:fill="auto"/>
          </w:tcPr>
          <w:p w:rsidR="00AC1DFA" w:rsidRDefault="005B65D7" w:rsidP="00EE0E36">
            <w:pPr>
              <w:jc w:val="both"/>
              <w:cnfStyle w:val="000000000000" w:firstRow="0" w:lastRow="0" w:firstColumn="0" w:lastColumn="0" w:oddVBand="0" w:evenVBand="0" w:oddHBand="0" w:evenHBand="0" w:firstRowFirstColumn="0" w:firstRowLastColumn="0" w:lastRowFirstColumn="0" w:lastRowLastColumn="0"/>
              <w:rPr>
                <w:sz w:val="24"/>
                <w:szCs w:val="24"/>
              </w:rPr>
            </w:pPr>
            <w:r w:rsidRPr="005B65D7">
              <w:rPr>
                <w:sz w:val="24"/>
                <w:szCs w:val="24"/>
              </w:rPr>
              <w:t xml:space="preserve">Similar </w:t>
            </w:r>
            <w:r w:rsidRPr="005B65D7">
              <w:rPr>
                <w:sz w:val="24"/>
                <w:szCs w:val="24"/>
              </w:rPr>
              <w:t>as ordinary lawsuit examination</w:t>
            </w:r>
          </w:p>
          <w:p w:rsidR="005B65D7" w:rsidRPr="005B65D7" w:rsidRDefault="005B65D7" w:rsidP="00EE0E36">
            <w:pPr>
              <w:jc w:val="both"/>
              <w:cnfStyle w:val="000000000000" w:firstRow="0" w:lastRow="0" w:firstColumn="0" w:lastColumn="0" w:oddVBand="0" w:evenVBand="0" w:oddHBand="0" w:evenHBand="0" w:firstRowFirstColumn="0" w:firstRowLastColumn="0" w:lastRowFirstColumn="0" w:lastRowLastColumn="0"/>
              <w:rPr>
                <w:rFonts w:eastAsia="Book Antiqua"/>
                <w:sz w:val="24"/>
                <w:szCs w:val="24"/>
              </w:rPr>
            </w:pPr>
          </w:p>
        </w:tc>
      </w:tr>
      <w:tr w:rsidR="00AC1DFA" w:rsidTr="00EE0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7" w:type="dxa"/>
            <w:shd w:val="clear" w:color="auto" w:fill="auto"/>
          </w:tcPr>
          <w:p w:rsidR="00AC1DFA" w:rsidRDefault="005B65D7" w:rsidP="00EE0E36">
            <w:pPr>
              <w:jc w:val="both"/>
              <w:rPr>
                <w:rFonts w:ascii="Book Antiqua" w:eastAsia="Book Antiqua" w:hAnsi="Book Antiqua" w:cs="Book Antiqua"/>
                <w:sz w:val="22"/>
                <w:szCs w:val="22"/>
              </w:rPr>
            </w:pPr>
            <w:r w:rsidRPr="005B65D7">
              <w:rPr>
                <w:rFonts w:ascii="Book Antiqua" w:eastAsia="Book Antiqua" w:hAnsi="Book Antiqua" w:cs="Book Antiqua"/>
                <w:sz w:val="22"/>
                <w:szCs w:val="22"/>
              </w:rPr>
              <w:t>Legal Remedies</w:t>
            </w:r>
          </w:p>
        </w:tc>
        <w:tc>
          <w:tcPr>
            <w:tcW w:w="2907" w:type="dxa"/>
            <w:shd w:val="clear" w:color="auto" w:fill="auto"/>
          </w:tcPr>
          <w:p w:rsidR="00AC1DFA" w:rsidRDefault="005B65D7" w:rsidP="00EE0E36">
            <w:pP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2"/>
                <w:szCs w:val="22"/>
              </w:rPr>
            </w:pPr>
            <w:r w:rsidRPr="005B65D7">
              <w:rPr>
                <w:rFonts w:ascii="Book Antiqua" w:eastAsia="Book Antiqua" w:hAnsi="Book Antiqua" w:cs="Book Antiqua"/>
                <w:sz w:val="22"/>
                <w:szCs w:val="22"/>
              </w:rPr>
              <w:t>First-tier final</w:t>
            </w:r>
          </w:p>
        </w:tc>
        <w:tc>
          <w:tcPr>
            <w:tcW w:w="2907" w:type="dxa"/>
            <w:shd w:val="clear" w:color="auto" w:fill="auto"/>
          </w:tcPr>
          <w:p w:rsidR="00AC1DFA" w:rsidRDefault="005B65D7" w:rsidP="00EE0E36">
            <w:pP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22"/>
                <w:szCs w:val="22"/>
              </w:rPr>
            </w:pPr>
            <w:r w:rsidRPr="005B65D7">
              <w:rPr>
                <w:rFonts w:ascii="Book Antiqua" w:eastAsia="Book Antiqua" w:hAnsi="Book Antiqua" w:cs="Book Antiqua"/>
                <w:sz w:val="22"/>
                <w:szCs w:val="22"/>
              </w:rPr>
              <w:t>Legal action may be taken</w:t>
            </w:r>
          </w:p>
        </w:tc>
      </w:tr>
    </w:tbl>
    <w:p w:rsidR="00AC1DFA" w:rsidRPr="004D407B" w:rsidRDefault="00AC1DFA" w:rsidP="00AC1DFA">
      <w:pPr>
        <w:jc w:val="both"/>
        <w:rPr>
          <w:rFonts w:ascii="Book Antiqua" w:eastAsia="Book Antiqua" w:hAnsi="Book Antiqua" w:cs="Book Antiqua"/>
          <w:b/>
          <w:bCs/>
        </w:rPr>
      </w:pPr>
      <w:proofErr w:type="gramStart"/>
      <w:r>
        <w:rPr>
          <w:rFonts w:ascii="Book Antiqua" w:eastAsia="Book Antiqua" w:hAnsi="Book Antiqua" w:cs="Book Antiqua"/>
          <w:b/>
          <w:bCs/>
        </w:rPr>
        <w:t>Tabl</w:t>
      </w:r>
      <w:r w:rsidR="005B65D7">
        <w:rPr>
          <w:rFonts w:ascii="Book Antiqua" w:eastAsia="Book Antiqua" w:hAnsi="Book Antiqua" w:cs="Book Antiqua"/>
          <w:b/>
          <w:bCs/>
        </w:rPr>
        <w:t>e</w:t>
      </w:r>
      <w:r>
        <w:rPr>
          <w:rFonts w:ascii="Book Antiqua" w:eastAsia="Book Antiqua" w:hAnsi="Book Antiqua" w:cs="Book Antiqua"/>
          <w:b/>
          <w:bCs/>
        </w:rPr>
        <w:t xml:space="preserve"> 1.</w:t>
      </w:r>
      <w:proofErr w:type="gramEnd"/>
      <w:r>
        <w:rPr>
          <w:rFonts w:ascii="Book Antiqua" w:eastAsia="Book Antiqua" w:hAnsi="Book Antiqua" w:cs="Book Antiqua"/>
          <w:b/>
          <w:bCs/>
        </w:rPr>
        <w:t xml:space="preserve"> </w:t>
      </w:r>
      <w:proofErr w:type="gramStart"/>
      <w:r w:rsidR="005B65D7" w:rsidRPr="005B65D7">
        <w:rPr>
          <w:rFonts w:ascii="Book Antiqua" w:eastAsia="Book Antiqua" w:hAnsi="Book Antiqua" w:cs="Book Antiqua"/>
          <w:b/>
          <w:bCs/>
        </w:rPr>
        <w:t>Comparison of</w:t>
      </w:r>
      <w:r w:rsidR="005B65D7">
        <w:rPr>
          <w:rFonts w:ascii="Book Antiqua" w:eastAsia="Book Antiqua" w:hAnsi="Book Antiqua" w:cs="Book Antiqua"/>
          <w:b/>
          <w:bCs/>
        </w:rPr>
        <w:t xml:space="preserve"> Positive and Negative Fictions</w:t>
      </w:r>
      <w:r>
        <w:rPr>
          <w:rFonts w:ascii="Book Antiqua" w:eastAsia="Book Antiqua" w:hAnsi="Book Antiqua" w:cs="Book Antiqua"/>
          <w:b/>
          <w:bCs/>
        </w:rPr>
        <w:t>.</w:t>
      </w:r>
      <w:proofErr w:type="gramEnd"/>
    </w:p>
    <w:p w:rsidR="00AC1DFA" w:rsidRPr="0044469A" w:rsidRDefault="0044469A" w:rsidP="00AC1DFA">
      <w:pPr>
        <w:spacing w:after="0" w:line="360" w:lineRule="auto"/>
        <w:jc w:val="both"/>
        <w:rPr>
          <w:rFonts w:ascii="Times New Roman" w:eastAsia="Times New Roman" w:hAnsi="Times New Roman" w:cs="Times New Roman"/>
          <w:bCs/>
          <w:sz w:val="28"/>
          <w:szCs w:val="28"/>
        </w:rPr>
      </w:pPr>
      <w:r w:rsidRPr="0044469A">
        <w:rPr>
          <w:rFonts w:ascii="Times New Roman" w:hAnsi="Times New Roman" w:cs="Times New Roman"/>
          <w:sz w:val="24"/>
          <w:szCs w:val="24"/>
        </w:rPr>
        <w:t>Therefore, Article 53 of Law No. 30 of 2014 does not regulate in detail and clearly about the criteria for decisions and/or actions that can be requested to government agencies or officials, which if not responded to within the time specified by the invitation, then within 10 (ten) working days, the request is considered legally granted</w:t>
      </w:r>
    </w:p>
    <w:p w:rsidR="0044469A" w:rsidRDefault="0044469A" w:rsidP="003A7FC5">
      <w:pPr>
        <w:spacing w:after="0" w:line="240" w:lineRule="auto"/>
        <w:jc w:val="both"/>
        <w:rPr>
          <w:rFonts w:ascii="Times New Roman" w:eastAsia="Times New Roman" w:hAnsi="Times New Roman"/>
          <w:b/>
          <w:sz w:val="24"/>
          <w:lang w:val="nl-NL"/>
        </w:rPr>
      </w:pPr>
    </w:p>
    <w:p w:rsidR="003A7FC5" w:rsidRDefault="003A7FC5" w:rsidP="003A7FC5">
      <w:pPr>
        <w:spacing w:after="0" w:line="240" w:lineRule="auto"/>
        <w:jc w:val="both"/>
        <w:rPr>
          <w:rFonts w:ascii="Times New Roman" w:eastAsia="Times New Roman" w:hAnsi="Times New Roman"/>
          <w:b/>
          <w:sz w:val="24"/>
          <w:lang w:val="nl-NL"/>
        </w:rPr>
      </w:pPr>
      <w:r w:rsidRPr="008C40A9">
        <w:rPr>
          <w:rFonts w:ascii="Times New Roman" w:eastAsia="Times New Roman" w:hAnsi="Times New Roman"/>
          <w:b/>
          <w:sz w:val="24"/>
          <w:lang w:val="nl-NL"/>
        </w:rPr>
        <w:t>CONCLUSIONS</w:t>
      </w:r>
    </w:p>
    <w:p w:rsidR="003A7FC5" w:rsidRDefault="003A7FC5" w:rsidP="003A7FC5">
      <w:pPr>
        <w:spacing w:after="0" w:line="240" w:lineRule="auto"/>
        <w:jc w:val="both"/>
        <w:rPr>
          <w:rFonts w:ascii="Times New Roman" w:eastAsia="Times New Roman" w:hAnsi="Times New Roman"/>
          <w:sz w:val="24"/>
          <w:lang w:val="nl-NL"/>
        </w:rPr>
      </w:pPr>
    </w:p>
    <w:p w:rsidR="003A7FC5" w:rsidRDefault="0044469A" w:rsidP="0044469A">
      <w:pPr>
        <w:spacing w:after="0" w:line="360" w:lineRule="auto"/>
        <w:jc w:val="both"/>
        <w:rPr>
          <w:rFonts w:ascii="Times New Roman" w:eastAsia="Times New Roman" w:hAnsi="Times New Roman"/>
          <w:sz w:val="24"/>
          <w:lang w:val="nl-NL"/>
        </w:rPr>
      </w:pPr>
      <w:r w:rsidRPr="0044469A">
        <w:rPr>
          <w:rFonts w:ascii="Times New Roman" w:hAnsi="Times New Roman" w:cs="Times New Roman"/>
          <w:sz w:val="24"/>
          <w:szCs w:val="24"/>
        </w:rPr>
        <w:t xml:space="preserve">From the description above, it can be concluded that: Law No. 30 of 2014 concerning Government Administration is inappropriate as material administrative law. </w:t>
      </w:r>
      <w:proofErr w:type="gramStart"/>
      <w:r w:rsidRPr="0044469A">
        <w:rPr>
          <w:rFonts w:ascii="Times New Roman" w:hAnsi="Times New Roman" w:cs="Times New Roman"/>
          <w:sz w:val="24"/>
          <w:szCs w:val="24"/>
        </w:rPr>
        <w:t>Because the concept is only towards government management.</w:t>
      </w:r>
      <w:proofErr w:type="gramEnd"/>
      <w:r w:rsidRPr="0044469A">
        <w:rPr>
          <w:rFonts w:ascii="Times New Roman" w:hAnsi="Times New Roman" w:cs="Times New Roman"/>
          <w:sz w:val="24"/>
          <w:szCs w:val="24"/>
        </w:rPr>
        <w:t xml:space="preserve"> The Law a quo has many weaknesses and discrepancies with the concept of administrative law that should be. This regulation focuses more on government management rather than general administrative law arrangements. There is a confusion of terminology between "authority" and "authority" and the unclear mechanism for resolving disputes over the authority of state institutions through the Constitutional Court. In addition, the law also contains ambiguities in the concepts of "concrete actions" and "other state officials", as well as overly strict restrictions on the use of discretion by government officials. The expansion of the definition of State Administrative Decree (KTUN) and the application of the positive fictitious principle are also seen as incompatible with established concepts of administrative law, causing various problems in the practice of state administrative justice. Overall, Law No. 30/2014 on Government Administration cannot be considered as a material administrative law that is in line with the principles of administrative law. Therefore, in the </w:t>
      </w:r>
      <w:r w:rsidRPr="0044469A">
        <w:rPr>
          <w:rFonts w:ascii="Times New Roman" w:hAnsi="Times New Roman" w:cs="Times New Roman"/>
          <w:sz w:val="24"/>
          <w:szCs w:val="24"/>
        </w:rPr>
        <w:lastRenderedPageBreak/>
        <w:t>author's view, it is necessary to revise or replace the Law with a Law that is more in line with established administrative law concepts and principles</w:t>
      </w:r>
      <w:r>
        <w:t>.</w:t>
      </w:r>
    </w:p>
    <w:p w:rsidR="003A7FC5" w:rsidRDefault="003A7FC5" w:rsidP="003A7FC5">
      <w:pPr>
        <w:spacing w:after="0" w:line="240" w:lineRule="auto"/>
        <w:jc w:val="both"/>
        <w:rPr>
          <w:rFonts w:ascii="Times New Roman" w:eastAsia="Times New Roman" w:hAnsi="Times New Roman"/>
          <w:sz w:val="24"/>
          <w:lang w:val="nl-NL"/>
        </w:rPr>
      </w:pPr>
    </w:p>
    <w:p w:rsidR="003A7FC5" w:rsidRDefault="003A7FC5" w:rsidP="003A7FC5">
      <w:pPr>
        <w:pStyle w:val="BodyText"/>
        <w:jc w:val="both"/>
        <w:rPr>
          <w:rFonts w:cstheme="minorBidi"/>
          <w:b/>
          <w:szCs w:val="22"/>
          <w:lang w:val="en-US" w:eastAsia="en-US" w:bidi="ar-SA"/>
        </w:rPr>
      </w:pPr>
      <w:r>
        <w:rPr>
          <w:rFonts w:cstheme="minorBidi"/>
          <w:b/>
          <w:szCs w:val="22"/>
          <w:lang w:val="en-US" w:eastAsia="en-US" w:bidi="ar-SA"/>
        </w:rPr>
        <w:t>BIBLIOGRAPHY</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sz w:val="24"/>
          <w:szCs w:val="24"/>
        </w:rPr>
        <w:fldChar w:fldCharType="begin" w:fldLock="1"/>
      </w:r>
      <w:r w:rsidRPr="0044469A">
        <w:rPr>
          <w:rFonts w:ascii="Times New Roman" w:hAnsi="Times New Roman" w:cs="Times New Roman"/>
          <w:sz w:val="24"/>
          <w:szCs w:val="24"/>
        </w:rPr>
        <w:instrText xml:space="preserve">ADDIN Mendeley Bibliography CSL_BIBLIOGRAPHY </w:instrText>
      </w:r>
      <w:r w:rsidRPr="0044469A">
        <w:rPr>
          <w:rFonts w:ascii="Times New Roman" w:hAnsi="Times New Roman" w:cs="Times New Roman"/>
          <w:sz w:val="24"/>
          <w:szCs w:val="24"/>
        </w:rPr>
        <w:fldChar w:fldCharType="separate"/>
      </w:r>
      <w:r w:rsidRPr="0044469A">
        <w:rPr>
          <w:rFonts w:ascii="Times New Roman" w:hAnsi="Times New Roman" w:cs="Times New Roman"/>
          <w:noProof/>
          <w:sz w:val="24"/>
          <w:szCs w:val="28"/>
        </w:rPr>
        <w:t xml:space="preserve">Agus Budi Susilo. “Makna Dan Kriteria Diskresi Keputusan Dan/Atau Tindakan Pejabat Publik Dalam Mewujudkan Pemeritahan Yang Baik.” </w:t>
      </w:r>
      <w:r w:rsidRPr="0044469A">
        <w:rPr>
          <w:rFonts w:ascii="Times New Roman" w:hAnsi="Times New Roman" w:cs="Times New Roman"/>
          <w:i/>
          <w:iCs/>
          <w:noProof/>
          <w:sz w:val="24"/>
          <w:szCs w:val="28"/>
        </w:rPr>
        <w:t>Jurnal Hukum Dan Peradilan</w:t>
      </w:r>
      <w:r w:rsidRPr="0044469A">
        <w:rPr>
          <w:rFonts w:ascii="Times New Roman" w:hAnsi="Times New Roman" w:cs="Times New Roman"/>
          <w:noProof/>
          <w:sz w:val="24"/>
          <w:szCs w:val="28"/>
        </w:rPr>
        <w:t xml:space="preserve"> 4, no. 1 (2015): 134.</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Ahmad. “Konsep Fiktif Positif: Penerapannya Di Pengadilan Tata Usaha Negara.” </w:t>
      </w:r>
      <w:r w:rsidRPr="0044469A">
        <w:rPr>
          <w:rFonts w:ascii="Times New Roman" w:hAnsi="Times New Roman" w:cs="Times New Roman"/>
          <w:i/>
          <w:iCs/>
          <w:noProof/>
          <w:sz w:val="24"/>
          <w:szCs w:val="28"/>
        </w:rPr>
        <w:t>Jurnal Hukum Replik</w:t>
      </w:r>
      <w:r w:rsidRPr="0044469A">
        <w:rPr>
          <w:rFonts w:ascii="Times New Roman" w:hAnsi="Times New Roman" w:cs="Times New Roman"/>
          <w:noProof/>
          <w:sz w:val="24"/>
          <w:szCs w:val="28"/>
        </w:rPr>
        <w:t xml:space="preserve"> 5, no. 2 (2017): 148.</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Anna Triningsih &amp; Nuzul Qur’aini Mardiya. “Interpretasi Lembaga Negara Dalam Penyelesaian Sengketa Kewenangan Lembaga Negara.” </w:t>
      </w:r>
      <w:r w:rsidRPr="0044469A">
        <w:rPr>
          <w:rFonts w:ascii="Times New Roman" w:hAnsi="Times New Roman" w:cs="Times New Roman"/>
          <w:i/>
          <w:iCs/>
          <w:noProof/>
          <w:sz w:val="24"/>
          <w:szCs w:val="28"/>
        </w:rPr>
        <w:t>Jurnal Konstitusi</w:t>
      </w:r>
      <w:r w:rsidRPr="0044469A">
        <w:rPr>
          <w:rFonts w:ascii="Times New Roman" w:hAnsi="Times New Roman" w:cs="Times New Roman"/>
          <w:noProof/>
          <w:sz w:val="24"/>
          <w:szCs w:val="28"/>
        </w:rPr>
        <w:t xml:space="preserve"> 14, no. 4 (2017): 782.</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Azza Azka Norra. “Pertentangan Norma Fiktif Negatif Dan Fiktif Positif Serta Kontekstualisasinya Menurut Undang-Undang Administrasi Pemerintahan.” </w:t>
      </w:r>
      <w:r w:rsidRPr="0044469A">
        <w:rPr>
          <w:rFonts w:ascii="Times New Roman" w:hAnsi="Times New Roman" w:cs="Times New Roman"/>
          <w:i/>
          <w:iCs/>
          <w:noProof/>
          <w:sz w:val="24"/>
          <w:szCs w:val="28"/>
        </w:rPr>
        <w:t>Jurnal Hukum Peratun</w:t>
      </w:r>
      <w:r w:rsidRPr="0044469A">
        <w:rPr>
          <w:rFonts w:ascii="Times New Roman" w:hAnsi="Times New Roman" w:cs="Times New Roman"/>
          <w:noProof/>
          <w:sz w:val="24"/>
          <w:szCs w:val="28"/>
        </w:rPr>
        <w:t xml:space="preserve"> 3, no. 2 (2020): 144.</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Bagus Oktafian Abrianto, et-al. “Problematika Keputusan Tata Usaha Negara Yang Bersifat Fiktif Positif Setelah Undang-Undang Nomor 11 Tahun 2020.” </w:t>
      </w:r>
      <w:r w:rsidRPr="0044469A">
        <w:rPr>
          <w:rFonts w:ascii="Times New Roman" w:hAnsi="Times New Roman" w:cs="Times New Roman"/>
          <w:i/>
          <w:iCs/>
          <w:noProof/>
          <w:sz w:val="24"/>
          <w:szCs w:val="28"/>
        </w:rPr>
        <w:t>Jurnal Arena Hukum</w:t>
      </w:r>
      <w:r w:rsidRPr="0044469A">
        <w:rPr>
          <w:rFonts w:ascii="Times New Roman" w:hAnsi="Times New Roman" w:cs="Times New Roman"/>
          <w:noProof/>
          <w:sz w:val="24"/>
          <w:szCs w:val="28"/>
        </w:rPr>
        <w:t xml:space="preserve"> 16, no. 3 (2023): 534.</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Bambang Arwanto. “Perlindungan Hukum Bagi Rakyat Akibat Tindakan Faktual Pemerintah.” </w:t>
      </w:r>
      <w:r w:rsidRPr="0044469A">
        <w:rPr>
          <w:rFonts w:ascii="Times New Roman" w:hAnsi="Times New Roman" w:cs="Times New Roman"/>
          <w:i/>
          <w:iCs/>
          <w:noProof/>
          <w:sz w:val="24"/>
          <w:szCs w:val="28"/>
        </w:rPr>
        <w:t>Yuridika</w:t>
      </w:r>
      <w:r w:rsidRPr="0044469A">
        <w:rPr>
          <w:rFonts w:ascii="Times New Roman" w:hAnsi="Times New Roman" w:cs="Times New Roman"/>
          <w:noProof/>
          <w:sz w:val="24"/>
          <w:szCs w:val="28"/>
        </w:rPr>
        <w:t xml:space="preserve"> 31, no. 3 (2016): 361.</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Bimasakti, Muhammad Adiguna. “Dispute Settlement in the Ombudsman and the Court of Law Regarding Compensation Public Service Dispute.” </w:t>
      </w:r>
      <w:r w:rsidRPr="0044469A">
        <w:rPr>
          <w:rFonts w:ascii="Times New Roman" w:hAnsi="Times New Roman" w:cs="Times New Roman"/>
          <w:i/>
          <w:iCs/>
          <w:noProof/>
          <w:sz w:val="24"/>
          <w:szCs w:val="28"/>
        </w:rPr>
        <w:t>Jurnal Hukum Dan Peradilan</w:t>
      </w:r>
      <w:r w:rsidRPr="0044469A">
        <w:rPr>
          <w:rFonts w:ascii="Times New Roman" w:hAnsi="Times New Roman" w:cs="Times New Roman"/>
          <w:noProof/>
          <w:sz w:val="24"/>
          <w:szCs w:val="28"/>
        </w:rPr>
        <w:t xml:space="preserve"> 10, no. 2 (2021): 281.</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Dola Riza. “Keputusan Tata Usaha Negara Menurut Undang-Undang Peradilan Tata Usaha Negara Dan Undang-Undang Administrasi Pemerintahan.” </w:t>
      </w:r>
      <w:r w:rsidRPr="0044469A">
        <w:rPr>
          <w:rFonts w:ascii="Times New Roman" w:hAnsi="Times New Roman" w:cs="Times New Roman"/>
          <w:i/>
          <w:iCs/>
          <w:noProof/>
          <w:sz w:val="24"/>
          <w:szCs w:val="28"/>
        </w:rPr>
        <w:t>Jurnal Bina Mulia Hukum</w:t>
      </w:r>
      <w:r w:rsidRPr="0044469A">
        <w:rPr>
          <w:rFonts w:ascii="Times New Roman" w:hAnsi="Times New Roman" w:cs="Times New Roman"/>
          <w:noProof/>
          <w:sz w:val="24"/>
          <w:szCs w:val="28"/>
        </w:rPr>
        <w:t xml:space="preserve"> 3, no. 1 (2018): 88.</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DPR RI. “Cluster of Expert Opinions on the Government Administration Bill,” 2014.</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“Cluster Pendapat Pakar Tentang RUU Administrasi Pemerintahan,” 2014.</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Dworkin, Ronald. “Legal Research.” </w:t>
      </w:r>
      <w:r w:rsidRPr="0044469A">
        <w:rPr>
          <w:rFonts w:ascii="Times New Roman" w:hAnsi="Times New Roman" w:cs="Times New Roman"/>
          <w:i/>
          <w:iCs/>
          <w:noProof/>
          <w:sz w:val="24"/>
          <w:szCs w:val="28"/>
        </w:rPr>
        <w:t>The MIT Press on Behalf of American Academy of Art &amp; Sciences</w:t>
      </w:r>
      <w:r w:rsidRPr="0044469A">
        <w:rPr>
          <w:rFonts w:ascii="Times New Roman" w:hAnsi="Times New Roman" w:cs="Times New Roman"/>
          <w:noProof/>
          <w:sz w:val="24"/>
          <w:szCs w:val="28"/>
        </w:rPr>
        <w:t xml:space="preserve"> 102, no. 2 (1973): 53.</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Enrico Simanjuntak. “Restatement Tentang Yurisdiksi Peradilan Mengadili Perbuatan Melawan Hukum Pemerintah.” </w:t>
      </w:r>
      <w:r w:rsidRPr="0044469A">
        <w:rPr>
          <w:rFonts w:ascii="Times New Roman" w:hAnsi="Times New Roman" w:cs="Times New Roman"/>
          <w:i/>
          <w:iCs/>
          <w:noProof/>
          <w:sz w:val="24"/>
          <w:szCs w:val="28"/>
        </w:rPr>
        <w:t>Jurnal Masalah-Masalah Hukum</w:t>
      </w:r>
      <w:r w:rsidRPr="0044469A">
        <w:rPr>
          <w:rFonts w:ascii="Times New Roman" w:hAnsi="Times New Roman" w:cs="Times New Roman"/>
          <w:noProof/>
          <w:sz w:val="24"/>
          <w:szCs w:val="28"/>
        </w:rPr>
        <w:t xml:space="preserve"> 48, no. 1 (2019): 44.</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F. A. M. Stroink. </w:t>
      </w:r>
      <w:r w:rsidRPr="0044469A">
        <w:rPr>
          <w:rFonts w:ascii="Times New Roman" w:hAnsi="Times New Roman" w:cs="Times New Roman"/>
          <w:i/>
          <w:iCs/>
          <w:noProof/>
          <w:sz w:val="24"/>
          <w:szCs w:val="28"/>
        </w:rPr>
        <w:t>Inleiding in Het Staats-En Administratief Recht</w:t>
      </w:r>
      <w:r w:rsidRPr="0044469A">
        <w:rPr>
          <w:rFonts w:ascii="Times New Roman" w:hAnsi="Times New Roman" w:cs="Times New Roman"/>
          <w:noProof/>
          <w:sz w:val="24"/>
          <w:szCs w:val="28"/>
        </w:rPr>
        <w:t>. Samson H.D Tjeenk Wilink: Alphen aan den Rijn, 1985.</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Francisca Romana Harjiyatni and Suswato. “Implikasi Undang-Undang Nomor 30 Tahun 2014 Tentang Administrasi Pemerintahan Terhadap Fungsi Peradilan Tata Usaha Negara.” </w:t>
      </w:r>
      <w:r w:rsidRPr="0044469A">
        <w:rPr>
          <w:rFonts w:ascii="Times New Roman" w:hAnsi="Times New Roman" w:cs="Times New Roman"/>
          <w:i/>
          <w:iCs/>
          <w:noProof/>
          <w:sz w:val="24"/>
          <w:szCs w:val="28"/>
        </w:rPr>
        <w:t xml:space="preserve">Jurnal </w:t>
      </w:r>
      <w:r w:rsidRPr="0044469A">
        <w:rPr>
          <w:rFonts w:ascii="Times New Roman" w:hAnsi="Times New Roman" w:cs="Times New Roman"/>
          <w:i/>
          <w:iCs/>
          <w:noProof/>
          <w:sz w:val="24"/>
          <w:szCs w:val="28"/>
        </w:rPr>
        <w:lastRenderedPageBreak/>
        <w:t>Ius Quia Iustum</w:t>
      </w:r>
      <w:r w:rsidRPr="0044469A">
        <w:rPr>
          <w:rFonts w:ascii="Times New Roman" w:hAnsi="Times New Roman" w:cs="Times New Roman"/>
          <w:noProof/>
          <w:sz w:val="24"/>
          <w:szCs w:val="28"/>
        </w:rPr>
        <w:t xml:space="preserve"> 24, no. 4 (2017): 602.</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H.B. Jacobini. </w:t>
      </w:r>
      <w:r w:rsidRPr="0044469A">
        <w:rPr>
          <w:rFonts w:ascii="Times New Roman" w:hAnsi="Times New Roman" w:cs="Times New Roman"/>
          <w:i/>
          <w:iCs/>
          <w:noProof/>
          <w:sz w:val="24"/>
          <w:szCs w:val="28"/>
        </w:rPr>
        <w:t>An Introduction to Comparative Administrative Law</w:t>
      </w:r>
      <w:r w:rsidRPr="0044469A">
        <w:rPr>
          <w:rFonts w:ascii="Times New Roman" w:hAnsi="Times New Roman" w:cs="Times New Roman"/>
          <w:noProof/>
          <w:sz w:val="24"/>
          <w:szCs w:val="28"/>
        </w:rPr>
        <w:t>. New York: Oceana Publications INC, 1991.</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H.D. Van Wijk. </w:t>
      </w:r>
      <w:r w:rsidRPr="0044469A">
        <w:rPr>
          <w:rFonts w:ascii="Times New Roman" w:hAnsi="Times New Roman" w:cs="Times New Roman"/>
          <w:i/>
          <w:iCs/>
          <w:noProof/>
          <w:sz w:val="24"/>
          <w:szCs w:val="28"/>
        </w:rPr>
        <w:t>Hoofdstukken van Administratief Recht</w:t>
      </w:r>
      <w:r w:rsidRPr="0044469A">
        <w:rPr>
          <w:rFonts w:ascii="Times New Roman" w:hAnsi="Times New Roman" w:cs="Times New Roman"/>
          <w:noProof/>
          <w:sz w:val="24"/>
          <w:szCs w:val="28"/>
        </w:rPr>
        <w:t>. Utrecht: Uitvegerij Lemma BV, 1995.</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I Gusti Ayu Apsari Hadi. “Pertanggungjawaban Pejabat Pemerintahan Dalam Tindakan Diskresi Pasca Berlakunya Undang-Undang No. 30 Tahun 2014 Tentang Administrasi Pemerintahan.” </w:t>
      </w:r>
      <w:r w:rsidRPr="0044469A">
        <w:rPr>
          <w:rFonts w:ascii="Times New Roman" w:hAnsi="Times New Roman" w:cs="Times New Roman"/>
          <w:i/>
          <w:iCs/>
          <w:noProof/>
          <w:sz w:val="24"/>
          <w:szCs w:val="28"/>
        </w:rPr>
        <w:t>Jurnal Ilmiah Fakultas Hukum Universitas Udayana</w:t>
      </w:r>
      <w:r w:rsidRPr="0044469A">
        <w:rPr>
          <w:rFonts w:ascii="Times New Roman" w:hAnsi="Times New Roman" w:cs="Times New Roman"/>
          <w:noProof/>
          <w:sz w:val="24"/>
          <w:szCs w:val="28"/>
        </w:rPr>
        <w:t xml:space="preserve"> 39, no. 1 (2017): 39.</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Indroharto. </w:t>
      </w:r>
      <w:r w:rsidRPr="0044469A">
        <w:rPr>
          <w:rFonts w:ascii="Times New Roman" w:hAnsi="Times New Roman" w:cs="Times New Roman"/>
          <w:i/>
          <w:iCs/>
          <w:noProof/>
          <w:sz w:val="24"/>
          <w:szCs w:val="28"/>
        </w:rPr>
        <w:t>Usaha Memahami Undang-Undang Tentang Peradilan Tata Usaha Negara Buku I</w:t>
      </w:r>
      <w:r w:rsidRPr="0044469A">
        <w:rPr>
          <w:rFonts w:ascii="Times New Roman" w:hAnsi="Times New Roman" w:cs="Times New Roman"/>
          <w:noProof/>
          <w:sz w:val="24"/>
          <w:szCs w:val="28"/>
        </w:rPr>
        <w:t>. Jakarta: Pustaka Sinar Harapan, 2000.</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Ishviati Joenaini Koenti. “Diskresi Dalam Penanggulangan Bencana Di DIY Dengan Paradigma Kontinjensi.” </w:t>
      </w:r>
      <w:r w:rsidRPr="0044469A">
        <w:rPr>
          <w:rFonts w:ascii="Times New Roman" w:hAnsi="Times New Roman" w:cs="Times New Roman"/>
          <w:i/>
          <w:iCs/>
          <w:noProof/>
          <w:sz w:val="24"/>
          <w:szCs w:val="28"/>
        </w:rPr>
        <w:t>Jurnal Ius Quia Iustum</w:t>
      </w:r>
      <w:r w:rsidRPr="0044469A">
        <w:rPr>
          <w:rFonts w:ascii="Times New Roman" w:hAnsi="Times New Roman" w:cs="Times New Roman"/>
          <w:noProof/>
          <w:sz w:val="24"/>
          <w:szCs w:val="28"/>
        </w:rPr>
        <w:t xml:space="preserve"> 23, no. 3 (2016): 470.</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James A. Grant. “Reason and Authority in Administrative Law.” </w:t>
      </w:r>
      <w:r w:rsidRPr="0044469A">
        <w:rPr>
          <w:rFonts w:ascii="Times New Roman" w:hAnsi="Times New Roman" w:cs="Times New Roman"/>
          <w:i/>
          <w:iCs/>
          <w:noProof/>
          <w:sz w:val="24"/>
          <w:szCs w:val="28"/>
        </w:rPr>
        <w:t>Cambridge Law Journal</w:t>
      </w:r>
      <w:r w:rsidRPr="0044469A">
        <w:rPr>
          <w:rFonts w:ascii="Times New Roman" w:hAnsi="Times New Roman" w:cs="Times New Roman"/>
          <w:noProof/>
          <w:sz w:val="24"/>
          <w:szCs w:val="28"/>
        </w:rPr>
        <w:t xml:space="preserve"> 76, no. 3 (2017): 517.</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Jimly Asshiddiqie. “Focus Group Discussion (FGD) Pada 31 Oktober 2023 Mengenai Konsep, Batasan, Dan Kriteria Lembaga Negara Yang Bersifat Constitutional Importance,” 2023.</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 </w:t>
      </w:r>
      <w:r w:rsidRPr="0044469A">
        <w:rPr>
          <w:rFonts w:ascii="Times New Roman" w:hAnsi="Times New Roman" w:cs="Times New Roman"/>
          <w:i/>
          <w:iCs/>
          <w:noProof/>
          <w:sz w:val="24"/>
          <w:szCs w:val="28"/>
        </w:rPr>
        <w:t>Perkembangan &amp; Konsolidasi Lembaga Negara Pasca Reformasi</w:t>
      </w:r>
      <w:r w:rsidRPr="0044469A">
        <w:rPr>
          <w:rFonts w:ascii="Times New Roman" w:hAnsi="Times New Roman" w:cs="Times New Roman"/>
          <w:noProof/>
          <w:sz w:val="24"/>
          <w:szCs w:val="28"/>
        </w:rPr>
        <w:t>. Jakarta: Sinar Grafika, 2022.</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Josef M. Monteiro. “Tanggung Jawab Presiden Atas Kebijakan Menteri Yang Menimbulkan Korupsi Berdasarkan Sistem Presidensial Dan Teori Kewenangan.” </w:t>
      </w:r>
      <w:r w:rsidRPr="0044469A">
        <w:rPr>
          <w:rFonts w:ascii="Times New Roman" w:hAnsi="Times New Roman" w:cs="Times New Roman"/>
          <w:i/>
          <w:iCs/>
          <w:noProof/>
          <w:sz w:val="24"/>
          <w:szCs w:val="28"/>
        </w:rPr>
        <w:t>Kertha Patrika</w:t>
      </w:r>
      <w:r w:rsidRPr="0044469A">
        <w:rPr>
          <w:rFonts w:ascii="Times New Roman" w:hAnsi="Times New Roman" w:cs="Times New Roman"/>
          <w:noProof/>
          <w:sz w:val="24"/>
          <w:szCs w:val="28"/>
        </w:rPr>
        <w:t xml:space="preserve"> 39, no. 2 (2017): 84.</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Kuntjoro Purbopranoto. </w:t>
      </w:r>
      <w:r w:rsidRPr="0044469A">
        <w:rPr>
          <w:rFonts w:ascii="Times New Roman" w:hAnsi="Times New Roman" w:cs="Times New Roman"/>
          <w:i/>
          <w:iCs/>
          <w:noProof/>
          <w:sz w:val="24"/>
          <w:szCs w:val="28"/>
        </w:rPr>
        <w:t>Beberapa Catatan Hukum Tata Pemerintahan Dan Peradilan Administrasi Negara</w:t>
      </w:r>
      <w:r w:rsidRPr="0044469A">
        <w:rPr>
          <w:rFonts w:ascii="Times New Roman" w:hAnsi="Times New Roman" w:cs="Times New Roman"/>
          <w:noProof/>
          <w:sz w:val="24"/>
          <w:szCs w:val="28"/>
        </w:rPr>
        <w:t>. Bandung: Alumni, 1981.</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Maria Farida Indarti. “Eksistensi Penjelasan Undang-Undang Dasar 1945 Sesudah Perubahan.” </w:t>
      </w:r>
      <w:r w:rsidRPr="0044469A">
        <w:rPr>
          <w:rFonts w:ascii="Times New Roman" w:hAnsi="Times New Roman" w:cs="Times New Roman"/>
          <w:i/>
          <w:iCs/>
          <w:noProof/>
          <w:sz w:val="24"/>
          <w:szCs w:val="28"/>
        </w:rPr>
        <w:t>Postdoctoral Speech at the Faculty of Law, University of Indonesia</w:t>
      </w:r>
      <w:r w:rsidRPr="0044469A">
        <w:rPr>
          <w:rFonts w:ascii="Times New Roman" w:hAnsi="Times New Roman" w:cs="Times New Roman"/>
          <w:noProof/>
          <w:sz w:val="24"/>
          <w:szCs w:val="28"/>
        </w:rPr>
        <w:t>, 2019.</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Marojahan JS Panjaitan. “Penyelesaian Penyalahgunaan Wewenang Yang Menimbulkan Kerugian Negara Menurut Hukum Administrasi Pemerintahan.” </w:t>
      </w:r>
      <w:r w:rsidRPr="0044469A">
        <w:rPr>
          <w:rFonts w:ascii="Times New Roman" w:hAnsi="Times New Roman" w:cs="Times New Roman"/>
          <w:i/>
          <w:iCs/>
          <w:noProof/>
          <w:sz w:val="24"/>
          <w:szCs w:val="28"/>
        </w:rPr>
        <w:t>Jurnal Ius Quia Iustum</w:t>
      </w:r>
      <w:r w:rsidRPr="0044469A">
        <w:rPr>
          <w:rFonts w:ascii="Times New Roman" w:hAnsi="Times New Roman" w:cs="Times New Roman"/>
          <w:noProof/>
          <w:sz w:val="24"/>
          <w:szCs w:val="28"/>
        </w:rPr>
        <w:t xml:space="preserve"> 24, no. 3 (2017): 436.</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Marzuki, Peter Mahmud. </w:t>
      </w:r>
      <w:r w:rsidRPr="0044469A">
        <w:rPr>
          <w:rFonts w:ascii="Times New Roman" w:hAnsi="Times New Roman" w:cs="Times New Roman"/>
          <w:i/>
          <w:iCs/>
          <w:noProof/>
          <w:sz w:val="24"/>
          <w:szCs w:val="28"/>
        </w:rPr>
        <w:t>Penelitian Hukum</w:t>
      </w:r>
      <w:r w:rsidRPr="0044469A">
        <w:rPr>
          <w:rFonts w:ascii="Times New Roman" w:hAnsi="Times New Roman" w:cs="Times New Roman"/>
          <w:noProof/>
          <w:sz w:val="24"/>
          <w:szCs w:val="28"/>
        </w:rPr>
        <w:t>. Kencana Prenada Media Group, Jakarta, 2005.</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Moh Mahfud MD. “Titik Singgung Wewenang MA Dan MK.” </w:t>
      </w:r>
      <w:r w:rsidRPr="0044469A">
        <w:rPr>
          <w:rFonts w:ascii="Times New Roman" w:hAnsi="Times New Roman" w:cs="Times New Roman"/>
          <w:i/>
          <w:iCs/>
          <w:noProof/>
          <w:sz w:val="24"/>
          <w:szCs w:val="28"/>
        </w:rPr>
        <w:t>Jurnal Hukum Dan Peradilan</w:t>
      </w:r>
      <w:r w:rsidRPr="0044469A">
        <w:rPr>
          <w:rFonts w:ascii="Times New Roman" w:hAnsi="Times New Roman" w:cs="Times New Roman"/>
          <w:noProof/>
          <w:sz w:val="24"/>
          <w:szCs w:val="28"/>
        </w:rPr>
        <w:t xml:space="preserve"> 4, no. 1 (2015): 13.</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Muhammad Aziz Zaelani and I Gusti Ketut Ayu Rachmi Handayani. “General Principles of Good Government Based on Pancasila as the Basis for the Use of Discretion.” </w:t>
      </w:r>
      <w:r w:rsidRPr="0044469A">
        <w:rPr>
          <w:rFonts w:ascii="Times New Roman" w:hAnsi="Times New Roman" w:cs="Times New Roman"/>
          <w:i/>
          <w:iCs/>
          <w:noProof/>
          <w:sz w:val="24"/>
          <w:szCs w:val="28"/>
        </w:rPr>
        <w:t>Ius Quia Iustum Jurnal Hukum</w:t>
      </w:r>
      <w:r w:rsidRPr="0044469A">
        <w:rPr>
          <w:rFonts w:ascii="Times New Roman" w:hAnsi="Times New Roman" w:cs="Times New Roman"/>
          <w:noProof/>
          <w:sz w:val="24"/>
          <w:szCs w:val="28"/>
        </w:rPr>
        <w:t xml:space="preserve"> 3, no. 26 (2019): 459.</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Nehru Asyikin. “Tanggung Jawab Jabatan Dan Tanggung Jawab Pribadi Dalam Penggunaan Diskresi.” </w:t>
      </w:r>
      <w:r w:rsidRPr="0044469A">
        <w:rPr>
          <w:rFonts w:ascii="Times New Roman" w:hAnsi="Times New Roman" w:cs="Times New Roman"/>
          <w:i/>
          <w:iCs/>
          <w:noProof/>
          <w:sz w:val="24"/>
          <w:szCs w:val="28"/>
        </w:rPr>
        <w:t>Jurnal Hukum &amp; Pembangunan</w:t>
      </w:r>
      <w:r w:rsidRPr="0044469A">
        <w:rPr>
          <w:rFonts w:ascii="Times New Roman" w:hAnsi="Times New Roman" w:cs="Times New Roman"/>
          <w:noProof/>
          <w:sz w:val="24"/>
          <w:szCs w:val="28"/>
        </w:rPr>
        <w:t xml:space="preserve"> 50, no. 3 (2020): 638.</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lastRenderedPageBreak/>
        <w:t xml:space="preserve">Philipus M. Hadjon. “Peradilan Tata Usaha Negara Dalam Konteks Undang-Undang No. 30 TH. 2014 Tentang Administasi Pemerintahan.” </w:t>
      </w:r>
      <w:r w:rsidRPr="0044469A">
        <w:rPr>
          <w:rFonts w:ascii="Times New Roman" w:hAnsi="Times New Roman" w:cs="Times New Roman"/>
          <w:i/>
          <w:iCs/>
          <w:noProof/>
          <w:sz w:val="24"/>
          <w:szCs w:val="28"/>
        </w:rPr>
        <w:t>Jurnal Hukum Dan Peradilan</w:t>
      </w:r>
      <w:r w:rsidRPr="0044469A">
        <w:rPr>
          <w:rFonts w:ascii="Times New Roman" w:hAnsi="Times New Roman" w:cs="Times New Roman"/>
          <w:noProof/>
          <w:sz w:val="24"/>
          <w:szCs w:val="28"/>
        </w:rPr>
        <w:t xml:space="preserve"> 4, no. 1 (2015): 53.</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 “Tentang Kewenangan.” </w:t>
      </w:r>
      <w:r w:rsidRPr="0044469A">
        <w:rPr>
          <w:rFonts w:ascii="Times New Roman" w:hAnsi="Times New Roman" w:cs="Times New Roman"/>
          <w:i/>
          <w:iCs/>
          <w:noProof/>
          <w:sz w:val="24"/>
          <w:szCs w:val="28"/>
        </w:rPr>
        <w:t>Yuridika</w:t>
      </w:r>
      <w:r w:rsidRPr="0044469A">
        <w:rPr>
          <w:rFonts w:ascii="Times New Roman" w:hAnsi="Times New Roman" w:cs="Times New Roman"/>
          <w:noProof/>
          <w:sz w:val="24"/>
          <w:szCs w:val="28"/>
        </w:rPr>
        <w:t xml:space="preserve"> 7, no. 5–6 (1997).</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Philipus M.Hadjon et al. </w:t>
      </w:r>
      <w:r w:rsidRPr="0044469A">
        <w:rPr>
          <w:rFonts w:ascii="Times New Roman" w:hAnsi="Times New Roman" w:cs="Times New Roman"/>
          <w:i/>
          <w:iCs/>
          <w:noProof/>
          <w:sz w:val="24"/>
          <w:szCs w:val="28"/>
        </w:rPr>
        <w:t>Pengantar Hukum Administrasi Indonesia</w:t>
      </w:r>
      <w:r w:rsidRPr="0044469A">
        <w:rPr>
          <w:rFonts w:ascii="Times New Roman" w:hAnsi="Times New Roman" w:cs="Times New Roman"/>
          <w:noProof/>
          <w:sz w:val="24"/>
          <w:szCs w:val="28"/>
        </w:rPr>
        <w:t>. Cet. IX. Yogyakarta: Gadjah Mada University Press, 2005.</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R. Krenenburg. </w:t>
      </w:r>
      <w:r w:rsidRPr="0044469A">
        <w:rPr>
          <w:rFonts w:ascii="Times New Roman" w:hAnsi="Times New Roman" w:cs="Times New Roman"/>
          <w:i/>
          <w:iCs/>
          <w:noProof/>
          <w:sz w:val="24"/>
          <w:szCs w:val="28"/>
        </w:rPr>
        <w:t>Inleiding in Het Nederlands Administratief Recht</w:t>
      </w:r>
      <w:r w:rsidRPr="0044469A">
        <w:rPr>
          <w:rFonts w:ascii="Times New Roman" w:hAnsi="Times New Roman" w:cs="Times New Roman"/>
          <w:noProof/>
          <w:sz w:val="24"/>
          <w:szCs w:val="28"/>
        </w:rPr>
        <w:t>. Haarlem: Tjeenk Willink, 1941.</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Riawan Tjandra. “Dinamika Keadilan Dan Kepastian Hukum Dalam Peradilan Tata Usaha Negara.” </w:t>
      </w:r>
      <w:r w:rsidRPr="0044469A">
        <w:rPr>
          <w:rFonts w:ascii="Times New Roman" w:hAnsi="Times New Roman" w:cs="Times New Roman"/>
          <w:i/>
          <w:iCs/>
          <w:noProof/>
          <w:sz w:val="24"/>
          <w:szCs w:val="28"/>
        </w:rPr>
        <w:t>Jurnal Mimbar Hukum</w:t>
      </w:r>
      <w:r w:rsidRPr="0044469A">
        <w:rPr>
          <w:rFonts w:ascii="Times New Roman" w:hAnsi="Times New Roman" w:cs="Times New Roman"/>
          <w:noProof/>
          <w:sz w:val="24"/>
          <w:szCs w:val="28"/>
        </w:rPr>
        <w:t xml:space="preserve"> edisi khus (2011): 7.</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Ridwan HR. </w:t>
      </w:r>
      <w:r w:rsidRPr="0044469A">
        <w:rPr>
          <w:rFonts w:ascii="Times New Roman" w:hAnsi="Times New Roman" w:cs="Times New Roman"/>
          <w:i/>
          <w:iCs/>
          <w:noProof/>
          <w:sz w:val="24"/>
          <w:szCs w:val="28"/>
        </w:rPr>
        <w:t>Hukum Administrasi Negara (16th Printing)</w:t>
      </w:r>
      <w:r w:rsidRPr="0044469A">
        <w:rPr>
          <w:rFonts w:ascii="Times New Roman" w:hAnsi="Times New Roman" w:cs="Times New Roman"/>
          <w:noProof/>
          <w:sz w:val="24"/>
          <w:szCs w:val="28"/>
        </w:rPr>
        <w:t>. Depok: Rajawali Pers, 2020.</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Rifqi Ridlo Phahlevy &amp; Aidul Fitriciada Azhari. “Pergeseran Paradigma Peradilan Tata Usaha Negara Di Indonesia Dan Belanda.” </w:t>
      </w:r>
      <w:r w:rsidRPr="0044469A">
        <w:rPr>
          <w:rFonts w:ascii="Times New Roman" w:hAnsi="Times New Roman" w:cs="Times New Roman"/>
          <w:i/>
          <w:iCs/>
          <w:noProof/>
          <w:sz w:val="24"/>
          <w:szCs w:val="28"/>
        </w:rPr>
        <w:t>Jurnal Arena Hukum</w:t>
      </w:r>
      <w:r w:rsidRPr="0044469A">
        <w:rPr>
          <w:rFonts w:ascii="Times New Roman" w:hAnsi="Times New Roman" w:cs="Times New Roman"/>
          <w:noProof/>
          <w:sz w:val="24"/>
          <w:szCs w:val="28"/>
        </w:rPr>
        <w:t xml:space="preserve"> 12, no. 3 (2019): 580.</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Rusnan. “Konsep Negara Hukum Dalam Hubungan Kekuasaan Freiss Ermerssen Dalam Welfare State.” </w:t>
      </w:r>
      <w:r w:rsidRPr="0044469A">
        <w:rPr>
          <w:rFonts w:ascii="Times New Roman" w:hAnsi="Times New Roman" w:cs="Times New Roman"/>
          <w:i/>
          <w:iCs/>
          <w:noProof/>
          <w:sz w:val="24"/>
          <w:szCs w:val="28"/>
        </w:rPr>
        <w:t>Jurnal Ius</w:t>
      </w:r>
      <w:r w:rsidRPr="0044469A">
        <w:rPr>
          <w:rFonts w:ascii="Times New Roman" w:hAnsi="Times New Roman" w:cs="Times New Roman"/>
          <w:noProof/>
          <w:sz w:val="24"/>
          <w:szCs w:val="28"/>
        </w:rPr>
        <w:t xml:space="preserve"> 2, no. 4 (2014): 602.</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Saldi Isra. “Titik Singgung Wewenang Mahkamah Agung Dengan Mahkamah Konstitusi.” </w:t>
      </w:r>
      <w:r w:rsidRPr="0044469A">
        <w:rPr>
          <w:rFonts w:ascii="Times New Roman" w:hAnsi="Times New Roman" w:cs="Times New Roman"/>
          <w:i/>
          <w:iCs/>
          <w:noProof/>
          <w:sz w:val="24"/>
          <w:szCs w:val="28"/>
        </w:rPr>
        <w:t>Jurnal Hukum Dan Peradilan</w:t>
      </w:r>
      <w:r w:rsidRPr="0044469A">
        <w:rPr>
          <w:rFonts w:ascii="Times New Roman" w:hAnsi="Times New Roman" w:cs="Times New Roman"/>
          <w:noProof/>
          <w:sz w:val="24"/>
          <w:szCs w:val="28"/>
        </w:rPr>
        <w:t xml:space="preserve"> 4, no. 1 (2015): 28.</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Sjahran Basah. </w:t>
      </w:r>
      <w:r w:rsidRPr="0044469A">
        <w:rPr>
          <w:rFonts w:ascii="Times New Roman" w:hAnsi="Times New Roman" w:cs="Times New Roman"/>
          <w:i/>
          <w:iCs/>
          <w:noProof/>
          <w:sz w:val="24"/>
          <w:szCs w:val="28"/>
        </w:rPr>
        <w:t>Perlindungan Hukum Terhadap Sikap Tindakan Administrasi Negara</w:t>
      </w:r>
      <w:r w:rsidRPr="0044469A">
        <w:rPr>
          <w:rFonts w:ascii="Times New Roman" w:hAnsi="Times New Roman" w:cs="Times New Roman"/>
          <w:noProof/>
          <w:sz w:val="24"/>
          <w:szCs w:val="28"/>
        </w:rPr>
        <w:t>. Bandung: Alumni, 1992.</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Sri Nur Hari Susanto. “Methods of Acquisition and Boundaries of Government Authority.” </w:t>
      </w:r>
      <w:r w:rsidRPr="0044469A">
        <w:rPr>
          <w:rFonts w:ascii="Times New Roman" w:hAnsi="Times New Roman" w:cs="Times New Roman"/>
          <w:i/>
          <w:iCs/>
          <w:noProof/>
          <w:sz w:val="24"/>
          <w:szCs w:val="28"/>
        </w:rPr>
        <w:t>Administrative Law &amp; Governance Journal</w:t>
      </w:r>
      <w:r w:rsidRPr="0044469A">
        <w:rPr>
          <w:rFonts w:ascii="Times New Roman" w:hAnsi="Times New Roman" w:cs="Times New Roman"/>
          <w:noProof/>
          <w:sz w:val="24"/>
          <w:szCs w:val="28"/>
        </w:rPr>
        <w:t xml:space="preserve"> 3, no. 3 (2020): 435.</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Stephen G. Breyer. </w:t>
      </w:r>
      <w:r w:rsidRPr="0044469A">
        <w:rPr>
          <w:rFonts w:ascii="Times New Roman" w:hAnsi="Times New Roman" w:cs="Times New Roman"/>
          <w:i/>
          <w:iCs/>
          <w:noProof/>
          <w:sz w:val="24"/>
          <w:szCs w:val="28"/>
        </w:rPr>
        <w:t>Administrative Law and Regulatory Policy</w:t>
      </w:r>
      <w:r w:rsidRPr="0044469A">
        <w:rPr>
          <w:rFonts w:ascii="Times New Roman" w:hAnsi="Times New Roman" w:cs="Times New Roman"/>
          <w:noProof/>
          <w:sz w:val="24"/>
          <w:szCs w:val="28"/>
        </w:rPr>
        <w:t>. Massachusetts: Aspen Publishing, 2022.</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Tjandra, Riawan. </w:t>
      </w:r>
      <w:r w:rsidRPr="0044469A">
        <w:rPr>
          <w:rFonts w:ascii="Times New Roman" w:hAnsi="Times New Roman" w:cs="Times New Roman"/>
          <w:i/>
          <w:iCs/>
          <w:noProof/>
          <w:sz w:val="24"/>
          <w:szCs w:val="28"/>
        </w:rPr>
        <w:t>Hukum Administrai Negara,</w:t>
      </w:r>
      <w:r w:rsidRPr="0044469A">
        <w:rPr>
          <w:rFonts w:ascii="Times New Roman" w:hAnsi="Times New Roman" w:cs="Times New Roman"/>
          <w:noProof/>
          <w:sz w:val="24"/>
          <w:szCs w:val="28"/>
        </w:rPr>
        <w:t>. Jakarta: Sinar Grafika, 2018.</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Victor Imanuel W. Nalle. “The Scope of Discretion in Government Administration Law, Constitutional or Unconstitutional?” </w:t>
      </w:r>
      <w:r w:rsidRPr="0044469A">
        <w:rPr>
          <w:rFonts w:ascii="Times New Roman" w:hAnsi="Times New Roman" w:cs="Times New Roman"/>
          <w:i/>
          <w:iCs/>
          <w:noProof/>
          <w:sz w:val="24"/>
          <w:szCs w:val="28"/>
        </w:rPr>
        <w:t>Hasanuddin Law Review</w:t>
      </w:r>
      <w:r w:rsidRPr="0044469A">
        <w:rPr>
          <w:rFonts w:ascii="Times New Roman" w:hAnsi="Times New Roman" w:cs="Times New Roman"/>
          <w:noProof/>
          <w:sz w:val="24"/>
          <w:szCs w:val="28"/>
        </w:rPr>
        <w:t xml:space="preserve"> 4, no. 1 (2018): 5.</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Vollenhoven, Van. </w:t>
      </w:r>
      <w:r w:rsidRPr="0044469A">
        <w:rPr>
          <w:rFonts w:ascii="Times New Roman" w:hAnsi="Times New Roman" w:cs="Times New Roman"/>
          <w:i/>
          <w:iCs/>
          <w:noProof/>
          <w:sz w:val="24"/>
          <w:szCs w:val="28"/>
        </w:rPr>
        <w:t>Staatsrecht Overzee</w:t>
      </w:r>
      <w:r w:rsidRPr="0044469A">
        <w:rPr>
          <w:rFonts w:ascii="Times New Roman" w:hAnsi="Times New Roman" w:cs="Times New Roman"/>
          <w:noProof/>
          <w:sz w:val="24"/>
          <w:szCs w:val="28"/>
        </w:rPr>
        <w:t>. Laiden: Stenfert Kroese, 1934.</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8"/>
        </w:rPr>
      </w:pPr>
      <w:r w:rsidRPr="0044469A">
        <w:rPr>
          <w:rFonts w:ascii="Times New Roman" w:hAnsi="Times New Roman" w:cs="Times New Roman"/>
          <w:noProof/>
          <w:sz w:val="24"/>
          <w:szCs w:val="28"/>
        </w:rPr>
        <w:t xml:space="preserve">Zainal Arifin Mochtar. “Antinomy in Indonesian Legislation.” </w:t>
      </w:r>
      <w:r w:rsidRPr="0044469A">
        <w:rPr>
          <w:rFonts w:ascii="Times New Roman" w:hAnsi="Times New Roman" w:cs="Times New Roman"/>
          <w:i/>
          <w:iCs/>
          <w:noProof/>
          <w:sz w:val="24"/>
          <w:szCs w:val="28"/>
        </w:rPr>
        <w:t>Hasanuddin Law Review</w:t>
      </w:r>
      <w:r w:rsidRPr="0044469A">
        <w:rPr>
          <w:rFonts w:ascii="Times New Roman" w:hAnsi="Times New Roman" w:cs="Times New Roman"/>
          <w:noProof/>
          <w:sz w:val="24"/>
          <w:szCs w:val="28"/>
        </w:rPr>
        <w:t xml:space="preserve"> 1, no. 3 (2015): 318–19.</w:t>
      </w:r>
    </w:p>
    <w:p w:rsidR="0044469A" w:rsidRPr="0044469A" w:rsidRDefault="0044469A" w:rsidP="0044469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4469A">
        <w:rPr>
          <w:rFonts w:ascii="Times New Roman" w:hAnsi="Times New Roman" w:cs="Times New Roman"/>
          <w:noProof/>
          <w:sz w:val="24"/>
          <w:szCs w:val="28"/>
        </w:rPr>
        <w:t xml:space="preserve">Zaki Ulya. “Pertanggungjawaban Pejabat Pemerintahan Dalam Menetapkan Diskresi (Studi Terhadap Putusan Mahkamah Konstitusi Nomor 25/PUU-XIV/2016.” </w:t>
      </w:r>
      <w:r w:rsidRPr="0044469A">
        <w:rPr>
          <w:rFonts w:ascii="Times New Roman" w:hAnsi="Times New Roman" w:cs="Times New Roman"/>
          <w:i/>
          <w:iCs/>
          <w:noProof/>
          <w:sz w:val="24"/>
          <w:szCs w:val="28"/>
        </w:rPr>
        <w:t>Jurnal Ius Quia Iustum</w:t>
      </w:r>
      <w:r w:rsidRPr="0044469A">
        <w:rPr>
          <w:rFonts w:ascii="Times New Roman" w:hAnsi="Times New Roman" w:cs="Times New Roman"/>
          <w:noProof/>
          <w:sz w:val="24"/>
          <w:szCs w:val="28"/>
        </w:rPr>
        <w:t xml:space="preserve"> 24, no. 3 (2017): 415.</w:t>
      </w:r>
    </w:p>
    <w:p w:rsidR="005F490A" w:rsidRPr="0044469A" w:rsidRDefault="0044469A" w:rsidP="0044469A">
      <w:pPr>
        <w:jc w:val="both"/>
        <w:rPr>
          <w:rFonts w:ascii="Times New Roman" w:hAnsi="Times New Roman" w:cs="Times New Roman"/>
          <w:sz w:val="24"/>
          <w:szCs w:val="24"/>
        </w:rPr>
      </w:pPr>
      <w:r w:rsidRPr="0044469A">
        <w:rPr>
          <w:rFonts w:ascii="Times New Roman" w:hAnsi="Times New Roman" w:cs="Times New Roman"/>
          <w:sz w:val="24"/>
          <w:szCs w:val="24"/>
        </w:rPr>
        <w:fldChar w:fldCharType="end"/>
      </w:r>
    </w:p>
    <w:sectPr w:rsidR="005F490A" w:rsidRPr="0044469A" w:rsidSect="003A7FC5">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48F" w:rsidRDefault="00F2448F" w:rsidP="003A7FC5">
      <w:pPr>
        <w:spacing w:after="0" w:line="240" w:lineRule="auto"/>
      </w:pPr>
      <w:r>
        <w:separator/>
      </w:r>
    </w:p>
  </w:endnote>
  <w:endnote w:type="continuationSeparator" w:id="0">
    <w:p w:rsidR="00F2448F" w:rsidRDefault="00F2448F" w:rsidP="003A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2D5" w:rsidRDefault="00D472D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48F" w:rsidRDefault="00F2448F" w:rsidP="003A7FC5">
      <w:pPr>
        <w:spacing w:after="0" w:line="240" w:lineRule="auto"/>
      </w:pPr>
      <w:r>
        <w:separator/>
      </w:r>
    </w:p>
  </w:footnote>
  <w:footnote w:type="continuationSeparator" w:id="0">
    <w:p w:rsidR="00F2448F" w:rsidRDefault="00F2448F" w:rsidP="003A7FC5">
      <w:pPr>
        <w:spacing w:after="0" w:line="240" w:lineRule="auto"/>
      </w:pPr>
      <w:r>
        <w:continuationSeparator/>
      </w:r>
    </w:p>
  </w:footnote>
  <w:footnote w:id="1">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{"citationItems":[{"id":"ITEM-1","itemData":{"author":[{"dropping-particle":"","family":"Stephen G. Breyer","given":"","non-dropping-particle":"","parse-names":false,"suffix":""}],"id":"ITEM-1","issued":{"date-parts":[["2022"]]},"number-of-pages":"1","publisher":"Aspen Publishing","publisher-place":"Massachusetts","title":"Administrative Law and Regulatory Policy","type":"book"},"uris":["http://www.mendeley.com/documents/?uuid=3789babf-6fbc-4321-aae0-be5eb0441378"]}],"mendeley":{"formattedCitation":"Stephen G. Breyer, &lt;i&gt;Administrative Law and Regulatory Policy&lt;/i&gt; (Massachusetts: Aspen Publishing, 2022).","plainTextFormattedCitation":"Stephen G. Breyer, Administrative Law and Regulatory Policy (Massachusetts: Aspen Publishing, 2022).","previouslyFormattedCitation":"Stephen G. Breyer, &lt;i&gt;Administrative Law and Regulatory Policy&lt;/i&gt; (Massachusetts: Aspen Publishing, 2022)."},"properties":{"noteIndex":1},"schema":"https://github.com/citation-style-language/schema/raw/master/csl-citation.json"}</w:instrText>
      </w:r>
      <w:r>
        <w:fldChar w:fldCharType="separate"/>
      </w:r>
      <w:r w:rsidRPr="00A875DC">
        <w:rPr>
          <w:noProof/>
        </w:rPr>
        <w:t xml:space="preserve">Stephen G. Breyer, </w:t>
      </w:r>
      <w:r w:rsidRPr="00A875DC">
        <w:rPr>
          <w:i/>
          <w:noProof/>
        </w:rPr>
        <w:t>Administrative Law and Regulatory Policy</w:t>
      </w:r>
      <w:r w:rsidRPr="00A875DC">
        <w:rPr>
          <w:noProof/>
        </w:rPr>
        <w:t xml:space="preserve"> (Massachusetts: Aspen Publishing, 2022).</w:t>
      </w:r>
      <w:r>
        <w:fldChar w:fldCharType="end"/>
      </w:r>
      <w:r>
        <w:t xml:space="preserve"> [1]</w:t>
      </w:r>
    </w:p>
  </w:footnote>
  <w:footnote w:id="2">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{"citationItems":[{"id":"ITEM-1","itemData":{"author":[{"dropping-particle":"","family":"Bimasakti","given":"Muhammad Adiguna","non-dropping-particle":"","parse-names":false,"suffix":""}],"container-title":"Jurnal Hukum dan Peradilan","id":"ITEM-1","issue":"2","issued":{"date-parts":[["2021"]]},"page":"281","title":"Dispute Settlement in the Ombudsman and the Court of Law Regarding Compensation Public Service Dispute","type":"article-journal","volume":"10"},"uris":["http://www.mendeley.com/documents/?uuid=36af321e-97ac-455c-ac29-7b0f047cccb4"]}],"mendeley":{"formattedCitation":"Muhammad Adiguna Bimasakti, “Dispute Settlement in the Ombudsman and the Court of Law Regarding Compensation Public Service Dispute,” &lt;i&gt;Jurnal Hukum Dan Peradilan&lt;/i&gt; 10, no. 2 (2021): 281.","manualFormatting":"Muhammad Adiguna Bimasakti, “Dispute Settlement in the Ombudsman and the Court of Law Regarding Compensation Public Service Dispute,” Jurnal Hukum Dan Peradilan, Vol . 10, no. 2 (2021): [281].","plainTextFormattedCitation":"Muhammad Adiguna Bimasakti, “Dispute Settlement in the Ombudsman and the Court of Law Regarding Compensation Public Service Dispute,” Jurnal Hukum Dan Peradilan 10, no. 2 (2021): 281.","previouslyFormattedCitation":"Muhammad Adiguna Bimasakti, “Dispute Settlement in the Ombudsman and the Court of Law Regarding Compensation Public Service Dispute,” &lt;i&gt;Jurnal Hukum Dan Peradilan&lt;/i&gt; 10, no. 2 (2021): 281."},"properties":{"noteIndex":2},"schema":"https://github.com/citation-style-language/schema/raw/master/csl-citation.json"}</w:instrText>
      </w:r>
      <w:r>
        <w:fldChar w:fldCharType="separate"/>
      </w:r>
      <w:r w:rsidRPr="00C34AF6">
        <w:rPr>
          <w:noProof/>
        </w:rPr>
        <w:t xml:space="preserve">Muhammad Adiguna Bimasakti, “Dispute Settlement in the Ombudsman and the Court of Law Regarding Compensation Public Service Dispute,” </w:t>
      </w:r>
      <w:r w:rsidRPr="00C34AF6">
        <w:rPr>
          <w:i/>
          <w:noProof/>
        </w:rPr>
        <w:t>Jurnal Hukum Dan Peradilan</w:t>
      </w:r>
      <w:r>
        <w:rPr>
          <w:i/>
          <w:noProof/>
        </w:rPr>
        <w:t xml:space="preserve">, </w:t>
      </w:r>
      <w:r>
        <w:rPr>
          <w:iCs/>
          <w:noProof/>
        </w:rPr>
        <w:t>Vol .</w:t>
      </w:r>
      <w:r w:rsidRPr="00C34AF6">
        <w:rPr>
          <w:noProof/>
        </w:rPr>
        <w:t xml:space="preserve"> 10, no. 2 (2021): </w:t>
      </w:r>
      <w:r>
        <w:rPr>
          <w:noProof/>
        </w:rPr>
        <w:t>[</w:t>
      </w:r>
      <w:r w:rsidRPr="00C34AF6">
        <w:rPr>
          <w:noProof/>
        </w:rPr>
        <w:t>281</w:t>
      </w:r>
      <w:r>
        <w:rPr>
          <w:noProof/>
        </w:rPr>
        <w:t>]</w:t>
      </w:r>
      <w:r w:rsidRPr="00C34AF6">
        <w:rPr>
          <w:noProof/>
        </w:rPr>
        <w:t>.</w:t>
      </w:r>
      <w:r>
        <w:fldChar w:fldCharType="end"/>
      </w:r>
    </w:p>
  </w:footnote>
  <w:footnote w:id="3">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{"citationItems":[{"id":"ITEM-1","itemData":{"author":[{"dropping-particle":"","family":"Vollenhoven","given":"","non-dropping-particle":"Van","parse-names":false,"suffix":""}],"id":"ITEM-1","issued":{"date-parts":[["1934"]]},"number-of-pages":"104","publisher":"Stenfert Kroese","publisher-place":"Laiden","title":"Staatsrecht Overzee","type":"book"},"uris":["http://www.mendeley.com/documents/?uuid=7907f290-7566-41fc-84b1-b261d4d9d534"]}],"mendeley":{"formattedCitation":"Van Vollenhoven, &lt;i&gt;Staatsrecht Overzee&lt;/i&gt; (Laiden: Stenfert Kroese, 1934).","plainTextFormattedCitation":"Van Vollenhoven, Staatsrecht Overzee (Laiden: Stenfert Kroese, 1934).","previouslyFormattedCitation":"Van Vollenhoven, &lt;i&gt;Staatsrecht Overzee&lt;/i&gt; (Laiden: Stenfert Kroese, 1934)."},"properties":{"noteIndex":3},"schema":"https://github.com/citation-style-language/schema/raw/master/csl-citation.json"}</w:instrText>
      </w:r>
      <w:r>
        <w:fldChar w:fldCharType="separate"/>
      </w:r>
      <w:r w:rsidRPr="00C34AF6">
        <w:rPr>
          <w:noProof/>
        </w:rPr>
        <w:t xml:space="preserve">Van Vollenhoven, </w:t>
      </w:r>
      <w:r w:rsidRPr="00C34AF6">
        <w:rPr>
          <w:i/>
          <w:noProof/>
        </w:rPr>
        <w:t>Staatsrecht Overzee</w:t>
      </w:r>
      <w:r w:rsidRPr="00C34AF6">
        <w:rPr>
          <w:noProof/>
        </w:rPr>
        <w:t xml:space="preserve"> (Laiden: Stenfert Kroese, 1934).</w:t>
      </w:r>
      <w:r>
        <w:fldChar w:fldCharType="end"/>
      </w:r>
      <w:r>
        <w:t xml:space="preserve"> [104]</w:t>
      </w:r>
    </w:p>
  </w:footnote>
  <w:footnote w:id="4">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{"citationItems":[{"id":"ITEM-1","itemData":{"author":[{"dropping-particle":"","family":"Philipus M. Hadjon","given":"","non-dropping-particle":"","parse-names":false,"suffix":""}],"container-title":"Jurnal Hukum dan Peradilan","id":"ITEM-1","issue":"1","issued":{"date-parts":[["2015"]]},"page":"53","title":"Peradilan Tata Usaha Negara Dalam Konteks Undang-Undang No. 30 TH. 2014 Tentang Administasi Pemerintahan","type":"article-journal","volume":"4"},"uris":["http://www.mendeley.com/documents/?uuid=31227a72-183a-43fe-9ba9-cfba0d48090c"]}],"mendeley":{"formattedCitation":"Philipus M. Hadjon, “Peradilan Tata Usaha Negara Dalam Konteks Undang-Undang No. 30 TH. 2014 Tentang Administasi Pemerintahan,” &lt;i&gt;Jurnal Hukum Dan Peradilan&lt;/i&gt; 4, no. 1 (2015): 53.","manualFormatting":"Philipus M. Hadjon, “Peradilan Tata Usaha Negara Dalam Konteks Undang-Undang No. 30 TH. 2014 Tentang Administasi Pemerintahan,” Jurnal Hukum Dan Peradilan, Vol . 4, no. 1 (2015). [53].","plainTextFormattedCitation":"Philipus M. Hadjon, “Peradilan Tata Usaha Negara Dalam Konteks Undang-Undang No. 30 TH. 2014 Tentang Administasi Pemerintahan,” Jurnal Hukum Dan Peradilan 4, no. 1 (2015): 53.","previouslyFormattedCitation":"Philipus M. Hadjon, “Peradilan Tata Usaha Negara Dalam Konteks Undang-Undang No. 30 TH. 2014 Tentang Administasi Pemerintahan,” &lt;i&gt;Jurnal Hukum Dan Peradilan&lt;/i&gt; 4, no. 1 (2015): 53."},"properties":{"noteIndex":4},"schema":"https://github.com/citation-style-language/schema/raw/master/csl-citation.json"}</w:instrText>
      </w:r>
      <w:r>
        <w:fldChar w:fldCharType="separate"/>
      </w:r>
      <w:r w:rsidRPr="00C34AF6">
        <w:rPr>
          <w:noProof/>
        </w:rPr>
        <w:t xml:space="preserve">Philipus M. Hadjon, “Peradilan Tata Usaha Negara Dalam Konteks Undang-Undang No. 30 TH. 2014 Tentang Administasi Pemerintahan,” </w:t>
      </w:r>
      <w:r w:rsidRPr="00C34AF6">
        <w:rPr>
          <w:i/>
          <w:noProof/>
        </w:rPr>
        <w:t>Jurnal Hukum Dan Peradilan</w:t>
      </w:r>
      <w:r>
        <w:rPr>
          <w:i/>
          <w:noProof/>
        </w:rPr>
        <w:t xml:space="preserve">, </w:t>
      </w:r>
      <w:r>
        <w:rPr>
          <w:iCs/>
          <w:noProof/>
        </w:rPr>
        <w:t>Vol .</w:t>
      </w:r>
      <w:r>
        <w:rPr>
          <w:noProof/>
        </w:rPr>
        <w:t xml:space="preserve"> 4, no. 1 (2015).</w:t>
      </w:r>
      <w:r w:rsidRPr="00C34AF6">
        <w:rPr>
          <w:noProof/>
        </w:rPr>
        <w:t xml:space="preserve"> </w:t>
      </w:r>
      <w:r>
        <w:rPr>
          <w:noProof/>
        </w:rPr>
        <w:t>[</w:t>
      </w:r>
      <w:r w:rsidRPr="00C34AF6">
        <w:rPr>
          <w:noProof/>
        </w:rPr>
        <w:t>53</w:t>
      </w:r>
      <w:r>
        <w:rPr>
          <w:noProof/>
        </w:rPr>
        <w:t>]</w:t>
      </w:r>
      <w:r w:rsidRPr="00C34AF6">
        <w:rPr>
          <w:noProof/>
        </w:rPr>
        <w:t>.</w:t>
      </w:r>
      <w:r>
        <w:fldChar w:fldCharType="end"/>
      </w:r>
    </w:p>
  </w:footnote>
  <w:footnote w:id="5">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{"citationItems":[{"id":"ITEM-1","itemData":{"author":[{"dropping-particle":"","family":"Zainal Arifin Mochtar","given":"","non-dropping-particle":"","parse-names":false,"suffix":""}],"container-title":"Hasanuddin Law Review","id":"ITEM-1","issue":"3","issued":{"date-parts":[["2015"]]},"page":"318-319","title":"Antinomy in Indonesian Legislation","type":"article-journal","volume":"1"},"uris":["http://www.mendeley.com/documents/?uuid=d49a2244-be33-41c7-9832-4935a918b79f"]}],"mendeley":{"formattedCitation":"Zainal Arifin Mochtar, “Antinomy in Indonesian Legislation,” &lt;i&gt;Hasanuddin Law Review&lt;/i&gt; 1, no. 3 (2015): 318–19.","manualFormatting":"Zainal Arifin Mochtar, “Antinomy in Indonesian Legislation,” Hasanuddin Law Review, Vol . 1, no. 3 (2015): [318–319].","plainTextFormattedCitation":"Zainal Arifin Mochtar, “Antinomy in Indonesian Legislation,” Hasanuddin Law Review 1, no. 3 (2015): 318–19.","previouslyFormattedCitation":"Zainal Arifin Mochtar, “Antinomy in Indonesian Legislation,” &lt;i&gt;Hasanuddin Law Review&lt;/i&gt; 1, no. 3 (2015): 318–19."},"properties":{"noteIndex":5},"schema":"https://github.com/citation-style-language/schema/raw/master/csl-citation.json"}</w:instrText>
      </w:r>
      <w:r>
        <w:fldChar w:fldCharType="separate"/>
      </w:r>
      <w:r w:rsidRPr="00C34AF6">
        <w:rPr>
          <w:noProof/>
        </w:rPr>
        <w:t xml:space="preserve">Zainal Arifin Mochtar, “Antinomy in Indonesian Legislation,” </w:t>
      </w:r>
      <w:r w:rsidRPr="00C34AF6">
        <w:rPr>
          <w:i/>
          <w:noProof/>
        </w:rPr>
        <w:t>Hasanuddin Law Review</w:t>
      </w:r>
      <w:r>
        <w:rPr>
          <w:i/>
          <w:noProof/>
        </w:rPr>
        <w:t xml:space="preserve">, </w:t>
      </w:r>
      <w:r>
        <w:rPr>
          <w:iCs/>
          <w:noProof/>
        </w:rPr>
        <w:t>Vol .</w:t>
      </w:r>
      <w:r w:rsidRPr="00C34AF6">
        <w:rPr>
          <w:noProof/>
        </w:rPr>
        <w:t xml:space="preserve"> 1, no. 3 (2015): </w:t>
      </w:r>
      <w:r>
        <w:rPr>
          <w:noProof/>
        </w:rPr>
        <w:t>[</w:t>
      </w:r>
      <w:r w:rsidRPr="00C34AF6">
        <w:rPr>
          <w:noProof/>
        </w:rPr>
        <w:t>318–</w:t>
      </w:r>
      <w:r>
        <w:rPr>
          <w:noProof/>
        </w:rPr>
        <w:t>3</w:t>
      </w:r>
      <w:r w:rsidRPr="00C34AF6">
        <w:rPr>
          <w:noProof/>
        </w:rPr>
        <w:t>19</w:t>
      </w:r>
      <w:r>
        <w:rPr>
          <w:noProof/>
        </w:rPr>
        <w:t>]</w:t>
      </w:r>
      <w:r w:rsidRPr="00C34AF6">
        <w:rPr>
          <w:noProof/>
        </w:rPr>
        <w:t>.</w:t>
      </w:r>
      <w:r>
        <w:fldChar w:fldCharType="end"/>
      </w:r>
      <w:bookmarkStart w:id="0" w:name="_GoBack"/>
      <w:bookmarkEnd w:id="0"/>
    </w:p>
  </w:footnote>
  <w:footnote w:id="6">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{"citationItems":[{"id":"ITEM-1","itemData":{"author":[{"dropping-particle":"","family":"Muhammad Aziz Zaelani and I Gusti Ketut Ayu Rachmi Handayani","given":"","non-dropping-particle":"","parse-names":false,"suffix":""}],"container-title":"Ius Quia Iustum Jurnal Hukum","id":"ITEM-1","issue":"26","issued":{"date-parts":[["2019"]]},"page":"459","title":"General Principles of Good Government Based on Pancasila as the Basis for the Use of Discretion","type":"article-journal","volume":"3"},"uris":["http://www.mendeley.com/documents/?uuid=f86101fd-9ae7-41bd-a8df-044597244e2c"]}],"mendeley":{"formattedCitation":"Muhammad Aziz Zaelani and I Gusti Ketut Ayu Rachmi Handayani, “General Principles of Good Government Based on Pancasila as the Basis for the Use of Discretion,” &lt;i&gt;Ius Quia Iustum Jurnal Hukum&lt;/i&gt; 3, no. 26 (2019): 459.","manualFormatting":"Muhammad Aziz Zaelani and I Gusti Ketut Ayu Rachmi Handayani, “General Principles of Good Government Based on Pancasila as the Basis for the Use of Discretion,” Ius Quia Iustum Jurnal Hukum, Vol . 3, no. 26 (2019): [459].","plainTextFormattedCitation":"Muhammad Aziz Zaelani and I Gusti Ketut Ayu Rachmi Handayani, “General Principles of Good Government Based on Pancasila as the Basis for the Use of Discretion,” Ius Quia Iustum Jurnal Hukum 3, no. 26 (2019): 459.","previouslyFormattedCitation":"Muhammad Aziz Zaelani and I Gusti Ketut Ayu Rachmi Handayani, “General Principles of Good Government Based on Pancasila as the Basis for the Use of Discretion,” &lt;i&gt;Ius Quia Iustum Jurnal Hukum&lt;/i&gt; 3, no. 26 (2019): 459."},"properties":{"noteIndex":6},"schema":"https://github.com/citation-style-language/schema/raw/master/csl-citation.json"}</w:instrText>
      </w:r>
      <w:r>
        <w:fldChar w:fldCharType="separate"/>
      </w:r>
      <w:r w:rsidRPr="00C22D22">
        <w:rPr>
          <w:noProof/>
        </w:rPr>
        <w:t xml:space="preserve">Muhammad Aziz Zaelani and I Gusti Ketut Ayu Rachmi Handayani, “General Principles of Good Government Based on Pancasila as the Basis for the Use of Discretion,” </w:t>
      </w:r>
      <w:r w:rsidRPr="00C22D22">
        <w:rPr>
          <w:i/>
          <w:noProof/>
        </w:rPr>
        <w:t>Ius Quia Iustum Jurnal Hukum</w:t>
      </w:r>
      <w:r>
        <w:rPr>
          <w:i/>
          <w:noProof/>
        </w:rPr>
        <w:t xml:space="preserve">, </w:t>
      </w:r>
      <w:r>
        <w:rPr>
          <w:iCs/>
          <w:noProof/>
        </w:rPr>
        <w:t>Vol .</w:t>
      </w:r>
      <w:r w:rsidRPr="00C22D22">
        <w:rPr>
          <w:noProof/>
        </w:rPr>
        <w:t xml:space="preserve"> 3, no. 26 (2019): </w:t>
      </w:r>
      <w:r>
        <w:rPr>
          <w:noProof/>
        </w:rPr>
        <w:t>[</w:t>
      </w:r>
      <w:r w:rsidRPr="00C22D22">
        <w:rPr>
          <w:noProof/>
        </w:rPr>
        <w:t>459</w:t>
      </w:r>
      <w:r>
        <w:rPr>
          <w:noProof/>
        </w:rPr>
        <w:t>]</w:t>
      </w:r>
      <w:r w:rsidRPr="00C22D22">
        <w:rPr>
          <w:noProof/>
        </w:rPr>
        <w:t>.</w:t>
      </w:r>
      <w:r>
        <w:fldChar w:fldCharType="end"/>
      </w:r>
    </w:p>
  </w:footnote>
  <w:footnote w:id="7">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{"citationItems":[{"id":"ITEM-1","itemData":{"author":[{"dropping-particle":"","family":"Rusnan","given":"","non-dropping-particle":"","parse-names":false,"suffix":""}],"container-title":"Jurnal Ius","id":"ITEM-1","issue":"4","issued":{"date-parts":[["2014"]]},"page":"602","title":"Konsep Negara Hukum Dalam Hubungan Kekuasaan Freiss Ermerssen Dalam Welfare State","type":"article-journal","volume":"2"},"uris":["http://www.mendeley.com/documents/?uuid=be2f8ddb-57a6-4867-8358-f25e1ccb1c71"]}],"mendeley":{"formattedCitation":"Rusnan, “Konsep Negara Hukum Dalam Hubungan Kekuasaan Freiss Ermerssen Dalam Welfare State,” &lt;i&gt;Jurnal Ius&lt;/i&gt; 2, no. 4 (2014): 602.","manualFormatting":"Rusnan, “Konsep Negara Hukum Dalam Hubungan Kekuasaan Freiss Ermerssen Dalam Welfare State,” Jurnal Ius, Vol .2, no. 4 (2014): [3].","plainTextFormattedCitation":"Rusnan, “Konsep Negara Hukum Dalam Hubungan Kekuasaan Freiss Ermerssen Dalam Welfare State,” Jurnal Ius 2, no. 4 (2014): 602.","previouslyFormattedCitation":"Rusnan, “Konsep Negara Hukum Dalam Hubungan Kekuasaan Freiss Ermerssen Dalam Welfare State,” &lt;i&gt;Jurnal Ius&lt;/i&gt; 2, no. 4 (2014): 602."},"properties":{"noteIndex":7},"schema":"https://github.com/citation-style-language/schema/raw/master/csl-citation.json"}</w:instrText>
      </w:r>
      <w:r>
        <w:fldChar w:fldCharType="separate"/>
      </w:r>
      <w:r w:rsidRPr="00C526D8">
        <w:rPr>
          <w:noProof/>
        </w:rPr>
        <w:t xml:space="preserve">Rusnan, “Konsep Negara Hukum Dalam Hubungan Kekuasaan Freiss Ermerssen Dalam Welfare State,” </w:t>
      </w:r>
      <w:r w:rsidRPr="00C526D8">
        <w:rPr>
          <w:i/>
          <w:noProof/>
        </w:rPr>
        <w:t>Jurnal Ius</w:t>
      </w:r>
      <w:r>
        <w:rPr>
          <w:i/>
          <w:noProof/>
        </w:rPr>
        <w:t>,</w:t>
      </w:r>
      <w:r w:rsidRPr="00C526D8">
        <w:rPr>
          <w:noProof/>
        </w:rPr>
        <w:t xml:space="preserve"> </w:t>
      </w:r>
      <w:r>
        <w:rPr>
          <w:iCs/>
          <w:noProof/>
        </w:rPr>
        <w:t>Vol .</w:t>
      </w:r>
      <w:r w:rsidRPr="00C526D8">
        <w:rPr>
          <w:noProof/>
        </w:rPr>
        <w:t xml:space="preserve">2, no. 4 (2014): </w:t>
      </w:r>
      <w:r>
        <w:rPr>
          <w:noProof/>
        </w:rPr>
        <w:t>[3]</w:t>
      </w:r>
      <w:r w:rsidRPr="00C526D8">
        <w:rPr>
          <w:noProof/>
        </w:rPr>
        <w:t>.</w:t>
      </w:r>
      <w:r>
        <w:fldChar w:fldCharType="end"/>
      </w:r>
    </w:p>
  </w:footnote>
  <w:footnote w:id="8">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{"citationItems":[{"id":"ITEM-1","itemData":{"author":[{"dropping-particle":"","family":"Francisca Romana Harjiyatni and Suswato","given":"","non-dropping-particle":"","parse-names":false,"suffix":""}],"container-title":"jurnal Ius Quia Iustum","id":"ITEM-1","issue":"4","issued":{"date-parts":[["2017"]]},"page":"602","title":"Implikasi Undang-Undang Nomor 30 Tahun 2014 tentang Administrasi Pemerintahan terhadap Fungsi Peradilan Tata Usaha Negara","type":"article-journal","volume":"24"},"uris":["http://www.mendeley.com/documents/?uuid=469c2add-f90b-4d37-aab9-d8fdd5fe00a3"]}],"mendeley":{"formattedCitation":"Francisca Romana Harjiyatni and Suswato, “Implikasi Undang-Undang Nomor 30 Tahun 2014 Tentang Administrasi Pemerintahan Terhadap Fungsi Peradilan Tata Usaha Negara,” &lt;i&gt;Jurnal Ius Quia Iustum&lt;/i&gt; 24, no. 4 (2017): 602.","manualFormatting":"Francisca Romana Harjiyatni and Suswato, “Implikasi Undang-Undang Nomor 30 Tahun 2014 Tentang Administrasi Pemerintahan Terhadap Fungsi Peradilan Tata Usaha Negara,” Jurnal Ius Quia Iustum, Vol . 24, no. 4 (2017): [602].","plainTextFormattedCitation":"Francisca Romana Harjiyatni and Suswato, “Implikasi Undang-Undang Nomor 30 Tahun 2014 Tentang Administrasi Pemerintahan Terhadap Fungsi Peradilan Tata Usaha Negara,” Jurnal Ius Quia Iustum 24, no. 4 (2017): 602.","previouslyFormattedCitation":"Francisca Romana Harjiyatni and Suswato, “Implikasi Undang-Undang Nomor 30 Tahun 2014 Tentang Administrasi Pemerintahan Terhadap Fungsi Peradilan Tata Usaha Negara,” &lt;i&gt;Jurnal Ius Quia Iustum&lt;/i&gt; 24, no. 4 (2017): 602."},"properties":{"noteIndex":8},"schema":"https://github.com/citation-style-language/schema/raw/master/csl-citation.json"}</w:instrText>
      </w:r>
      <w:r>
        <w:fldChar w:fldCharType="separate"/>
      </w:r>
      <w:r w:rsidRPr="00C526D8">
        <w:rPr>
          <w:noProof/>
        </w:rPr>
        <w:t xml:space="preserve">Francisca Romana Harjiyatni and Suswato, “Implikasi Undang-Undang Nomor 30 Tahun 2014 Tentang Administrasi Pemerintahan Terhadap Fungsi Peradilan Tata Usaha Negara,” </w:t>
      </w:r>
      <w:r w:rsidRPr="00C526D8">
        <w:rPr>
          <w:i/>
          <w:noProof/>
        </w:rPr>
        <w:t>Jurnal Ius Quia Iustum</w:t>
      </w:r>
      <w:r>
        <w:rPr>
          <w:i/>
          <w:noProof/>
        </w:rPr>
        <w:t xml:space="preserve">, </w:t>
      </w:r>
      <w:r>
        <w:rPr>
          <w:iCs/>
          <w:noProof/>
        </w:rPr>
        <w:t>Vol .</w:t>
      </w:r>
      <w:r w:rsidRPr="00C526D8">
        <w:rPr>
          <w:noProof/>
        </w:rPr>
        <w:t xml:space="preserve"> 24, no. 4 (2017): </w:t>
      </w:r>
      <w:r>
        <w:rPr>
          <w:noProof/>
        </w:rPr>
        <w:t>[</w:t>
      </w:r>
      <w:r w:rsidRPr="00C526D8">
        <w:rPr>
          <w:noProof/>
        </w:rPr>
        <w:t>602</w:t>
      </w:r>
      <w:r>
        <w:rPr>
          <w:noProof/>
        </w:rPr>
        <w:t>]</w:t>
      </w:r>
      <w:r w:rsidRPr="00C526D8">
        <w:rPr>
          <w:noProof/>
        </w:rPr>
        <w:t>.</w:t>
      </w:r>
      <w:r>
        <w:fldChar w:fldCharType="end"/>
      </w:r>
    </w:p>
  </w:footnote>
  <w:footnote w:id="9">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{"citationItems":[{"id":"ITEM-1","itemData":{"author":[{"dropping-particle":"","family":"Marzuki","given":"Peter Mahmud","non-dropping-particle":"","parse-names":false,"suffix":""}],"id":"ITEM-1","issued":{"date-parts":[["2005"]]},"publisher":"Kencana Prenada Media Group, Jakarta","title":"Penelitian Hukum","type":"book"},"uris":["http://www.mendeley.com/documents/?uuid=75be35d8-3129-40e8-b08a-d5102f3b45d9"]}],"mendeley":{"formattedCitation":"Peter Mahmud Marzuki, &lt;i&gt;Penelitian Hukum&lt;/i&gt; (Kencana Prenada Media Group, Jakarta, 2005).","plainTextFormattedCitation":"Peter Mahmud Marzuki, Penelitian Hukum (Kencana Prenada Media Group, Jakarta, 2005).","previouslyFormattedCitation":"Peter Mahmud Marzuki, &lt;i&gt;Penelitian Hukum&lt;/i&gt; (Kencana Prenada Media Group, Jakarta, 2005)."},"properties":{"noteIndex":9},"schema":"https://github.com/citation-style-language/schema/raw/master/csl-citation.json"}</w:instrText>
      </w:r>
      <w:r>
        <w:fldChar w:fldCharType="separate"/>
      </w:r>
      <w:r w:rsidRPr="00A875DC">
        <w:rPr>
          <w:noProof/>
        </w:rPr>
        <w:t xml:space="preserve">Peter Mahmud Marzuki, </w:t>
      </w:r>
      <w:r w:rsidRPr="00A875DC">
        <w:rPr>
          <w:i/>
          <w:noProof/>
        </w:rPr>
        <w:t>Penelitian Hukum</w:t>
      </w:r>
      <w:r w:rsidRPr="00A875DC">
        <w:rPr>
          <w:noProof/>
        </w:rPr>
        <w:t xml:space="preserve"> (Kencana Prenada Media Group, Jakarta, 2005).</w:t>
      </w:r>
      <w:r>
        <w:fldChar w:fldCharType="end"/>
      </w:r>
      <w:r>
        <w:t xml:space="preserve"> [140-141].</w:t>
      </w:r>
    </w:p>
  </w:footnote>
  <w:footnote w:id="10">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{"citationItems":[{"id":"ITEM-1","itemData":{"author":[{"dropping-particle":"","family":"Marzuki","given":"Peter Mahmud","non-dropping-particle":"","parse-names":false,"suffix":""}],"id":"ITEM-1","issued":{"date-parts":[["2005"]]},"publisher":"Kencana Prenada Media Group, Jakarta","title":"Penelitian Hukum","type":"book"},"uris":["http://www.mendeley.com/documents/?uuid=75be35d8-3129-40e8-b08a-d5102f3b45d9"]}],"mendeley":{"formattedCitation":"Marzuki.","plainTextFormattedCitation":"Marzuki.","previouslyFormattedCitation":"Marzuki."},"properties":{"noteIndex":10},"schema":"https://github.com/citation-style-language/schema/raw/master/csl-citation.json"}</w:instrText>
      </w:r>
      <w:r>
        <w:fldChar w:fldCharType="separate"/>
      </w:r>
      <w:r w:rsidRPr="00A875DC">
        <w:rPr>
          <w:noProof/>
        </w:rPr>
        <w:t>Marzuki.</w:t>
      </w:r>
      <w:r>
        <w:fldChar w:fldCharType="end"/>
      </w:r>
      <w:r>
        <w:t xml:space="preserve"> [170].</w:t>
      </w:r>
    </w:p>
  </w:footnote>
  <w:footnote w:id="11">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{"citationItems":[{"id":"ITEM-1","itemData":{"author":[{"dropping-particle":"","family":"Dworkin","given":"Ronald","non-dropping-particle":"","parse-names":false,"suffix":""}],"container-title":"the MIT Press on behalf of American Academy of Art &amp; Sciences","id":"ITEM-1","issue":"2","issued":{"date-parts":[["1973"]]},"page":"53","title":"Legal Research","type":"article-journal","volume":"102"},"uris":["http://www.mendeley.com/documents/?uuid=b4cbe2d7-eb63-4d52-a552-ba347a7e17e5"]}],"mendeley":{"formattedCitation":"Ronald Dworkin, “Legal Research,” &lt;i&gt;The MIT Press on Behalf of American Academy of Art &amp; Sciences&lt;/i&gt; 102, no. 2 (1973): 53.","manualFormatting":"Ronald Dworkin, ‘Legal Research’ (1973) 102 the MIT Press on behalf of American Academy of Art &amp; Sciences [53].","plainTextFormattedCitation":"Ronald Dworkin, “Legal Research,” The MIT Press on Behalf of American Academy of Art &amp; Sciences 102, no. 2 (1973): 53.","previouslyFormattedCitation":"Ronald Dworkin, “Legal Research,” &lt;i&gt;The MIT Press on Behalf of American Academy of Art &amp; Sciences&lt;/i&gt; 102, no. 2 (1973): 53."},"properties":{"noteIndex":11},"schema":"https://github.com/citation-style-language/schema/raw/master/csl-citation.json"}</w:instrText>
      </w:r>
      <w:r>
        <w:fldChar w:fldCharType="separate"/>
      </w:r>
      <w:r w:rsidRPr="0060687E">
        <w:rPr>
          <w:noProof/>
        </w:rPr>
        <w:t xml:space="preserve">Ronald Dworkin, ‘Legal Research’ (1973) 102 the MIT Press on behalf of American Academy of Art &amp; Sciences </w:t>
      </w:r>
      <w:r>
        <w:rPr>
          <w:noProof/>
        </w:rPr>
        <w:t>[</w:t>
      </w:r>
      <w:r w:rsidRPr="0060687E">
        <w:rPr>
          <w:noProof/>
        </w:rPr>
        <w:t>53</w:t>
      </w:r>
      <w:r>
        <w:rPr>
          <w:noProof/>
        </w:rPr>
        <w:t>]</w:t>
      </w:r>
      <w:r w:rsidRPr="0060687E">
        <w:rPr>
          <w:noProof/>
        </w:rPr>
        <w:t>.</w:t>
      </w:r>
      <w:r>
        <w:fldChar w:fldCharType="end"/>
      </w:r>
    </w:p>
  </w:footnote>
  <w:footnote w:id="12">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{"citationItems":[{"id":"ITEM-1","itemData":{"author":[{"dropping-particle":"","family":"Philipus M. Hadjon","given":"","non-dropping-particle":"","parse-names":false,"suffix":""}],"container-title":"Yuridika","id":"ITEM-1","issue":"5-6","issued":{"date-parts":[["1997"]]},"title":"Tentang Kewenangan","type":"article-journal","volume":"7"},"uris":["http://www.mendeley.com/documents/?uuid=f0bfc148-ba4d-4e0c-aaeb-043b6c6037c5"]}],"mendeley":{"formattedCitation":"Philipus M. Hadjon, “Tentang Kewenangan,” &lt;i&gt;Yuridika&lt;/i&gt; 7, no. 5–6 (1997).","manualFormatting":"Philipus M. Hadjon, “Tentang Kewenangan,” Yuridika, Vol . 7, no. 5–6 (1997).","plainTextFormattedCitation":"Philipus M. Hadjon, “Tentang Kewenangan,” Yuridika 7, no. 5–6 (1997).","previouslyFormattedCitation":"Philipus M. Hadjon, “Tentang Kewenangan,” &lt;i&gt;Yuridika&lt;/i&gt; 7, no. 5–6 (1997)."},"properties":{"noteIndex":12},"schema":"https://github.com/citation-style-language/schema/raw/master/csl-citation.json"}</w:instrText>
      </w:r>
      <w:r>
        <w:fldChar w:fldCharType="separate"/>
      </w:r>
      <w:r w:rsidRPr="00C526D8">
        <w:rPr>
          <w:noProof/>
        </w:rPr>
        <w:t xml:space="preserve">Philipus M. Hadjon, “Tentang Kewenangan,” </w:t>
      </w:r>
      <w:r w:rsidRPr="00C526D8">
        <w:rPr>
          <w:i/>
          <w:noProof/>
        </w:rPr>
        <w:t>Yuridika</w:t>
      </w:r>
      <w:r>
        <w:rPr>
          <w:i/>
          <w:noProof/>
        </w:rPr>
        <w:t xml:space="preserve">, </w:t>
      </w:r>
      <w:r>
        <w:rPr>
          <w:iCs/>
          <w:noProof/>
        </w:rPr>
        <w:t>Vol .</w:t>
      </w:r>
      <w:r w:rsidRPr="00C526D8">
        <w:rPr>
          <w:noProof/>
        </w:rPr>
        <w:t xml:space="preserve"> 7, no. 5–6 (1997).</w:t>
      </w:r>
      <w:r>
        <w:fldChar w:fldCharType="end"/>
      </w:r>
    </w:p>
  </w:footnote>
  <w:footnote w:id="13">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{"citationItems":[{"id":"ITEM-1","itemData":{"author":[{"dropping-particle":"","family":"James A. Grant","given":"","non-dropping-particle":"","parse-names":false,"suffix":""}],"container-title":"Cambridge Law Journal","id":"ITEM-1","issue":"3","issued":{"date-parts":[["2017"]]},"page":"517","title":"Reason and Authority in Administrative Law","type":"article-journal","volume":"76"},"uris":["http://www.mendeley.com/documents/?uuid=5d0fc035-896b-4d20-8474-b6b3d713fd47"]}],"mendeley":{"formattedCitation":"James A. Grant, “Reason and Authority in Administrative Law,” &lt;i&gt;Cambridge Law Journal&lt;/i&gt; 76, no. 3 (2017): 517.","manualFormatting":"James A. Grant, “Reason and Authority in Administrative Law,” Cambridge Law Journal, Vol . 76, no. 3 (2017): [517].","plainTextFormattedCitation":"James A. Grant, “Reason and Authority in Administrative Law,” Cambridge Law Journal 76, no. 3 (2017): 517.","previouslyFormattedCitation":"James A. Grant, “Reason and Authority in Administrative Law,” &lt;i&gt;Cambridge Law Journal&lt;/i&gt; 76, no. 3 (2017): 517."},"properties":{"noteIndex":13},"schema":"https://github.com/citation-style-language/schema/raw/master/csl-citation.json"}</w:instrText>
      </w:r>
      <w:r>
        <w:fldChar w:fldCharType="separate"/>
      </w:r>
      <w:r w:rsidRPr="00660D49">
        <w:rPr>
          <w:noProof/>
        </w:rPr>
        <w:t xml:space="preserve">James A. Grant, “Reason and Authority in Administrative Law,” </w:t>
      </w:r>
      <w:r w:rsidRPr="00660D49">
        <w:rPr>
          <w:i/>
          <w:noProof/>
        </w:rPr>
        <w:t>Cambridge Law Journal</w:t>
      </w:r>
      <w:r>
        <w:rPr>
          <w:i/>
          <w:noProof/>
        </w:rPr>
        <w:t xml:space="preserve">, </w:t>
      </w:r>
      <w:r>
        <w:rPr>
          <w:iCs/>
          <w:noProof/>
        </w:rPr>
        <w:t>Vol .</w:t>
      </w:r>
      <w:r w:rsidRPr="00660D49">
        <w:rPr>
          <w:noProof/>
        </w:rPr>
        <w:t xml:space="preserve"> 76, no. 3 (2017): </w:t>
      </w:r>
      <w:r>
        <w:rPr>
          <w:noProof/>
        </w:rPr>
        <w:t>[</w:t>
      </w:r>
      <w:r w:rsidRPr="00660D49">
        <w:rPr>
          <w:noProof/>
        </w:rPr>
        <w:t>517</w:t>
      </w:r>
      <w:r>
        <w:rPr>
          <w:noProof/>
        </w:rPr>
        <w:t>]</w:t>
      </w:r>
      <w:r w:rsidRPr="00660D49">
        <w:rPr>
          <w:noProof/>
        </w:rPr>
        <w:t>.</w:t>
      </w:r>
      <w:r>
        <w:fldChar w:fldCharType="end"/>
      </w:r>
    </w:p>
  </w:footnote>
  <w:footnote w:id="14">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{"citationItems":[{"id":"ITEM-1","itemData":{"author":[{"dropping-particle":"","family":"F. A. M. Stroink","given":"","non-dropping-particle":"","parse-names":false,"suffix":""}],"id":"ITEM-1","issued":{"date-parts":[["1985"]]},"number-of-pages":"26","publisher":"Alphen aan den Rijn","publisher-place":"Samson H.D Tjeenk Wilink","title":"Inleiding in Het Staats-en Administratief Recht","type":"book"},"uris":["http://www.mendeley.com/documents/?uuid=ac0982c9-bd9a-46af-8a01-2d29a80087e2"]}],"mendeley":{"formattedCitation":"F. A. M. Stroink, &lt;i&gt;Inleiding in Het Staats-En Administratief Recht&lt;/i&gt; (Samson H.D Tjeenk Wilink: Alphen aan den Rijn, 1985).","plainTextFormattedCitation":"F. A. M. Stroink, Inleiding in Het Staats-En Administratief Recht (Samson H.D Tjeenk Wilink: Alphen aan den Rijn, 1985).","previouslyFormattedCitation":"F. A. M. Stroink, &lt;i&gt;Inleiding in Het Staats-En Administratief Recht&lt;/i&gt; (Samson H.D Tjeenk Wilink: Alphen aan den Rijn, 1985)."},"properties":{"noteIndex":14},"schema":"https://github.com/citation-style-language/schema/raw/master/csl-citation.json"}</w:instrText>
      </w:r>
      <w:r>
        <w:fldChar w:fldCharType="separate"/>
      </w:r>
      <w:r w:rsidRPr="00660D49">
        <w:rPr>
          <w:noProof/>
        </w:rPr>
        <w:t xml:space="preserve">F. A. M. Stroink, </w:t>
      </w:r>
      <w:r w:rsidRPr="00660D49">
        <w:rPr>
          <w:i/>
          <w:noProof/>
        </w:rPr>
        <w:t>Inleiding in Het Staats-En Administratief Recht</w:t>
      </w:r>
      <w:r w:rsidRPr="00660D49">
        <w:rPr>
          <w:noProof/>
        </w:rPr>
        <w:t xml:space="preserve"> (Samson H.D Tjeenk Wilink: Alphen aan den Rijn, 1985).</w:t>
      </w:r>
      <w:r>
        <w:fldChar w:fldCharType="end"/>
      </w:r>
      <w:r>
        <w:t xml:space="preserve"> [26]</w:t>
      </w:r>
    </w:p>
  </w:footnote>
  <w:footnote w:id="15">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{"citationItems":[{"id":"ITEM-1","itemData":{"author":[{"dropping-particle":"","family":"Marojahan JS Panjaitan","given":"","non-dropping-particle":"","parse-names":false,"suffix":""}],"container-title":"jurnal Ius Quia Iustum","id":"ITEM-1","issue":"3","issued":{"date-parts":[["2017"]]},"page":"436","title":"Penyelesaian Penyalahgunaan Wewenang yang Menimbulkan Kerugian Negara Menurut Hukum Administrasi Pemerintahan","type":"article-journal","volume":"24"},"uris":["http://www.mendeley.com/documents/?uuid=1eb81793-6150-4552-a83e-aacfd7f0c3aa"]}],"mendeley":{"formattedCitation":"Marojahan JS Panjaitan, “Penyelesaian Penyalahgunaan Wewenang Yang Menimbulkan Kerugian Negara Menurut Hukum Administrasi Pemerintahan,” &lt;i&gt;Jurnal Ius Quia Iustum&lt;/i&gt; 24, no. 3 (2017): 436.","manualFormatting":"Marojahan JS Panjaitan, “Penyelesaian Penyalahgunaan Wewenang Yang Menimbulkan Kerugian Negara Menurut Hukum Administrasi Pemerintahan,” Jurnal Ius Quia Iustum, Vol . 24, no. 3 (2017): [436].","plainTextFormattedCitation":"Marojahan JS Panjaitan, “Penyelesaian Penyalahgunaan Wewenang Yang Menimbulkan Kerugian Negara Menurut Hukum Administrasi Pemerintahan,” Jurnal Ius Quia Iustum 24, no. 3 (2017): 436.","previouslyFormattedCitation":"Marojahan JS Panjaitan, “Penyelesaian Penyalahgunaan Wewenang Yang Menimbulkan Kerugian Negara Menurut Hukum Administrasi Pemerintahan,” &lt;i&gt;Jurnal Ius Quia Iustum&lt;/i&gt; 24, no. 3 (2017): 436."},"properties":{"noteIndex":15},"schema":"https://github.com/citation-style-language/schema/raw/master/csl-citation.json"}</w:instrText>
      </w:r>
      <w:r>
        <w:fldChar w:fldCharType="separate"/>
      </w:r>
      <w:r w:rsidRPr="00343575">
        <w:rPr>
          <w:noProof/>
        </w:rPr>
        <w:t xml:space="preserve">Marojahan JS Panjaitan, “Penyelesaian Penyalahgunaan Wewenang Yang Menimbulkan Kerugian Negara Menurut Hukum Administrasi Pemerintahan,” </w:t>
      </w:r>
      <w:r w:rsidRPr="00343575">
        <w:rPr>
          <w:i/>
          <w:noProof/>
        </w:rPr>
        <w:t>Jurnal Ius Quia Iustum</w:t>
      </w:r>
      <w:r>
        <w:rPr>
          <w:i/>
          <w:noProof/>
        </w:rPr>
        <w:t xml:space="preserve">, </w:t>
      </w:r>
      <w:r>
        <w:rPr>
          <w:iCs/>
          <w:noProof/>
        </w:rPr>
        <w:t>Vol .</w:t>
      </w:r>
      <w:r w:rsidRPr="00343575">
        <w:rPr>
          <w:noProof/>
        </w:rPr>
        <w:t xml:space="preserve"> 24, no. 3 (2017): </w:t>
      </w:r>
      <w:r>
        <w:rPr>
          <w:noProof/>
        </w:rPr>
        <w:t>[</w:t>
      </w:r>
      <w:r w:rsidRPr="00343575">
        <w:rPr>
          <w:noProof/>
        </w:rPr>
        <w:t>436</w:t>
      </w:r>
      <w:r>
        <w:rPr>
          <w:noProof/>
        </w:rPr>
        <w:t>]</w:t>
      </w:r>
      <w:r w:rsidRPr="00343575">
        <w:rPr>
          <w:noProof/>
        </w:rPr>
        <w:t>.</w:t>
      </w:r>
      <w:r>
        <w:fldChar w:fldCharType="end"/>
      </w:r>
    </w:p>
  </w:footnote>
  <w:footnote w:id="16">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{"citationItems":[{"id":"ITEM-1","itemData":{"author":[{"dropping-particle":"","family":"DPR RI","given":"","non-dropping-particle":"","parse-names":false,"suffix":""}],"id":"ITEM-1","issued":{"date-parts":[["2014"]]},"number-of-pages":"3","title":"Cluster Pendapat Pakar tentang RUU Administrasi Pemerintahan","type":"report"},"uris":["http://www.mendeley.com/documents/?uuid=07aecdaa-b6db-408c-ab55-80490a88c0f4"]}],"mendeley":{"formattedCitation":"DPR RI, “Cluster Pendapat Pakar Tentang RUU Administrasi Pemerintahan,” 2014.","plainTextFormattedCitation":"DPR RI, “Cluster Pendapat Pakar Tentang RUU Administrasi Pemerintahan,” 2014.","previouslyFormattedCitation":"DPR RI, “Cluster Pendapat Pakar Tentang RUU Administrasi Pemerintahan,” 2014."},"properties":{"noteIndex":16},"schema":"https://github.com/citation-style-language/schema/raw/master/csl-citation.json"}</w:instrText>
      </w:r>
      <w:r>
        <w:fldChar w:fldCharType="separate"/>
      </w:r>
      <w:r w:rsidRPr="00343575">
        <w:rPr>
          <w:noProof/>
        </w:rPr>
        <w:t>DPR RI, “Cluster Pendapat Pakar Tentang RUU Administrasi Pemerintahan,” 2014.</w:t>
      </w:r>
      <w:r>
        <w:fldChar w:fldCharType="end"/>
      </w:r>
    </w:p>
  </w:footnote>
  <w:footnote w:id="17">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{"citationItems":[{"id":"ITEM-1","itemData":{"author":[{"dropping-particle":"","family":"Sri Nur Hari Susanto","given":"","non-dropping-particle":"","parse-names":false,"suffix":""}],"container-title":"Administrative Law &amp; Governance Journal","id":"ITEM-1","issue":"3","issued":{"date-parts":[["2020"]]},"page":"435","title":"Methods of Acquisition and Boundaries of Government Authority","type":"article-journal","volume":"3"},"uris":["http://www.mendeley.com/documents/?uuid=292b8c5d-dd0c-4f93-81e7-e937db5816c1"]}],"mendeley":{"formattedCitation":"Sri Nur Hari Susanto, “Methods of Acquisition and Boundaries of Government Authority,” &lt;i&gt;Administrative Law &amp; Governance Journal&lt;/i&gt; 3, no. 3 (2020): 435.","manualFormatting":"Sri Nur Hari Susanto, “Methods of Acquisition and Boundaries of Government Authority,” Administrative Law &amp; Governance Journal, Vol . 3, no. 3 (2020): [435].","plainTextFormattedCitation":"Sri Nur Hari Susanto, “Methods of Acquisition and Boundaries of Government Authority,” Administrative Law &amp; Governance Journal 3, no. 3 (2020): 435.","previouslyFormattedCitation":"Sri Nur Hari Susanto, “Methods of Acquisition and Boundaries of Government Authority,” &lt;i&gt;Administrative Law &amp; Governance Journal&lt;/i&gt; 3, no. 3 (2020): 435."},"properties":{"noteIndex":17},"schema":"https://github.com/citation-style-language/schema/raw/master/csl-citation.json"}</w:instrText>
      </w:r>
      <w:r>
        <w:fldChar w:fldCharType="separate"/>
      </w:r>
      <w:r w:rsidRPr="00343575">
        <w:rPr>
          <w:noProof/>
        </w:rPr>
        <w:t xml:space="preserve">Sri Nur Hari Susanto, “Methods of Acquisition and Boundaries of Government Authority,” </w:t>
      </w:r>
      <w:r w:rsidRPr="00343575">
        <w:rPr>
          <w:i/>
          <w:noProof/>
        </w:rPr>
        <w:t>Administrative Law &amp; Governance Journal</w:t>
      </w:r>
      <w:r>
        <w:rPr>
          <w:i/>
          <w:noProof/>
        </w:rPr>
        <w:t xml:space="preserve">, </w:t>
      </w:r>
      <w:r>
        <w:rPr>
          <w:iCs/>
          <w:noProof/>
        </w:rPr>
        <w:t>Vol .</w:t>
      </w:r>
      <w:r w:rsidRPr="00343575">
        <w:rPr>
          <w:noProof/>
        </w:rPr>
        <w:t xml:space="preserve"> 3, no. 3 (2020): </w:t>
      </w:r>
      <w:r>
        <w:rPr>
          <w:noProof/>
        </w:rPr>
        <w:t>[</w:t>
      </w:r>
      <w:r w:rsidRPr="00343575">
        <w:rPr>
          <w:noProof/>
        </w:rPr>
        <w:t>435</w:t>
      </w:r>
      <w:r>
        <w:rPr>
          <w:noProof/>
        </w:rPr>
        <w:t>]</w:t>
      </w:r>
      <w:r w:rsidRPr="00343575">
        <w:rPr>
          <w:noProof/>
        </w:rPr>
        <w:t>.</w:t>
      </w:r>
      <w:r>
        <w:fldChar w:fldCharType="end"/>
      </w:r>
    </w:p>
  </w:footnote>
  <w:footnote w:id="18">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{"citationItems":[{"id":"ITEM-1","itemData":{"author":[{"dropping-particle":"","family":"Josef M. Monteiro","given":"","non-dropping-particle":"","parse-names":false,"suffix":""}],"container-title":"Kertha Patrika","id":"ITEM-1","issue":"2","issued":{"date-parts":[["2017"]]},"page":"84","title":"Tanggung Jawab Presiden Atas Kebijakan Menteri yang Menimbulkan Korupsi Berdasarkan Sistem Presidensial dan Teori Kewenangan","type":"article-journal","volume":"39"},"uris":["http://www.mendeley.com/documents/?uuid=259a5297-1b80-4766-889c-7b1609658c68"]}],"mendeley":{"formattedCitation":"Josef M. Monteiro, “Tanggung Jawab Presiden Atas Kebijakan Menteri Yang Menimbulkan Korupsi Berdasarkan Sistem Presidensial Dan Teori Kewenangan,” &lt;i&gt;Kertha Patrika&lt;/i&gt; 39, no. 2 (2017): 84.","manualFormatting":"Josef M. Monteiro, “Tanggung Jawab Presiden Atas Kebijakan Menteri Yang Menimbulkan Korupsi Berdasarkan Sistem Presidensial Dan Teori Kewenangan,” Kertha Patrika, Vol . 39, no. 2 (2017): [84].","plainTextFormattedCitation":"Josef M. Monteiro, “Tanggung Jawab Presiden Atas Kebijakan Menteri Yang Menimbulkan Korupsi Berdasarkan Sistem Presidensial Dan Teori Kewenangan,” Kertha Patrika 39, no. 2 (2017): 84.","previouslyFormattedCitation":"Josef M. Monteiro, “Tanggung Jawab Presiden Atas Kebijakan Menteri Yang Menimbulkan Korupsi Berdasarkan Sistem Presidensial Dan Teori Kewenangan,” &lt;i&gt;Kertha Patrika&lt;/i&gt; 39, no. 2 (2017): 84."},"properties":{"noteIndex":18},"schema":"https://github.com/citation-style-language/schema/raw/master/csl-citation.json"}</w:instrText>
      </w:r>
      <w:r>
        <w:fldChar w:fldCharType="separate"/>
      </w:r>
      <w:r w:rsidRPr="00343575">
        <w:rPr>
          <w:noProof/>
        </w:rPr>
        <w:t xml:space="preserve">Josef M. Monteiro, “Tanggung Jawab Presiden Atas Kebijakan Menteri Yang Menimbulkan Korupsi Berdasarkan Sistem Presidensial Dan Teori Kewenangan,” </w:t>
      </w:r>
      <w:r w:rsidRPr="00343575">
        <w:rPr>
          <w:i/>
          <w:noProof/>
        </w:rPr>
        <w:t>Kertha Patrika</w:t>
      </w:r>
      <w:r>
        <w:rPr>
          <w:i/>
          <w:noProof/>
        </w:rPr>
        <w:t xml:space="preserve">, </w:t>
      </w:r>
      <w:r>
        <w:rPr>
          <w:iCs/>
          <w:noProof/>
        </w:rPr>
        <w:t>Vol .</w:t>
      </w:r>
      <w:r w:rsidRPr="00343575">
        <w:rPr>
          <w:noProof/>
        </w:rPr>
        <w:t xml:space="preserve"> 39, no. 2 (2017): </w:t>
      </w:r>
      <w:r>
        <w:rPr>
          <w:noProof/>
        </w:rPr>
        <w:t>[</w:t>
      </w:r>
      <w:r w:rsidRPr="00343575">
        <w:rPr>
          <w:noProof/>
        </w:rPr>
        <w:t>84</w:t>
      </w:r>
      <w:r>
        <w:rPr>
          <w:noProof/>
        </w:rPr>
        <w:t>]</w:t>
      </w:r>
      <w:r w:rsidRPr="00343575">
        <w:rPr>
          <w:noProof/>
        </w:rPr>
        <w:t>.</w:t>
      </w:r>
      <w:r>
        <w:fldChar w:fldCharType="end"/>
      </w:r>
    </w:p>
  </w:footnote>
  <w:footnote w:id="19">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{"citationItems":[{"id":"ITEM-1","itemData":{"author":[{"dropping-particle":"","family":"Jimly Asshiddiqie","given":"","non-dropping-particle":"","parse-names":false,"suffix":""}],"id":"ITEM-1","issued":{"date-parts":[["2023"]]},"title":"Focus Group Discussion (FGD) pada 31 Oktober 2023 mengenai konsep, batasan, dan kriteria lembaga negara yang bersifat constitutional importance","type":"report"},"uris":["http://www.mendeley.com/documents/?uuid=a2d55bdb-40ca-44c7-95e4-56839496ef27"]}],"mendeley":{"formattedCitation":"Jimly Asshiddiqie, “Focus Group Discussion (FGD) Pada 31 Oktober 2023 Mengenai Konsep, Batasan, Dan Kriteria Lembaga Negara Yang Bersifat Constitutional Importance,” 2023.","plainTextFormattedCitation":"Jimly Asshiddiqie, “Focus Group Discussion (FGD) Pada 31 Oktober 2023 Mengenai Konsep, Batasan, Dan Kriteria Lembaga Negara Yang Bersifat Constitutional Importance,” 2023.","previouslyFormattedCitation":"Jimly Asshiddiqie, “Focus Group Discussion (FGD) Pada 31 Oktober 2023 Mengenai Konsep, Batasan, Dan Kriteria Lembaga Negara Yang Bersifat Constitutional Importance,” 2023."},"properties":{"noteIndex":19},"schema":"https://github.com/citation-style-language/schema/raw/master/csl-citation.json"}</w:instrText>
      </w:r>
      <w:r>
        <w:fldChar w:fldCharType="separate"/>
      </w:r>
      <w:r w:rsidRPr="006800A7">
        <w:rPr>
          <w:noProof/>
        </w:rPr>
        <w:t>Jimly Asshiddiqie, “Focus Group Discussion (FGD) Pada 31 Oktober 2023 Mengenai Konsep, Batasan, Dan Kriteria Lembaga Negara Yang Bersifat Constitutional Importance,” 2023.</w:t>
      </w:r>
      <w:r>
        <w:fldChar w:fldCharType="end"/>
      </w:r>
    </w:p>
  </w:footnote>
  <w:footnote w:id="20">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{"citationItems":[{"id":"ITEM-1","itemData":{"author":[{"dropping-particle":"","family":"Jimly Asshiddiqie","given":"","non-dropping-particle":"","parse-names":false,"suffix":""}],"id":"ITEM-1","issued":{"date-parts":[["2022"]]},"number-of-pages":"216-217","publisher":"Sinar Grafika","publisher-place":"Jakarta","title":"Perkembangan &amp; Konsolidasi Lembaga Negara Pasca Reformasi","type":"book"},"uris":["http://www.mendeley.com/documents/?uuid=f38b0c87-f48f-4795-8d4a-383b6018f28e"]}],"mendeley":{"formattedCitation":"Jimly Asshiddiqie, &lt;i&gt;Perkembangan &amp; Konsolidasi Lembaga Negara Pasca Reformasi&lt;/i&gt; (Jakarta: Sinar Grafika, 2022).","plainTextFormattedCitation":"Jimly Asshiddiqie, Perkembangan &amp; Konsolidasi Lembaga Negara Pasca Reformasi (Jakarta: Sinar Grafika, 2022).","previouslyFormattedCitation":"Jimly Asshiddiqie, &lt;i&gt;Perkembangan &amp; Konsolidasi Lembaga Negara Pasca Reformasi&lt;/i&gt; (Jakarta: Sinar Grafika, 2022)."},"properties":{"noteIndex":20},"schema":"https://github.com/citation-style-language/schema/raw/master/csl-citation.json"}</w:instrText>
      </w:r>
      <w:r>
        <w:fldChar w:fldCharType="separate"/>
      </w:r>
      <w:r w:rsidRPr="006800A7">
        <w:rPr>
          <w:noProof/>
        </w:rPr>
        <w:t xml:space="preserve">Jimly Asshiddiqie, </w:t>
      </w:r>
      <w:r w:rsidRPr="006800A7">
        <w:rPr>
          <w:i/>
          <w:noProof/>
        </w:rPr>
        <w:t>Perkembangan &amp; Konsolidasi Lembaga Negara Pasca Reformasi</w:t>
      </w:r>
      <w:r w:rsidRPr="006800A7">
        <w:rPr>
          <w:noProof/>
        </w:rPr>
        <w:t xml:space="preserve"> (Jakarta: Sinar Grafika, 2022).</w:t>
      </w:r>
      <w:r>
        <w:fldChar w:fldCharType="end"/>
      </w:r>
      <w:r>
        <w:t xml:space="preserve"> [216-217]</w:t>
      </w:r>
    </w:p>
  </w:footnote>
  <w:footnote w:id="21">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{"citationItems":[{"id":"ITEM-1","itemData":{"author":[{"dropping-particle":"","family":"Anna Triningsih &amp; Nuzul Qur’aini Mardiya","given":"","non-dropping-particle":"","parse-names":false,"suffix":""}],"container-title":"Jurnal Konstitusi","id":"ITEM-1","issue":"4","issued":{"date-parts":[["2017"]]},"page":"782","title":"Interpretasi Lembaga Negara dalam Penyelesaian Sengketa Kewenangan Lembaga Negara","type":"article-journal","volume":"14"},"uris":["http://www.mendeley.com/documents/?uuid=7eda730b-226e-4bdb-a11c-bbe8fd70c58d"]}],"mendeley":{"formattedCitation":"Anna Triningsih &amp; Nuzul Qur’aini Mardiya, “Interpretasi Lembaga Negara Dalam Penyelesaian Sengketa Kewenangan Lembaga Negara,” &lt;i&gt;Jurnal Konstitusi&lt;/i&gt; 14, no. 4 (2017): 782.","manualFormatting":"Anna Triningsih &amp; Nuzul Qur’aini Mardiya, “Interpretasi Lembaga Negara Dalam Penyelesaian Sengketa Kewenangan Lembaga Negara,” Jurnal Konstitusi, Vol . 14, no. 4 (2017): [782].","plainTextFormattedCitation":"Anna Triningsih &amp; Nuzul Qur’aini Mardiya, “Interpretasi Lembaga Negara Dalam Penyelesaian Sengketa Kewenangan Lembaga Negara,” Jurnal Konstitusi 14, no. 4 (2017): 782.","previouslyFormattedCitation":"Anna Triningsih &amp; Nuzul Qur’aini Mardiya, “Interpretasi Lembaga Negara Dalam Penyelesaian Sengketa Kewenangan Lembaga Negara,” &lt;i&gt;Jurnal Konstitusi&lt;/i&gt; 14, no. 4 (2017): 782."},"properties":{"noteIndex":21},"schema":"https://github.com/citation-style-language/schema/raw/master/csl-citation.json"}</w:instrText>
      </w:r>
      <w:r>
        <w:fldChar w:fldCharType="separate"/>
      </w:r>
      <w:r w:rsidRPr="006800A7">
        <w:rPr>
          <w:noProof/>
        </w:rPr>
        <w:t xml:space="preserve">Anna Triningsih &amp; Nuzul Qur’aini Mardiya, “Interpretasi Lembaga Negara Dalam Penyelesaian Sengketa Kewenangan Lembaga Negara,” </w:t>
      </w:r>
      <w:r w:rsidRPr="006800A7">
        <w:rPr>
          <w:i/>
          <w:noProof/>
        </w:rPr>
        <w:t>Jurnal Konstitusi</w:t>
      </w:r>
      <w:r>
        <w:rPr>
          <w:i/>
          <w:noProof/>
        </w:rPr>
        <w:t xml:space="preserve">, </w:t>
      </w:r>
      <w:r>
        <w:rPr>
          <w:iCs/>
          <w:noProof/>
        </w:rPr>
        <w:t>Vol .</w:t>
      </w:r>
      <w:r w:rsidRPr="006800A7">
        <w:rPr>
          <w:noProof/>
        </w:rPr>
        <w:t xml:space="preserve"> 14, no. 4 (2017): </w:t>
      </w:r>
      <w:r>
        <w:rPr>
          <w:noProof/>
        </w:rPr>
        <w:t>[</w:t>
      </w:r>
      <w:r w:rsidRPr="006800A7">
        <w:rPr>
          <w:noProof/>
        </w:rPr>
        <w:t>782</w:t>
      </w:r>
      <w:r>
        <w:rPr>
          <w:noProof/>
        </w:rPr>
        <w:t>]</w:t>
      </w:r>
      <w:r w:rsidRPr="006800A7">
        <w:rPr>
          <w:noProof/>
        </w:rPr>
        <w:t>.</w:t>
      </w:r>
      <w:r>
        <w:fldChar w:fldCharType="end"/>
      </w:r>
    </w:p>
  </w:footnote>
  <w:footnote w:id="22">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{"citationItems":[{"id":"ITEM-1","itemData":{"author":[{"dropping-particle":"","family":"Saldi Isra","given":"","non-dropping-particle":"","parse-names":false,"suffix":""}],"container-title":"Jurnal Hukum dan Peradilan","id":"ITEM-1","issue":"1","issued":{"date-parts":[["2015"]]},"page":"28","title":"Titik Singgung Wewenang Mahkamah Agung Dengan Mahkamah Konstitusi","type":"article-journal","volume":"4"},"uris":["http://www.mendeley.com/documents/?uuid=fbb16b99-2700-4f20-83f2-31350436698e"]}],"mendeley":{"formattedCitation":"Saldi Isra, “Titik Singgung Wewenang Mahkamah Agung Dengan Mahkamah Konstitusi,” &lt;i&gt;Jurnal Hukum Dan Peradilan&lt;/i&gt; 4, no. 1 (2015): 28.","manualFormatting":"Saldi Isra, “Titik Singgung Wewenang Mahkamah Agung Dengan Mahkamah Konstitusi,” Jurnal Hukum Dan Peradilan, Vol . 4, no. 1 (2015): [28].","plainTextFormattedCitation":"Saldi Isra, “Titik Singgung Wewenang Mahkamah Agung Dengan Mahkamah Konstitusi,” Jurnal Hukum Dan Peradilan 4, no. 1 (2015): 28.","previouslyFormattedCitation":"Saldi Isra, “Titik Singgung Wewenang Mahkamah Agung Dengan Mahkamah Konstitusi,” &lt;i&gt;Jurnal Hukum Dan Peradilan&lt;/i&gt; 4, no. 1 (2015): 28."},"properties":{"noteIndex":22},"schema":"https://github.com/citation-style-language/schema/raw/master/csl-citation.json"}</w:instrText>
      </w:r>
      <w:r>
        <w:fldChar w:fldCharType="separate"/>
      </w:r>
      <w:r w:rsidRPr="00845C1E">
        <w:rPr>
          <w:noProof/>
        </w:rPr>
        <w:t xml:space="preserve">Saldi Isra, “Titik Singgung Wewenang Mahkamah Agung Dengan Mahkamah Konstitusi,” </w:t>
      </w:r>
      <w:r w:rsidRPr="00845C1E">
        <w:rPr>
          <w:i/>
          <w:noProof/>
        </w:rPr>
        <w:t>Jurnal Hukum Dan Peradilan</w:t>
      </w:r>
      <w:r>
        <w:rPr>
          <w:i/>
          <w:noProof/>
        </w:rPr>
        <w:t xml:space="preserve">, </w:t>
      </w:r>
      <w:r>
        <w:rPr>
          <w:iCs/>
          <w:noProof/>
        </w:rPr>
        <w:t>Vol .</w:t>
      </w:r>
      <w:r w:rsidRPr="00845C1E">
        <w:rPr>
          <w:noProof/>
        </w:rPr>
        <w:t xml:space="preserve"> 4, no. 1 (2015): </w:t>
      </w:r>
      <w:r>
        <w:rPr>
          <w:noProof/>
        </w:rPr>
        <w:t>[</w:t>
      </w:r>
      <w:r w:rsidRPr="00845C1E">
        <w:rPr>
          <w:noProof/>
        </w:rPr>
        <w:t>28</w:t>
      </w:r>
      <w:r>
        <w:rPr>
          <w:noProof/>
        </w:rPr>
        <w:t>]</w:t>
      </w:r>
      <w:r w:rsidRPr="00845C1E">
        <w:rPr>
          <w:noProof/>
        </w:rPr>
        <w:t>.</w:t>
      </w:r>
      <w:r>
        <w:fldChar w:fldCharType="end"/>
      </w:r>
    </w:p>
  </w:footnote>
  <w:footnote w:id="23">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{"citationItems":[{"id":"ITEM-1","itemData":{"author":[{"dropping-particle":"","family":"Moh Mahfud MD","given":"","non-dropping-particle":"","parse-names":false,"suffix":""}],"container-title":"Jurnal Hukum dan Peradilan","id":"ITEM-1","issue":"1","issued":{"date-parts":[["2015"]]},"page":"13","title":"Titik Singgung Wewenang MA dan MK","type":"article-journal","volume":"4"},"uris":["http://www.mendeley.com/documents/?uuid=5139af9f-91ae-4b54-9fb5-ef9f265428da"]}],"mendeley":{"formattedCitation":"Moh Mahfud MD, “Titik Singgung Wewenang MA Dan MK,” &lt;i&gt;Jurnal Hukum Dan Peradilan&lt;/i&gt; 4, no. 1 (2015): 13.","manualFormatting":"Moh Mahfud MD, “Titik Singgung Wewenang MA Dan MK,” Jurnal Hukum Dan Peradilan, Vol . 4, no. 1 (2015): [13].","plainTextFormattedCitation":"Moh Mahfud MD, “Titik Singgung Wewenang MA Dan MK,” Jurnal Hukum Dan Peradilan 4, no. 1 (2015): 13.","previouslyFormattedCitation":"Moh Mahfud MD, “Titik Singgung Wewenang MA Dan MK,” &lt;i&gt;Jurnal Hukum Dan Peradilan&lt;/i&gt; 4, no. 1 (2015): 13."},"properties":{"noteIndex":23},"schema":"https://github.com/citation-style-language/schema/raw/master/csl-citation.json"}</w:instrText>
      </w:r>
      <w:r>
        <w:fldChar w:fldCharType="separate"/>
      </w:r>
      <w:r w:rsidRPr="00845C1E">
        <w:rPr>
          <w:noProof/>
        </w:rPr>
        <w:t xml:space="preserve">Moh Mahfud MD, “Titik Singgung Wewenang MA Dan MK,” </w:t>
      </w:r>
      <w:r w:rsidRPr="00845C1E">
        <w:rPr>
          <w:i/>
          <w:noProof/>
        </w:rPr>
        <w:t>Jurnal Hukum Dan Peradilan</w:t>
      </w:r>
      <w:r>
        <w:rPr>
          <w:i/>
          <w:noProof/>
        </w:rPr>
        <w:t xml:space="preserve">, </w:t>
      </w:r>
      <w:r>
        <w:rPr>
          <w:iCs/>
          <w:noProof/>
        </w:rPr>
        <w:t>Vol .</w:t>
      </w:r>
      <w:r w:rsidRPr="00845C1E">
        <w:rPr>
          <w:noProof/>
        </w:rPr>
        <w:t xml:space="preserve"> 4, no. 1 (2015): </w:t>
      </w:r>
      <w:r>
        <w:rPr>
          <w:noProof/>
        </w:rPr>
        <w:t>[</w:t>
      </w:r>
      <w:r w:rsidRPr="00845C1E">
        <w:rPr>
          <w:noProof/>
        </w:rPr>
        <w:t>13</w:t>
      </w:r>
      <w:r>
        <w:rPr>
          <w:noProof/>
        </w:rPr>
        <w:t>]</w:t>
      </w:r>
      <w:r w:rsidRPr="00845C1E">
        <w:rPr>
          <w:noProof/>
        </w:rPr>
        <w:t>.</w:t>
      </w:r>
      <w:r>
        <w:fldChar w:fldCharType="end"/>
      </w:r>
    </w:p>
  </w:footnote>
  <w:footnote w:id="24">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{"citationItems":[{"id":"ITEM-1","itemData":{"author":[{"dropping-particle":"","family":"R. Krenenburg","given":"","non-dropping-particle":"","parse-names":false,"suffix":""}],"id":"ITEM-1","issued":{"date-parts":[["1941"]]},"number-of-pages":"10","publisher":"Tjeenk Willink","publisher-place":"Haarlem","title":"Inleiding in het Nederlands Administratief Recht","type":"book"},"uris":["http://www.mendeley.com/documents/?uuid=fc1a3a95-6570-4c6d-a1fc-d47df382854d"]}],"mendeley":{"formattedCitation":"R. Krenenburg, &lt;i&gt;Inleiding in Het Nederlands Administratief Recht&lt;/i&gt; (Haarlem: Tjeenk Willink, 1941).","plainTextFormattedCitation":"R. Krenenburg, Inleiding in Het Nederlands Administratief Recht (Haarlem: Tjeenk Willink, 1941).","previouslyFormattedCitation":"R. Krenenburg, &lt;i&gt;Inleiding in Het Nederlands Administratief Recht&lt;/i&gt; (Haarlem: Tjeenk Willink, 1941)."},"properties":{"noteIndex":24},"schema":"https://github.com/citation-style-language/schema/raw/master/csl-citation.json"}</w:instrText>
      </w:r>
      <w:r>
        <w:fldChar w:fldCharType="separate"/>
      </w:r>
      <w:r w:rsidRPr="00845C1E">
        <w:rPr>
          <w:noProof/>
        </w:rPr>
        <w:t xml:space="preserve">R. Krenenburg, </w:t>
      </w:r>
      <w:r w:rsidRPr="00845C1E">
        <w:rPr>
          <w:i/>
          <w:noProof/>
        </w:rPr>
        <w:t>Inleiding in Het Nederlands Administratief Recht</w:t>
      </w:r>
      <w:r w:rsidRPr="00845C1E">
        <w:rPr>
          <w:noProof/>
        </w:rPr>
        <w:t xml:space="preserve"> (Haarlem: Tjeenk Willink, 1941).</w:t>
      </w:r>
      <w:r>
        <w:fldChar w:fldCharType="end"/>
      </w:r>
      <w:r>
        <w:t xml:space="preserve"> [10]</w:t>
      </w:r>
    </w:p>
  </w:footnote>
  <w:footnote w:id="25">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{"citationItems":[{"id":"ITEM-1","itemData":{"author":[{"dropping-particle":"","family":"H.D. Van Wijk","given":"","non-dropping-particle":"","parse-names":false,"suffix":""}],"id":"ITEM-1","issued":{"date-parts":[["1995"]]},"number-of-pages":"41","publisher":"Uitvegerij Lemma BV","publisher-place":"Utrecht","title":"Hoofdstukken van Administratief Recht","type":"book"},"uris":["http://www.mendeley.com/documents/?uuid=a97b68bb-710d-4056-88f9-9ac4dcb28011"]}],"mendeley":{"formattedCitation":"H.D. Van Wijk, &lt;i&gt;Hoofdstukken van Administratief Recht&lt;/i&gt; (Utrecht: Uitvegerij Lemma BV, 1995).","plainTextFormattedCitation":"H.D. Van Wijk, Hoofdstukken van Administratief Recht (Utrecht: Uitvegerij Lemma BV, 1995).","previouslyFormattedCitation":"H.D. Van Wijk, &lt;i&gt;Hoofdstukken van Administratief Recht&lt;/i&gt; (Utrecht: Uitvegerij Lemma BV, 1995)."},"properties":{"noteIndex":25},"schema":"https://github.com/citation-style-language/schema/raw/master/csl-citation.json"}</w:instrText>
      </w:r>
      <w:r>
        <w:fldChar w:fldCharType="separate"/>
      </w:r>
      <w:r w:rsidRPr="00845C1E">
        <w:rPr>
          <w:noProof/>
        </w:rPr>
        <w:t xml:space="preserve">H.D. Van Wijk, </w:t>
      </w:r>
      <w:r w:rsidRPr="00845C1E">
        <w:rPr>
          <w:i/>
          <w:noProof/>
        </w:rPr>
        <w:t>Hoofdstukken van Administratief Recht</w:t>
      </w:r>
      <w:r w:rsidRPr="00845C1E">
        <w:rPr>
          <w:noProof/>
        </w:rPr>
        <w:t xml:space="preserve"> (Utrecht: Uitvegerij Lemma BV, 1995).</w:t>
      </w:r>
      <w:r>
        <w:fldChar w:fldCharType="end"/>
      </w:r>
      <w:r>
        <w:t xml:space="preserve"> [41]</w:t>
      </w:r>
    </w:p>
  </w:footnote>
  <w:footnote w:id="26">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{"citationItems":[{"id":"ITEM-1","itemData":{"author":[{"dropping-particle":"","family":"Maria Farida Indarti","given":"","non-dropping-particle":"","parse-names":false,"suffix":""}],"container-title":"Postdoctoral Speech at the Faculty of Law, University of Indonesia","id":"ITEM-1","issued":{"date-parts":[["2019"]]},"page":"12","title":"Eksistensi Penjelasan Undang-Undang Dasar 1945 Sesudah Perubahan","type":"article-newspaper"},"uris":["http://www.mendeley.com/documents/?uuid=b15bcda3-ac81-4186-8088-eb89727da8c9"]}],"mendeley":{"formattedCitation":"Maria Farida Indarti, “Eksistensi Penjelasan Undang-Undang Dasar 1945 Sesudah Perubahan,” &lt;i&gt;Postdoctoral Speech at the Faculty of Law, University of Indonesia&lt;/i&gt;, 2019.","plainTextFormattedCitation":"Maria Farida Indarti, “Eksistensi Penjelasan Undang-Undang Dasar 1945 Sesudah Perubahan,” Postdoctoral Speech at the Faculty of Law, University of Indonesia, 2019.","previouslyFormattedCitation":"Maria Farida Indarti, “Eksistensi Penjelasan Undang-Undang Dasar 1945 Sesudah Perubahan,” &lt;i&gt;Postdoctoral Speech at the Faculty of Law, University of Indonesia&lt;/i&gt;, 2019."},"properties":{"noteIndex":26},"schema":"https://github.com/citation-style-language/schema/raw/master/csl-citation.json"}</w:instrText>
      </w:r>
      <w:r>
        <w:fldChar w:fldCharType="separate"/>
      </w:r>
      <w:r w:rsidRPr="00845C1E">
        <w:rPr>
          <w:noProof/>
        </w:rPr>
        <w:t xml:space="preserve">Maria Farida Indarti, “Eksistensi Penjelasan Undang-Undang Dasar 1945 Sesudah Perubahan,” </w:t>
      </w:r>
      <w:r w:rsidRPr="00845C1E">
        <w:rPr>
          <w:i/>
          <w:noProof/>
        </w:rPr>
        <w:t>Postdoctoral Speech at the Faculty of Law, University of Indonesia</w:t>
      </w:r>
      <w:r w:rsidRPr="00845C1E">
        <w:rPr>
          <w:noProof/>
        </w:rPr>
        <w:t>, 2019.</w:t>
      </w:r>
      <w:r>
        <w:fldChar w:fldCharType="end"/>
      </w:r>
      <w:r>
        <w:t xml:space="preserve"> [12]</w:t>
      </w:r>
    </w:p>
  </w:footnote>
  <w:footnote w:id="27">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{"citationItems":[{"id":"ITEM-1","itemData":{"author":[{"dropping-particle":"","family":"H.B. Jacobini","given":"","non-dropping-particle":"","parse-names":false,"suffix":""}],"id":"ITEM-1","issued":{"date-parts":[["1991"]]},"number-of-pages":"75","publisher":"Oceana Publications INC","publisher-place":"New York","title":"An Introduction to Comparative Administrative Law","type":"book"},"uris":["http://www.mendeley.com/documents/?uuid=c79705fa-05c9-427e-8586-afdd01320888"]}],"mendeley":{"formattedCitation":"H.B. Jacobini, &lt;i&gt;An Introduction to Comparative Administrative Law&lt;/i&gt; (New York: Oceana Publications INC, 1991).","plainTextFormattedCitation":"H.B. Jacobini, An Introduction to Comparative Administrative Law (New York: Oceana Publications INC, 1991).","previouslyFormattedCitation":"H.B. Jacobini, &lt;i&gt;An Introduction to Comparative Administrative Law&lt;/i&gt; (New York: Oceana Publications INC, 1991)."},"properties":{"noteIndex":27},"schema":"https://github.com/citation-style-language/schema/raw/master/csl-citation.json"}</w:instrText>
      </w:r>
      <w:r>
        <w:fldChar w:fldCharType="separate"/>
      </w:r>
      <w:r w:rsidRPr="00A20F91">
        <w:rPr>
          <w:noProof/>
        </w:rPr>
        <w:t xml:space="preserve">H.B. Jacobini, </w:t>
      </w:r>
      <w:r w:rsidRPr="00A20F91">
        <w:rPr>
          <w:i/>
          <w:noProof/>
        </w:rPr>
        <w:t>An Introduction to Comparative Administrative Law</w:t>
      </w:r>
      <w:r w:rsidRPr="00A20F91">
        <w:rPr>
          <w:noProof/>
        </w:rPr>
        <w:t xml:space="preserve"> (New York: Oceana Publications INC, 1991).</w:t>
      </w:r>
      <w:r>
        <w:fldChar w:fldCharType="end"/>
      </w:r>
      <w:r>
        <w:t xml:space="preserve"> [75]</w:t>
      </w:r>
    </w:p>
  </w:footnote>
  <w:footnote w:id="28">
    <w:p w:rsidR="00D472D5" w:rsidRDefault="00D472D5" w:rsidP="005B65D7">
      <w:pPr>
        <w:pStyle w:val="FootnoteText"/>
        <w:ind w:firstLine="567"/>
        <w:jc w:val="both"/>
      </w:pPr>
      <w:r>
        <w:rPr>
          <w:rStyle w:val="FootnoteReference"/>
        </w:rPr>
        <w:footnoteRef/>
      </w:r>
      <w:r>
        <w:t xml:space="preserve"> </w:t>
      </w:r>
      <w:proofErr w:type="spellStart"/>
      <w:r>
        <w:rPr>
          <w:i/>
          <w:iCs/>
        </w:rPr>
        <w:t>Loc.Cit</w:t>
      </w:r>
      <w:proofErr w:type="spellEnd"/>
      <w:r>
        <w:rPr>
          <w:i/>
          <w:iCs/>
        </w:rPr>
        <w:t xml:space="preserve">, </w:t>
      </w:r>
      <w:r>
        <w:fldChar w:fldCharType="begin" w:fldLock="1"/>
      </w:r>
      <w:r>
        <w:instrText>ADDIN CSL_CITATION {"citationItems":[{"id":"ITEM-1","itemData":{"author":[{"dropping-particle":"","family":"Marojahan JS Panjaitan","given":"","non-dropping-particle":"","parse-names":false,"suffix":""}],"container-title":"jurnal Ius Quia Iustum","id":"ITEM-1","issue":"3","issued":{"date-parts":[["2017"]]},"page":"436","title":"Penyelesaian Penyalahgunaan Wewenang yang Menimbulkan Kerugian Negara Menurut Hukum Administrasi Pemerintahan","type":"article-journal","volume":"24"},"uris":["http://www.mendeley.com/documents/?uuid=1eb81793-6150-4552-a83e-aacfd7f0c3aa"]}],"mendeley":{"formattedCitation":"Marojahan JS Panjaitan, “Penyelesaian Penyalahgunaan Wewenang Yang Menimbulkan Kerugian Negara Menurut Hukum Administrasi Pemerintahan.”","manualFormatting":"Marojahan JS Panjaitan,  ","plainTextFormattedCitation":"Marojahan JS Panjaitan, “Penyelesaian Penyalahgunaan Wewenang Yang Menimbulkan Kerugian Negara Menurut Hukum Administrasi Pemerintahan.”","previouslyFormattedCitation":"Marojahan JS Panjaitan, “Penyelesaian Penyalahgunaan Wewenang Yang Menimbulkan Kerugian Negara Menurut Hukum Administrasi Pemerintahan.”"},"properties":{"noteIndex":28},"schema":"https://github.com/citation-style-language/schema/raw/master/csl-citation.json"}</w:instrText>
      </w:r>
      <w:r>
        <w:fldChar w:fldCharType="separate"/>
      </w:r>
      <w:r w:rsidRPr="00A20F91">
        <w:rPr>
          <w:noProof/>
        </w:rPr>
        <w:t>Marojahan JS Panjaitan,</w:t>
      </w:r>
      <w:r>
        <w:rPr>
          <w:noProof/>
        </w:rPr>
        <w:t xml:space="preserve"> </w:t>
      </w:r>
      <w:r w:rsidRPr="00A20F91">
        <w:rPr>
          <w:noProof/>
        </w:rPr>
        <w:t xml:space="preserve"> </w:t>
      </w:r>
      <w:r>
        <w:fldChar w:fldCharType="end"/>
      </w:r>
      <w:r>
        <w:t>[431]</w:t>
      </w:r>
    </w:p>
  </w:footnote>
  <w:footnote w:id="29">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{"citationItems":[{"id":"ITEM-1","itemData":{"author":[{"dropping-particle":"","family":"Bambang Arwanto","given":"","non-dropping-particle":"","parse-names":false,"suffix":""}],"container-title":"Yuridika","id":"ITEM-1","issue":"3","issued":{"date-parts":[["2016"]]},"page":"361","title":"Perlindungan Hukum Bagi Rakyat Akibat Tindakan Faktual Pemerintah","type":"article-journal","volume":"31"},"uris":["http://www.mendeley.com/documents/?uuid=742b260b-7e44-4801-a1a5-7a9db8a0ae9c"]}],"mendeley":{"formattedCitation":"Bambang Arwanto, “Perlindungan Hukum Bagi Rakyat Akibat Tindakan Faktual Pemerintah,” &lt;i&gt;Yuridika&lt;/i&gt; 31, no. 3 (2016): 361.","manualFormatting":"Bambang Arwanto, “Perlindungan Hukum Bagi Rakyat Akibat Tindakan Faktual Pemerintah,” Yuridika, Vol. 31, no. 3 (2016): [361].","plainTextFormattedCitation":"Bambang Arwanto, “Perlindungan Hukum Bagi Rakyat Akibat Tindakan Faktual Pemerintah,” Yuridika 31, no. 3 (2016): 361.","previouslyFormattedCitation":"Bambang Arwanto, “Perlindungan Hukum Bagi Rakyat Akibat Tindakan Faktual Pemerintah,” &lt;i&gt;Yuridika&lt;/i&gt; 31, no. 3 (2016): 361."},"properties":{"noteIndex":29},"schema":"https://github.com/citation-style-language/schema/raw/master/csl-citation.json"}</w:instrText>
      </w:r>
      <w:r>
        <w:fldChar w:fldCharType="separate"/>
      </w:r>
      <w:r w:rsidRPr="00A20F91">
        <w:rPr>
          <w:noProof/>
        </w:rPr>
        <w:t xml:space="preserve">Bambang Arwanto, “Perlindungan Hukum Bagi Rakyat Akibat Tindakan Faktual Pemerintah,” </w:t>
      </w:r>
      <w:r w:rsidRPr="00A20F91">
        <w:rPr>
          <w:i/>
          <w:noProof/>
        </w:rPr>
        <w:t>Yuridika</w:t>
      </w:r>
      <w:r>
        <w:rPr>
          <w:noProof/>
        </w:rPr>
        <w:t xml:space="preserve">, Vol. </w:t>
      </w:r>
      <w:r w:rsidRPr="00A20F91">
        <w:rPr>
          <w:noProof/>
        </w:rPr>
        <w:t xml:space="preserve">31, no. 3 (2016): </w:t>
      </w:r>
      <w:r>
        <w:rPr>
          <w:noProof/>
        </w:rPr>
        <w:t>[</w:t>
      </w:r>
      <w:r w:rsidRPr="00A20F91">
        <w:rPr>
          <w:noProof/>
        </w:rPr>
        <w:t>361</w:t>
      </w:r>
      <w:r>
        <w:rPr>
          <w:noProof/>
        </w:rPr>
        <w:t>]</w:t>
      </w:r>
      <w:r w:rsidRPr="00A20F91">
        <w:rPr>
          <w:noProof/>
        </w:rPr>
        <w:t>.</w:t>
      </w:r>
      <w:r>
        <w:fldChar w:fldCharType="end"/>
      </w:r>
    </w:p>
  </w:footnote>
  <w:footnote w:id="30">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{"citationItems":[{"id":"ITEM-1","itemData":{"author":[{"dropping-particle":"","family":"Philipus M.Hadjon et al.","given":"","non-dropping-particle":"","parse-names":false,"suffix":""}],"edition":"cet.IX","id":"ITEM-1","issued":{"date-parts":[["2005"]]},"publisher":"Gadjah Mada University Press","publisher-place":"Yogyakarta","title":"Pengantar Hukum Administrasi Indonesia","type":"book"},"uris":["http://www.mendeley.com/documents/?uuid=625208ec-93b3-4137-a208-2fc21205ee19"]}],"mendeley":{"formattedCitation":"Philipus M.Hadjon et al., &lt;i&gt;Pengantar Hukum Administrasi Indonesia&lt;/i&gt;, cet. IX (Yogyakarta: Gadjah Mada University Press, 2005).","manualFormatting":"Philipus M.Hadjon et al., Pengantar Hukum Administrasi Indonesia, cet. IX (Yogyakarta: Gadjah Mada University Press, 2015).","plainTextFormattedCitation":"Philipus M.Hadjon et al., Pengantar Hukum Administrasi Indonesia, cet. IX (Yogyakarta: Gadjah Mada University Press, 2005).","previouslyFormattedCitation":"Philipus M.Hadjon et al., &lt;i&gt;Pengantar Hukum Administrasi Indonesia&lt;/i&gt;, cet. IX (Yogyakarta: Gadjah Mada University Press, 2005)."},"properties":{"noteIndex":30},"schema":"https://github.com/citation-style-language/schema/raw/master/csl-citation.json"}</w:instrText>
      </w:r>
      <w:r>
        <w:fldChar w:fldCharType="separate"/>
      </w:r>
      <w:r w:rsidRPr="00A20F91">
        <w:rPr>
          <w:noProof/>
        </w:rPr>
        <w:t xml:space="preserve">Philipus M.Hadjon et al., </w:t>
      </w:r>
      <w:r w:rsidRPr="00A20F91">
        <w:rPr>
          <w:i/>
          <w:noProof/>
        </w:rPr>
        <w:t>Pengantar Hukum Administrasi Indonesia</w:t>
      </w:r>
      <w:r w:rsidRPr="00A20F91">
        <w:rPr>
          <w:noProof/>
        </w:rPr>
        <w:t>, cet. IX (Yogyakarta: G</w:t>
      </w:r>
      <w:r>
        <w:rPr>
          <w:noProof/>
        </w:rPr>
        <w:t>adjah Mada University Press, 201</w:t>
      </w:r>
      <w:r w:rsidRPr="00A20F91">
        <w:rPr>
          <w:noProof/>
        </w:rPr>
        <w:t>5).</w:t>
      </w:r>
      <w:r>
        <w:fldChar w:fldCharType="end"/>
      </w:r>
      <w:r>
        <w:t xml:space="preserve"> [170]</w:t>
      </w:r>
    </w:p>
  </w:footnote>
  <w:footnote w:id="31">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{"citationItems":[{"id":"ITEM-1","itemData":{"author":[{"dropping-particle":"","family":"Ridwan HR","given":"","non-dropping-particle":"","parse-names":false,"suffix":""}],"id":"ITEM-1","issued":{"date-parts":[["2020"]]},"number-of-pages":"109","publisher":"Rajawali Pers","publisher-place":"Depok","title":"Hukum Administrasi Negara (16th printing)","type":"book"},"uris":["http://www.mendeley.com/documents/?uuid=72d3e9d9-4fff-47e6-b73a-98e523b4357e"]}],"mendeley":{"formattedCitation":"Ridwan HR, &lt;i&gt;Hukum Administrasi Negara (16th Printing)&lt;/i&gt; (Depok: Rajawali Pers, 2020).","plainTextFormattedCitation":"Ridwan HR, Hukum Administrasi Negara (16th Printing) (Depok: Rajawali Pers, 2020).","previouslyFormattedCitation":"Ridwan HR, &lt;i&gt;Hukum Administrasi Negara (16th Printing)&lt;/i&gt; (Depok: Rajawali Pers, 2020)."},"properties":{"noteIndex":31},"schema":"https://github.com/citation-style-language/schema/raw/master/csl-citation.json"}</w:instrText>
      </w:r>
      <w:r>
        <w:fldChar w:fldCharType="separate"/>
      </w:r>
      <w:r w:rsidRPr="00A20F91">
        <w:rPr>
          <w:noProof/>
        </w:rPr>
        <w:t xml:space="preserve">Ridwan HR, </w:t>
      </w:r>
      <w:r w:rsidRPr="00A20F91">
        <w:rPr>
          <w:i/>
          <w:noProof/>
        </w:rPr>
        <w:t>Hukum Administrasi Negara (16th Printing)</w:t>
      </w:r>
      <w:r w:rsidRPr="00A20F91">
        <w:rPr>
          <w:noProof/>
        </w:rPr>
        <w:t xml:space="preserve"> (Depok: Rajawali Pers, 2020).</w:t>
      </w:r>
      <w:r>
        <w:fldChar w:fldCharType="end"/>
      </w:r>
      <w:r>
        <w:t xml:space="preserve"> [109]</w:t>
      </w:r>
    </w:p>
  </w:footnote>
  <w:footnote w:id="32">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{"citationItems":[{"id":"ITEM-1","itemData":{"author":[{"dropping-particle":"","family":"Kuntjoro Purbopranoto","given":"","non-dropping-particle":"","parse-names":false,"suffix":""}],"id":"ITEM-1","issued":{"date-parts":[["1981"]]},"number-of-pages":"44","publisher":"Alumni","publisher-place":"Bandung","title":"Beberapa Catatan Hukum Tata Pemerintahan dan Peradilan Administrasi Negara","type":"book"},"uris":["http://www.mendeley.com/documents/?uuid=0a7c23e0-22b5-4d4b-bc4f-4b612eef4e7b"]}],"mendeley":{"formattedCitation":"Kuntjoro Purbopranoto, &lt;i&gt;Beberapa Catatan Hukum Tata Pemerintahan Dan Peradilan Administrasi Negara&lt;/i&gt; (Bandung: Alumni, 1981).","plainTextFormattedCitation":"Kuntjoro Purbopranoto, Beberapa Catatan Hukum Tata Pemerintahan Dan Peradilan Administrasi Negara (Bandung: Alumni, 1981).","previouslyFormattedCitation":"Kuntjoro Purbopranoto, &lt;i&gt;Beberapa Catatan Hukum Tata Pemerintahan Dan Peradilan Administrasi Negara&lt;/i&gt; (Bandung: Alumni, 1981)."},"properties":{"noteIndex":32},"schema":"https://github.com/citation-style-language/schema/raw/master/csl-citation.json"}</w:instrText>
      </w:r>
      <w:r>
        <w:fldChar w:fldCharType="separate"/>
      </w:r>
      <w:r w:rsidRPr="00A20F91">
        <w:rPr>
          <w:noProof/>
        </w:rPr>
        <w:t xml:space="preserve">Kuntjoro Purbopranoto, </w:t>
      </w:r>
      <w:r w:rsidRPr="00A20F91">
        <w:rPr>
          <w:i/>
          <w:noProof/>
        </w:rPr>
        <w:t>Beberapa Catatan Hukum Tata Pemerintahan Dan Peradilan Administrasi Negara</w:t>
      </w:r>
      <w:r w:rsidRPr="00A20F91">
        <w:rPr>
          <w:noProof/>
        </w:rPr>
        <w:t xml:space="preserve"> (Bandung: Alumni, 1981).</w:t>
      </w:r>
      <w:r>
        <w:fldChar w:fldCharType="end"/>
      </w:r>
      <w:r>
        <w:t xml:space="preserve"> [44]</w:t>
      </w:r>
    </w:p>
  </w:footnote>
  <w:footnote w:id="33">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{"citationItems":[{"id":"ITEM-1","itemData":{"author":[{"dropping-particle":"","family":"Tjandra","given":"Riawan","non-dropping-particle":"","parse-names":false,"suffix":""}],"id":"ITEM-1","issued":{"date-parts":[["2018"]]},"number-of-pages":"145","publisher":"Sinar Grafika","publisher-place":"Jakarta","title":"Hukum Administrai Negara,","type":"book"},"uris":["http://www.mendeley.com/documents/?uuid=9e15c930-c465-4fc3-b98a-782314346dfc"]}],"mendeley":{"formattedCitation":"Riawan Tjandra, &lt;i&gt;Hukum Administrai Negara,&lt;/i&gt; (Jakarta: Sinar Grafika, 2018).","plainTextFormattedCitation":"Riawan Tjandra, Hukum Administrai Negara, (Jakarta: Sinar Grafika, 2018).","previouslyFormattedCitation":"Riawan Tjandra, &lt;i&gt;Hukum Administrai Negara,&lt;/i&gt; (Jakarta: Sinar Grafika, 2018)."},"properties":{"noteIndex":33},"schema":"https://github.com/citation-style-language/schema/raw/master/csl-citation.json"}</w:instrText>
      </w:r>
      <w:r>
        <w:fldChar w:fldCharType="separate"/>
      </w:r>
      <w:r w:rsidRPr="00A20F91">
        <w:rPr>
          <w:noProof/>
        </w:rPr>
        <w:t xml:space="preserve">Riawan Tjandra, </w:t>
      </w:r>
      <w:r w:rsidRPr="00A20F91">
        <w:rPr>
          <w:i/>
          <w:noProof/>
        </w:rPr>
        <w:t>Hukum Administrai Negara,</w:t>
      </w:r>
      <w:r w:rsidRPr="00A20F91">
        <w:rPr>
          <w:noProof/>
        </w:rPr>
        <w:t xml:space="preserve"> (Jakarta: Sinar Grafika, 2018).</w:t>
      </w:r>
      <w:r>
        <w:fldChar w:fldCharType="end"/>
      </w:r>
      <w:r>
        <w:t xml:space="preserve"> [145]</w:t>
      </w:r>
    </w:p>
  </w:footnote>
  <w:footnote w:id="34">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{"citationItems":[{"id":"ITEM-1","itemData":{"author":[{"dropping-particle":"","family":"Enrico Simanjuntak","given":"","non-dropping-particle":"","parse-names":false,"suffix":""}],"container-title":"Jurnal Masalah-Masalah Hukum","id":"ITEM-1","issue":"1","issued":{"date-parts":[["2019"]]},"page":"44","title":"Restatement tentang Yurisdiksi Peradilan Mengadili Perbuatan Melawan Hukum Pemerintah","type":"article-journal","volume":"48"},"uris":["http://www.mendeley.com/documents/?uuid=273e5f6b-a13a-47af-8013-ed1a6d0eaa69"]}],"mendeley":{"formattedCitation":"Enrico Simanjuntak, “Restatement Tentang Yurisdiksi Peradilan Mengadili Perbuatan Melawan Hukum Pemerintah,” &lt;i&gt;Jurnal Masalah-Masalah Hukum&lt;/i&gt; 48, no. 1 (2019): 44.","manualFormatting":"Enrico Simanjuntak, “Restatement Tentang Yurisdiksi Peradilan Mengadili Perbuatan Melawan Hukum Pemerintah,” Jurnal Masalah-Masalah Hukum,  Vol. 48, no. 1 (2019): [44].","plainTextFormattedCitation":"Enrico Simanjuntak, “Restatement Tentang Yurisdiksi Peradilan Mengadili Perbuatan Melawan Hukum Pemerintah,” Jurnal Masalah-Masalah Hukum 48, no. 1 (2019): 44.","previouslyFormattedCitation":"Enrico Simanjuntak, “Restatement Tentang Yurisdiksi Peradilan Mengadili Perbuatan Melawan Hukum Pemerintah,” &lt;i&gt;Jurnal Masalah-Masalah Hukum&lt;/i&gt; 48, no. 1 (2019): 44."},"properties":{"noteIndex":34},"schema":"https://github.com/citation-style-language/schema/raw/master/csl-citation.json"}</w:instrText>
      </w:r>
      <w:r>
        <w:fldChar w:fldCharType="separate"/>
      </w:r>
      <w:r w:rsidRPr="00791C1A">
        <w:rPr>
          <w:noProof/>
        </w:rPr>
        <w:t xml:space="preserve">Enrico Simanjuntak, “Restatement Tentang Yurisdiksi Peradilan Mengadili Perbuatan Melawan Hukum Pemerintah,” </w:t>
      </w:r>
      <w:r w:rsidRPr="00791C1A">
        <w:rPr>
          <w:i/>
          <w:noProof/>
        </w:rPr>
        <w:t>Jurnal Masalah-Masalah Hukum</w:t>
      </w:r>
      <w:r>
        <w:rPr>
          <w:i/>
          <w:noProof/>
        </w:rPr>
        <w:t xml:space="preserve">, </w:t>
      </w:r>
      <w:r>
        <w:rPr>
          <w:iCs/>
          <w:noProof/>
        </w:rPr>
        <w:t xml:space="preserve"> Vol.</w:t>
      </w:r>
      <w:r w:rsidRPr="00791C1A">
        <w:rPr>
          <w:noProof/>
        </w:rPr>
        <w:t xml:space="preserve"> 48, no. 1 (2019): </w:t>
      </w:r>
      <w:r>
        <w:rPr>
          <w:noProof/>
        </w:rPr>
        <w:t>[</w:t>
      </w:r>
      <w:r w:rsidRPr="00791C1A">
        <w:rPr>
          <w:noProof/>
        </w:rPr>
        <w:t>44</w:t>
      </w:r>
      <w:r>
        <w:rPr>
          <w:noProof/>
        </w:rPr>
        <w:t>]</w:t>
      </w:r>
      <w:r w:rsidRPr="00791C1A">
        <w:rPr>
          <w:noProof/>
        </w:rPr>
        <w:t>.</w:t>
      </w:r>
      <w:r>
        <w:fldChar w:fldCharType="end"/>
      </w:r>
    </w:p>
  </w:footnote>
  <w:footnote w:id="35">
    <w:p w:rsidR="00D472D5" w:rsidRDefault="00D472D5" w:rsidP="005B65D7">
      <w:pPr>
        <w:pStyle w:val="FootnoteText"/>
        <w:ind w:firstLine="567"/>
        <w:jc w:val="both"/>
      </w:pPr>
      <w:r>
        <w:rPr>
          <w:rStyle w:val="FootnoteReference"/>
        </w:rPr>
        <w:footnoteRef/>
      </w:r>
      <w:r>
        <w:t xml:space="preserve"> Academic Legal Texts No. 30 Year 2014</w:t>
      </w:r>
    </w:p>
  </w:footnote>
  <w:footnote w:id="36">
    <w:p w:rsidR="00D472D5" w:rsidRDefault="00D472D5" w:rsidP="005B65D7">
      <w:pPr>
        <w:pStyle w:val="FootnoteText"/>
        <w:ind w:firstLine="567"/>
        <w:jc w:val="both"/>
      </w:pPr>
      <w:r>
        <w:rPr>
          <w:rStyle w:val="FootnoteReference"/>
        </w:rPr>
        <w:footnoteRef/>
      </w:r>
      <w:r>
        <w:t xml:space="preserve"> Academic Paper Law No. 30 Year 2014 on </w:t>
      </w:r>
      <w:proofErr w:type="spellStart"/>
      <w:r>
        <w:t>Goverment</w:t>
      </w:r>
      <w:proofErr w:type="spellEnd"/>
      <w:r>
        <w:t xml:space="preserve"> Administration</w:t>
      </w:r>
    </w:p>
  </w:footnote>
  <w:footnote w:id="37">
    <w:p w:rsidR="00D472D5" w:rsidRPr="00791C1A" w:rsidRDefault="00D472D5" w:rsidP="005B65D7">
      <w:pPr>
        <w:pStyle w:val="FootnoteText"/>
        <w:ind w:firstLine="567"/>
        <w:jc w:val="both"/>
        <w:rPr>
          <w:i/>
          <w:iCs/>
        </w:rPr>
      </w:pPr>
      <w:r>
        <w:rPr>
          <w:rStyle w:val="FootnoteReference"/>
        </w:rPr>
        <w:footnoteRef/>
      </w:r>
      <w:r>
        <w:t xml:space="preserve"> </w:t>
      </w:r>
      <w:r>
        <w:rPr>
          <w:i/>
          <w:iCs/>
        </w:rPr>
        <w:t>Ibid</w:t>
      </w:r>
    </w:p>
  </w:footnote>
  <w:footnote w:id="38">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{"citationItems":[{"id":"ITEM-1","itemData":{"author":[{"dropping-particle":"","family":"DPR RI","given":"","non-dropping-particle":"","parse-names":false,"suffix":""}],"id":"ITEM-1","issued":{"date-parts":[["2014"]]},"number-of-pages":"3","title":"Cluster of Expert Opinions on the Government Administration Bill","type":"report"},"uris":["http://www.mendeley.com/documents/?uuid=dc92d367-28b5-4a0f-a169-de470c9d06fe"]}],"mendeley":{"formattedCitation":"DPR RI, “Cluster of Expert Opinions on the Government Administration Bill,” 2014.","plainTextFormattedCitation":"DPR RI, “Cluster of Expert Opinions on the Government Administration Bill,” 2014.","previouslyFormattedCitation":"DPR RI, “Cluster of Expert Opinions on the Government Administration Bill,” 2014."},"properties":{"noteIndex":38},"schema":"https://github.com/citation-style-language/schema/raw/master/csl-citation.json"}</w:instrText>
      </w:r>
      <w:r>
        <w:fldChar w:fldCharType="separate"/>
      </w:r>
      <w:r w:rsidRPr="00791C1A">
        <w:rPr>
          <w:noProof/>
        </w:rPr>
        <w:t>DPR RI, “Cluster of Expert Opinions on the Government Administration Bill,” 2014.</w:t>
      </w:r>
      <w:r>
        <w:fldChar w:fldCharType="end"/>
      </w:r>
      <w:r>
        <w:t xml:space="preserve"> [3]</w:t>
      </w:r>
    </w:p>
  </w:footnote>
  <w:footnote w:id="39">
    <w:p w:rsidR="00D472D5" w:rsidRPr="00D472D5" w:rsidRDefault="00D472D5" w:rsidP="005B65D7">
      <w:pPr>
        <w:pStyle w:val="FootnoteText"/>
        <w:ind w:firstLine="567"/>
        <w:jc w:val="both"/>
      </w:pPr>
      <w:r>
        <w:rPr>
          <w:rStyle w:val="FootnoteReference"/>
        </w:rPr>
        <w:footnoteRef/>
      </w:r>
      <w:r>
        <w:t xml:space="preserve"> </w:t>
      </w:r>
      <w:proofErr w:type="spellStart"/>
      <w:r>
        <w:rPr>
          <w:i/>
          <w:iCs/>
        </w:rPr>
        <w:t>Loc.Cit</w:t>
      </w:r>
      <w:proofErr w:type="spellEnd"/>
      <w:r>
        <w:rPr>
          <w:i/>
          <w:iCs/>
        </w:rPr>
        <w:t xml:space="preserve">, </w:t>
      </w:r>
      <w:proofErr w:type="spellStart"/>
      <w:r>
        <w:t>Phlipus</w:t>
      </w:r>
      <w:proofErr w:type="spellEnd"/>
      <w:r>
        <w:t xml:space="preserve"> M. </w:t>
      </w:r>
      <w:proofErr w:type="spellStart"/>
      <w:r>
        <w:t>Hadjon</w:t>
      </w:r>
      <w:proofErr w:type="spellEnd"/>
      <w:r>
        <w:t xml:space="preserve">, </w:t>
      </w:r>
      <w:r>
        <w:fldChar w:fldCharType="begin" w:fldLock="1"/>
      </w:r>
      <w:r>
        <w:instrText>ADDIN CSL_CITATION {"citationItems":[{"id":"ITEM-1","itemData":{"author":[{"dropping-particle":"","family":"Philipus M. Hadjon","given":"","non-dropping-particle":"","parse-names":false,"suffix":""}],"container-title":"Jurnal Hukum dan Peradilan","id":"ITEM-1","issue":"1","issued":{"date-parts":[["2015"]]},"page":"53","title":"Peradilan Tata Usaha Negara Dalam Konteks Undang-Undang No. 30 TH. 2014 Tentang Administasi Pemerintahan","type":"article-journal","volume":"4"},"uris":["http://www.mendeley.com/documents/?uuid=31227a72-183a-43fe-9ba9-cfba0d48090c"]}],"mendeley":{"formattedCitation":"Philipus M. Hadjon, “Peradilan Tata Usaha Negara Dalam Konteks Undang-Undang No. 30 TH. 2014 Tentang Administasi Pemerintahan.”","manualFormatting":"\"Peradilan Tata Usaha Negara Dalam Konteks Undang-Undang No. 30 TH. 2014 Tentang Administasi Pemerintahan.”","plainTextFormattedCitation":"Philipus M. Hadjon, “Peradilan Tata Usaha Negara Dalam Konteks Undang-Undang No. 30 TH. 2014 Tentang Administasi Pemerintahan.”","previouslyFormattedCitation":"Philipus M. Hadjon, “Peradilan Tata Usaha Negara Dalam Konteks Undang-Undang No. 30 TH. 2014 Tentang Administasi Pemerintahan.”"},"properties":{"noteIndex":39},"schema":"https://github.com/citation-style-language/schema/raw/master/csl-citation.json"}</w:instrText>
      </w:r>
      <w:r>
        <w:fldChar w:fldCharType="separate"/>
      </w:r>
      <w:r>
        <w:rPr>
          <w:noProof/>
        </w:rPr>
        <w:t>"</w:t>
      </w:r>
      <w:r w:rsidRPr="00D472D5">
        <w:rPr>
          <w:noProof/>
        </w:rPr>
        <w:t>Peradilan Tata Usaha Negara Dalam Konteks Undang-Undang No. 30 TH. 2014 Tentang Administasi Pemerintahan.”</w:t>
      </w:r>
      <w:r>
        <w:fldChar w:fldCharType="end"/>
      </w:r>
      <w:r>
        <w:t>, [63]</w:t>
      </w:r>
    </w:p>
  </w:footnote>
  <w:footnote w:id="40">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{"citationItems":[{"id":"ITEM-1","itemData":{"author":[{"dropping-particle":"","family":"Indroharto","given":"","non-dropping-particle":"","parse-names":false,"suffix":""}],"id":"ITEM-1","issued":{"date-parts":[["2000"]]},"number-of-pages":"99-100","publisher":"Pustaka Sinar Harapan","publisher-place":"Jakarta","title":"Usaha Memahami Undang-Undang tentang Peradilan Tata Usaha Negara Buku I","type":"book"},"uris":["http://www.mendeley.com/documents/?uuid=531c2328-359c-4552-b3ed-34c3949c4117"]}],"mendeley":{"formattedCitation":"Indroharto, &lt;i&gt;Usaha Memahami Undang-Undang Tentang Peradilan Tata Usaha Negara Buku I&lt;/i&gt; (Jakarta: Pustaka Sinar Harapan, 2000).","plainTextFormattedCitation":"Indroharto, Usaha Memahami Undang-Undang Tentang Peradilan Tata Usaha Negara Buku I (Jakarta: Pustaka Sinar Harapan, 2000).","previouslyFormattedCitation":"Indroharto, &lt;i&gt;Usaha Memahami Undang-Undang Tentang Peradilan Tata Usaha Negara Buku I&lt;/i&gt; (Jakarta: Pustaka Sinar Harapan, 2000)."},"properties":{"noteIndex":40},"schema":"https://github.com/citation-style-language/schema/raw/master/csl-citation.json"}</w:instrText>
      </w:r>
      <w:r>
        <w:fldChar w:fldCharType="separate"/>
      </w:r>
      <w:r w:rsidRPr="00D472D5">
        <w:rPr>
          <w:noProof/>
        </w:rPr>
        <w:t xml:space="preserve">Indroharto, </w:t>
      </w:r>
      <w:r w:rsidRPr="00D472D5">
        <w:rPr>
          <w:i/>
          <w:noProof/>
        </w:rPr>
        <w:t>Usaha Memahami Undang-Undang Tentang Peradilan Tata Usaha Negara Buku I</w:t>
      </w:r>
      <w:r w:rsidRPr="00D472D5">
        <w:rPr>
          <w:noProof/>
        </w:rPr>
        <w:t xml:space="preserve"> (Jakarta: Pustaka Sinar Harapan, 2000).</w:t>
      </w:r>
      <w:r>
        <w:fldChar w:fldCharType="end"/>
      </w:r>
      <w:r>
        <w:t xml:space="preserve"> [99-100]</w:t>
      </w:r>
    </w:p>
  </w:footnote>
  <w:footnote w:id="41">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{"citationItems":[{"id":"ITEM-1","itemData":{"author":[{"dropping-particle":"","family":"Nehru Asyikin","given":"","non-dropping-particle":"","parse-names":false,"suffix":""}],"container-title":"Jurnal Hukum &amp; Pembangunan","id":"ITEM-1","issue":"3","issued":{"date-parts":[["2020"]]},"page":"638","title":"Tanggung Jawab Jabatan dan Tanggung Jawab Pribadi Dalam Penggunaan Diskresi","type":"article-journal","volume":"50"},"uris":["http://www.mendeley.com/documents/?uuid=297a5714-b2d9-40a8-b4b0-3401601c3ff6"]}],"mendeley":{"formattedCitation":"Nehru Asyikin, “Tanggung Jawab Jabatan Dan Tanggung Jawab Pribadi Dalam Penggunaan Diskresi,” &lt;i&gt;Jurnal Hukum &amp; Pembangunan&lt;/i&gt; 50, no. 3 (2020): 638.","manualFormatting":"Nehru Asyikin, “Tanggung Jawab Jabatan Dan Tanggung Jawab Pribadi Dalam Penggunaan Diskresi,” Jurnal Hukum &amp; Pembangunan 50, no. 3 (2020): [638].","plainTextFormattedCitation":"Nehru Asyikin, “Tanggung Jawab Jabatan Dan Tanggung Jawab Pribadi Dalam Penggunaan Diskresi,” Jurnal Hukum &amp; Pembangunan 50, no. 3 (2020): 638.","previouslyFormattedCitation":"Nehru Asyikin, “Tanggung Jawab Jabatan Dan Tanggung Jawab Pribadi Dalam Penggunaan Diskresi,” &lt;i&gt;Jurnal Hukum &amp; Pembangunan&lt;/i&gt; 50, no. 3 (2020): 638."},"properties":{"noteIndex":41},"schema":"https://github.com/citation-style-language/schema/raw/master/csl-citation.json"}</w:instrText>
      </w:r>
      <w:r>
        <w:fldChar w:fldCharType="separate"/>
      </w:r>
      <w:r w:rsidRPr="00D472D5">
        <w:rPr>
          <w:noProof/>
        </w:rPr>
        <w:t xml:space="preserve">Nehru Asyikin, “Tanggung Jawab Jabatan Dan Tanggung Jawab Pribadi Dalam Penggunaan Diskresi,” </w:t>
      </w:r>
      <w:r w:rsidRPr="00D472D5">
        <w:rPr>
          <w:i/>
          <w:noProof/>
        </w:rPr>
        <w:t>Jurnal Hukum &amp; Pembangunan</w:t>
      </w:r>
      <w:r w:rsidRPr="00D472D5">
        <w:rPr>
          <w:noProof/>
        </w:rPr>
        <w:t xml:space="preserve"> 50, no. 3 (2020): </w:t>
      </w:r>
      <w:r>
        <w:rPr>
          <w:noProof/>
        </w:rPr>
        <w:t>[</w:t>
      </w:r>
      <w:r w:rsidRPr="00D472D5">
        <w:rPr>
          <w:noProof/>
        </w:rPr>
        <w:t>638</w:t>
      </w:r>
      <w:r>
        <w:rPr>
          <w:noProof/>
        </w:rPr>
        <w:t>]</w:t>
      </w:r>
      <w:r w:rsidRPr="00D472D5">
        <w:rPr>
          <w:noProof/>
        </w:rPr>
        <w:t>.</w:t>
      </w:r>
      <w:r>
        <w:fldChar w:fldCharType="end"/>
      </w:r>
    </w:p>
  </w:footnote>
  <w:footnote w:id="42">
    <w:p w:rsidR="00D472D5" w:rsidRDefault="00D472D5"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{"citationItems":[{"id":"ITEM-1","itemData":{"author":[{"dropping-particle":"","family":"Zaki Ulya","given":"","non-dropping-particle":"","parse-names":false,"suffix":""}],"container-title":"jurnal Ius Quia Iustum","id":"ITEM-1","issue":"3","issued":{"date-parts":[["2017"]]},"page":"415","title":"Pertanggungjawaban Pejabat Pemerintahan dalam Menetapkan Diskresi (Studi Terhadap Putusan Mahkamah Konstitusi Nomor 25/PUU-XIV/2016","type":"article-journal","volume":"24"},"uris":["http://www.mendeley.com/documents/?uuid=fa7e7877-d659-4ecd-9c75-4246f4db6925"]}],"mendeley":{"formattedCitation":"Zaki Ulya, “Pertanggungjawaban Pejabat Pemerintahan Dalam Menetapkan Diskresi (Studi Terhadap Putusan Mahkamah Konstitusi Nomor 25/PUU-XIV/2016,” &lt;i&gt;Jurnal Ius Quia Iustum&lt;/i&gt; 24, no. 3 (2017): 415.","plainTextFormattedCitation":"Zaki Ulya, “Pertanggungjawaban Pejabat Pemerintahan Dalam Menetapkan Diskresi (Studi Terhadap Putusan Mahkamah Konstitusi Nomor 25/PUU-XIV/2016,” Jurnal Ius Quia Iustum 24, no. 3 (2017): 415.","previouslyFormattedCitation":"Zaki Ulya, “Pertanggungjawaban Pejabat Pemerintahan Dalam Menetapkan Diskresi (Studi Terhadap Putusan Mahkamah Konstitusi Nomor 25/PUU-XIV/2016,” &lt;i&gt;Jurnal Ius Quia Iustum&lt;/i&gt; 24, no. 3 (2017): 415."},"properties":{"noteIndex":42},"schema":"https://github.com/citation-style-language/schema/raw/master/csl-citation.json"}</w:instrText>
      </w:r>
      <w:r>
        <w:fldChar w:fldCharType="separate"/>
      </w:r>
      <w:r w:rsidRPr="00D472D5">
        <w:rPr>
          <w:noProof/>
        </w:rPr>
        <w:t xml:space="preserve">Zaki Ulya, “Pertanggungjawaban Pejabat Pemerintahan Dalam Menetapkan Diskresi (Studi Terhadap Putusan Mahkamah Konstitusi Nomor 25/PUU-XIV/2016,” </w:t>
      </w:r>
      <w:r w:rsidRPr="00D472D5">
        <w:rPr>
          <w:i/>
          <w:noProof/>
        </w:rPr>
        <w:t>Jurnal Ius Quia Iustum</w:t>
      </w:r>
      <w:r w:rsidRPr="00D472D5">
        <w:rPr>
          <w:noProof/>
        </w:rPr>
        <w:t xml:space="preserve"> 24, no. 3 (2017): 415.</w:t>
      </w:r>
      <w:r>
        <w:fldChar w:fldCharType="end"/>
      </w:r>
    </w:p>
  </w:footnote>
  <w:footnote w:id="43">
    <w:p w:rsidR="00D472D5" w:rsidRDefault="00D472D5" w:rsidP="005B65D7">
      <w:pPr>
        <w:pStyle w:val="FootnoteText"/>
        <w:ind w:firstLine="567"/>
        <w:jc w:val="both"/>
      </w:pPr>
      <w:r>
        <w:rPr>
          <w:rStyle w:val="FootnoteReference"/>
        </w:rPr>
        <w:footnoteRef/>
      </w:r>
      <w:r>
        <w:t xml:space="preserve"> </w:t>
      </w:r>
      <w:r>
        <w:fldChar w:fldCharType="begin" w:fldLock="1"/>
      </w:r>
      <w:r w:rsidR="00BC288F">
        <w:instrText>ADDIN CSL_CITATION {"citationItems":[{"id":"ITEM-1","itemData":{"author":[{"dropping-particle":"","family":"Ishviati Joenaini Koenti","given":"","non-dropping-particle":"","parse-names":false,"suffix":""}],"container-title":"jurnal Ius Quia Iustum","id":"ITEM-1","issue":"3","issued":{"date-parts":[["2016"]]},"page":"470","title":"Diskresi dalam Penanggulangan Bencana di DIY dengan Paradigma Kontinjensi","type":"article-journal","volume":"23"},"uris":["http://www.mendeley.com/documents/?uuid=5c9d2a07-28cd-4f6b-b830-5f7dd2027752"]}],"mendeley":{"formattedCitation":"Ishviati Joenaini Koenti, “Diskresi Dalam Penanggulangan Bencana Di DIY Dengan Paradigma Kontinjensi,” &lt;i&gt;Jurnal Ius Quia Iustum&lt;/i&gt; 23, no. 3 (2016): 470.","manualFormatting":"Ishviati Joenaini Koenti, “Diskresi Dalam Penanggulangan Bencana Di DIY Dengan Paradigma Kontinjensi,” Jurnal Ius Quia Iustum 23, no. 3 (2016): [470].","plainTextFormattedCitation":"Ishviati Joenaini Koenti, “Diskresi Dalam Penanggulangan Bencana Di DIY Dengan Paradigma Kontinjensi,” Jurnal Ius Quia Iustum 23, no. 3 (2016): 470.","previouslyFormattedCitation":"Ishviati Joenaini Koenti, “Diskresi Dalam Penanggulangan Bencana Di DIY Dengan Paradigma Kontinjensi,” &lt;i&gt;Jurnal Ius Quia Iustum&lt;/i&gt; 23, no. 3 (2016): 470."},"properties":{"noteIndex":43},"schema":"https://github.com/citation-style-language/schema/raw/master/csl-citation.json"}</w:instrText>
      </w:r>
      <w:r>
        <w:fldChar w:fldCharType="separate"/>
      </w:r>
      <w:r w:rsidRPr="00D472D5">
        <w:rPr>
          <w:noProof/>
        </w:rPr>
        <w:t xml:space="preserve">Ishviati Joenaini Koenti, “Diskresi Dalam Penanggulangan Bencana Di DIY Dengan Paradigma Kontinjensi,” </w:t>
      </w:r>
      <w:r w:rsidRPr="00D472D5">
        <w:rPr>
          <w:i/>
          <w:noProof/>
        </w:rPr>
        <w:t>Jurnal Ius Quia Iustum</w:t>
      </w:r>
      <w:r w:rsidRPr="00D472D5">
        <w:rPr>
          <w:noProof/>
        </w:rPr>
        <w:t xml:space="preserve"> 23, no. 3 (2016): </w:t>
      </w:r>
      <w:r>
        <w:rPr>
          <w:noProof/>
        </w:rPr>
        <w:t>[</w:t>
      </w:r>
      <w:r w:rsidRPr="00D472D5">
        <w:rPr>
          <w:noProof/>
        </w:rPr>
        <w:t>470</w:t>
      </w:r>
      <w:r>
        <w:rPr>
          <w:noProof/>
        </w:rPr>
        <w:t>]</w:t>
      </w:r>
      <w:r w:rsidRPr="00D472D5">
        <w:rPr>
          <w:noProof/>
        </w:rPr>
        <w:t>.</w:t>
      </w:r>
      <w:r>
        <w:fldChar w:fldCharType="end"/>
      </w:r>
    </w:p>
  </w:footnote>
  <w:footnote w:id="44">
    <w:p w:rsidR="00BC288F" w:rsidRPr="00BC288F" w:rsidRDefault="00BC288F" w:rsidP="005B65D7">
      <w:pPr>
        <w:pStyle w:val="FootnoteText"/>
        <w:ind w:firstLine="567"/>
        <w:jc w:val="both"/>
      </w:pPr>
      <w:r>
        <w:rPr>
          <w:rStyle w:val="FootnoteReference"/>
        </w:rPr>
        <w:footnoteRef/>
      </w:r>
      <w:r>
        <w:t>Academic Paper on Government Administration Bill, [54]</w:t>
      </w:r>
    </w:p>
  </w:footnote>
  <w:footnote w:id="45">
    <w:p w:rsidR="00BC288F" w:rsidRDefault="00BC288F" w:rsidP="005B65D7">
      <w:pPr>
        <w:pStyle w:val="FootnoteText"/>
        <w:ind w:firstLine="567"/>
        <w:jc w:val="both"/>
      </w:pPr>
      <w:r>
        <w:rPr>
          <w:rStyle w:val="FootnoteReference"/>
        </w:rPr>
        <w:footnoteRef/>
      </w:r>
      <w:r>
        <w:t xml:space="preserve"> </w:t>
      </w:r>
      <w:proofErr w:type="spellStart"/>
      <w:r w:rsidRPr="00BC288F">
        <w:rPr>
          <w:i/>
          <w:iCs/>
        </w:rPr>
        <w:t>Loc.Cit</w:t>
      </w:r>
      <w:proofErr w:type="spellEnd"/>
      <w:r w:rsidRPr="00BC288F">
        <w:rPr>
          <w:i/>
          <w:iCs/>
        </w:rPr>
        <w:t>,</w:t>
      </w:r>
      <w:r>
        <w:t xml:space="preserve"> Muhammad Aziz </w:t>
      </w:r>
      <w:proofErr w:type="spellStart"/>
      <w:r>
        <w:t>Zaelani</w:t>
      </w:r>
      <w:proofErr w:type="spellEnd"/>
      <w:r>
        <w:t xml:space="preserve"> and i </w:t>
      </w:r>
      <w:proofErr w:type="spellStart"/>
      <w:r>
        <w:t>Gusti</w:t>
      </w:r>
      <w:proofErr w:type="spellEnd"/>
      <w:r>
        <w:t xml:space="preserve"> </w:t>
      </w:r>
      <w:proofErr w:type="spellStart"/>
      <w:r>
        <w:t>Ketut</w:t>
      </w:r>
      <w:proofErr w:type="spellEnd"/>
      <w:r>
        <w:t xml:space="preserve"> </w:t>
      </w:r>
      <w:proofErr w:type="spellStart"/>
      <w:r>
        <w:t>Ayu</w:t>
      </w:r>
      <w:proofErr w:type="spellEnd"/>
      <w:r>
        <w:t xml:space="preserve"> </w:t>
      </w:r>
      <w:proofErr w:type="spellStart"/>
      <w:r>
        <w:t>Rachmi</w:t>
      </w:r>
      <w:proofErr w:type="spellEnd"/>
      <w:r>
        <w:t xml:space="preserve"> </w:t>
      </w:r>
      <w:proofErr w:type="spellStart"/>
      <w:r>
        <w:t>Handayani</w:t>
      </w:r>
      <w:proofErr w:type="spellEnd"/>
      <w:r>
        <w:t>, [462]</w:t>
      </w:r>
    </w:p>
  </w:footnote>
  <w:footnote w:id="46">
    <w:p w:rsidR="00BC288F" w:rsidRPr="00BC288F" w:rsidRDefault="00BC288F" w:rsidP="005B65D7">
      <w:pPr>
        <w:pStyle w:val="FootnoteText"/>
        <w:ind w:firstLine="567"/>
        <w:jc w:val="both"/>
        <w:rPr>
          <w:i/>
          <w:iCs/>
        </w:rPr>
      </w:pPr>
      <w:r>
        <w:rPr>
          <w:rStyle w:val="FootnoteReference"/>
        </w:rPr>
        <w:footnoteRef/>
      </w:r>
      <w:r>
        <w:t xml:space="preserve"> </w:t>
      </w:r>
      <w:r>
        <w:rPr>
          <w:i/>
          <w:iCs/>
        </w:rPr>
        <w:t>Ibid</w:t>
      </w:r>
    </w:p>
  </w:footnote>
  <w:footnote w:id="47">
    <w:p w:rsidR="00BC288F" w:rsidRDefault="00BC288F"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{"citationItems":[{"id":"ITEM-1","itemData":{"author":[{"dropping-particle":"","family":"Sjahran Basah","given":"","non-dropping-particle":"","parse-names":false,"suffix":""}],"id":"ITEM-1","issued":{"date-parts":[["1992"]]},"number-of-pages":"3","publisher":"Alumni","publisher-place":"Bandung","title":"Perlindungan Hukum Terhadap Sikap Tindakan Administrasi Negara","type":"book"},"uris":["http://www.mendeley.com/documents/?uuid=bafa8aba-4b74-4081-82cd-57d668d76d79"]}],"mendeley":{"formattedCitation":"Sjahran Basah, &lt;i&gt;Perlindungan Hukum Terhadap Sikap Tindakan Administrasi Negara&lt;/i&gt; (Bandung: Alumni, 1992).","plainTextFormattedCitation":"Sjahran Basah, Perlindungan Hukum Terhadap Sikap Tindakan Administrasi Negara (Bandung: Alumni, 1992).","previouslyFormattedCitation":"Sjahran Basah, &lt;i&gt;Perlindungan Hukum Terhadap Sikap Tindakan Administrasi Negara&lt;/i&gt; (Bandung: Alumni, 1992)."},"properties":{"noteIndex":47},"schema":"https://github.com/citation-style-language/schema/raw/master/csl-citation.json"}</w:instrText>
      </w:r>
      <w:r>
        <w:fldChar w:fldCharType="separate"/>
      </w:r>
      <w:r w:rsidRPr="00BC288F">
        <w:rPr>
          <w:noProof/>
        </w:rPr>
        <w:t xml:space="preserve">Sjahran Basah, </w:t>
      </w:r>
      <w:r w:rsidRPr="00BC288F">
        <w:rPr>
          <w:i/>
          <w:noProof/>
        </w:rPr>
        <w:t>Perlindungan Hukum Terhadap Sikap Tindakan Administrasi Negara</w:t>
      </w:r>
      <w:r w:rsidRPr="00BC288F">
        <w:rPr>
          <w:noProof/>
        </w:rPr>
        <w:t xml:space="preserve"> (Bandung: Alumni, 1992).</w:t>
      </w:r>
      <w:r>
        <w:fldChar w:fldCharType="end"/>
      </w:r>
      <w:r>
        <w:t xml:space="preserve"> [3]</w:t>
      </w:r>
    </w:p>
  </w:footnote>
  <w:footnote w:id="48">
    <w:p w:rsidR="00BC288F" w:rsidRDefault="00BC288F"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{"citationItems":[{"id":"ITEM-1","itemData":{"author":[{"dropping-particle":"","family":"Rifqi Ridlo Phahlevy &amp; Aidul Fitriciada Azhari","given":"","non-dropping-particle":"","parse-names":false,"suffix":""}],"container-title":"Jurnal Arena Hukum","id":"ITEM-1","issue":"3","issued":{"date-parts":[["2019"]]},"page":"580","title":"Pergeseran Paradigma Peradilan Tata Usaha Negara di Indonesia dan Belanda","type":"article-journal","volume":"12"},"uris":["http://www.mendeley.com/documents/?uuid=d2e0d393-c072-4278-99e2-f404880bc9d5"]}],"mendeley":{"formattedCitation":"Rifqi Ridlo Phahlevy &amp; Aidul Fitriciada Azhari, “Pergeseran Paradigma Peradilan Tata Usaha Negara Di Indonesia Dan Belanda,” &lt;i&gt;Jurnal Arena Hukum&lt;/i&gt; 12, no. 3 (2019): 580.","manualFormatting":"Rifqi Ridlo Phahlevy &amp; Aidul Fitriciada Azhari, “Pergeseran Paradigma Peradilan Tata Usaha Negara Di Indonesia Dan Belanda,” Jurnal Arena Hukum, Vol. 12, no. 3 (2019): [580].","plainTextFormattedCitation":"Rifqi Ridlo Phahlevy &amp; Aidul Fitriciada Azhari, “Pergeseran Paradigma Peradilan Tata Usaha Negara Di Indonesia Dan Belanda,” Jurnal Arena Hukum 12, no. 3 (2019): 580.","previouslyFormattedCitation":"Rifqi Ridlo Phahlevy &amp; Aidul Fitriciada Azhari, “Pergeseran Paradigma Peradilan Tata Usaha Negara Di Indonesia Dan Belanda,” &lt;i&gt;Jurnal Arena Hukum&lt;/i&gt; 12, no. 3 (2019): 580."},"properties":{"noteIndex":48},"schema":"https://github.com/citation-style-language/schema/raw/master/csl-citation.json"}</w:instrText>
      </w:r>
      <w:r>
        <w:fldChar w:fldCharType="separate"/>
      </w:r>
      <w:r w:rsidRPr="00BC288F">
        <w:rPr>
          <w:noProof/>
        </w:rPr>
        <w:t xml:space="preserve">Rifqi Ridlo Phahlevy &amp; Aidul Fitriciada Azhari, “Pergeseran Paradigma Peradilan Tata Usaha Negara Di Indonesia Dan Belanda,” </w:t>
      </w:r>
      <w:r w:rsidRPr="00BC288F">
        <w:rPr>
          <w:i/>
          <w:noProof/>
        </w:rPr>
        <w:t>Jurnal Arena Hukum</w:t>
      </w:r>
      <w:r>
        <w:rPr>
          <w:i/>
          <w:noProof/>
        </w:rPr>
        <w:t xml:space="preserve">, </w:t>
      </w:r>
      <w:r>
        <w:rPr>
          <w:iCs/>
          <w:noProof/>
        </w:rPr>
        <w:t>Vol.</w:t>
      </w:r>
      <w:r w:rsidRPr="00BC288F">
        <w:rPr>
          <w:noProof/>
        </w:rPr>
        <w:t xml:space="preserve"> 12, no. 3 (2019): </w:t>
      </w:r>
      <w:r>
        <w:rPr>
          <w:noProof/>
        </w:rPr>
        <w:t>[</w:t>
      </w:r>
      <w:r w:rsidRPr="00BC288F">
        <w:rPr>
          <w:noProof/>
        </w:rPr>
        <w:t>580</w:t>
      </w:r>
      <w:r>
        <w:rPr>
          <w:noProof/>
        </w:rPr>
        <w:t>]</w:t>
      </w:r>
      <w:r w:rsidRPr="00BC288F">
        <w:rPr>
          <w:noProof/>
        </w:rPr>
        <w:t>.</w:t>
      </w:r>
      <w:r>
        <w:fldChar w:fldCharType="end"/>
      </w:r>
    </w:p>
  </w:footnote>
  <w:footnote w:id="49">
    <w:p w:rsidR="00BC288F" w:rsidRDefault="00BC288F"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{"citationItems":[{"id":"ITEM-1","itemData":{"author":[{"dropping-particle":"","family":"I Gusti Ayu Apsari Hadi","given":"","non-dropping-particle":"","parse-names":false,"suffix":""}],"container-title":"Jurnal Ilmiah Fakultas Hukum Universitas Udayana","id":"ITEM-1","issue":"1","issued":{"date-parts":[["2017"]]},"page":"39","title":"Pertanggungjawaban Pejabat Pemerintahan Dalam Tindakan Diskresi Pasca Berlakunya Undang-Undang No. 30 Tahun 2014 Tentang Administrasi Pemerintahan","type":"article-journal","volume":"39"},"uris":["http://www.mendeley.com/documents/?uuid=f80d6776-fb7c-47d3-8d24-20d47f6bdce5"]}],"mendeley":{"formattedCitation":"I Gusti Ayu Apsari Hadi, “Pertanggungjawaban Pejabat Pemerintahan Dalam Tindakan Diskresi Pasca Berlakunya Undang-Undang No. 30 Tahun 2014 Tentang Administrasi Pemerintahan,” &lt;i&gt;Jurnal Ilmiah Fakultas Hukum Universitas Udayana&lt;/i&gt; 39, no. 1 (2017): 39.","manualFormatting":"I Gusti Ayu Apsari Hadi, “Pertanggungjawaban Pejabat Pemerintahan Dalam Tindakan Diskresi Pasca Berlakunya Undang-Undang No. 30 Tahun 2014 Tentang Administrasi Pemerintahan,” Jurnal Ilmiah Fakultas Hukum Universitas Udayana, Vol. 39, no. 1 (2017): [39].","plainTextFormattedCitation":"I Gusti Ayu Apsari Hadi, “Pertanggungjawaban Pejabat Pemerintahan Dalam Tindakan Diskresi Pasca Berlakunya Undang-Undang No. 30 Tahun 2014 Tentang Administrasi Pemerintahan,” Jurnal Ilmiah Fakultas Hukum Universitas Udayana 39, no. 1 (2017): 39.","previouslyFormattedCitation":"I Gusti Ayu Apsari Hadi, “Pertanggungjawaban Pejabat Pemerintahan Dalam Tindakan Diskresi Pasca Berlakunya Undang-Undang No. 30 Tahun 2014 Tentang Administrasi Pemerintahan,” &lt;i&gt;Jurnal Ilmiah Fakultas Hukum Universitas Udayana&lt;/i&gt; 39, no. 1 (2017): 39."},"properties":{"noteIndex":49},"schema":"https://github.com/citation-style-language/schema/raw/master/csl-citation.json"}</w:instrText>
      </w:r>
      <w:r>
        <w:fldChar w:fldCharType="separate"/>
      </w:r>
      <w:r w:rsidRPr="00BC288F">
        <w:rPr>
          <w:noProof/>
        </w:rPr>
        <w:t xml:space="preserve">I Gusti Ayu Apsari Hadi, “Pertanggungjawaban Pejabat Pemerintahan Dalam Tindakan Diskresi Pasca Berlakunya Undang-Undang No. 30 Tahun 2014 Tentang Administrasi Pemerintahan,” </w:t>
      </w:r>
      <w:r w:rsidRPr="00BC288F">
        <w:rPr>
          <w:i/>
          <w:noProof/>
        </w:rPr>
        <w:t>Jurnal Ilmiah Fakultas Hukum Universitas Udayana</w:t>
      </w:r>
      <w:r>
        <w:rPr>
          <w:i/>
          <w:noProof/>
        </w:rPr>
        <w:t xml:space="preserve">, </w:t>
      </w:r>
      <w:r>
        <w:rPr>
          <w:iCs/>
          <w:noProof/>
        </w:rPr>
        <w:t>Vol.</w:t>
      </w:r>
      <w:r w:rsidRPr="00BC288F">
        <w:rPr>
          <w:noProof/>
        </w:rPr>
        <w:t xml:space="preserve"> 39, no. 1 (2017): </w:t>
      </w:r>
      <w:r>
        <w:rPr>
          <w:noProof/>
        </w:rPr>
        <w:t>[</w:t>
      </w:r>
      <w:r w:rsidRPr="00BC288F">
        <w:rPr>
          <w:noProof/>
        </w:rPr>
        <w:t>39</w:t>
      </w:r>
      <w:r>
        <w:rPr>
          <w:noProof/>
        </w:rPr>
        <w:t>]</w:t>
      </w:r>
      <w:r w:rsidRPr="00BC288F">
        <w:rPr>
          <w:noProof/>
        </w:rPr>
        <w:t>.</w:t>
      </w:r>
      <w:r>
        <w:fldChar w:fldCharType="end"/>
      </w:r>
    </w:p>
  </w:footnote>
  <w:footnote w:id="50">
    <w:p w:rsidR="00BC288F" w:rsidRDefault="00BC288F" w:rsidP="005B65D7">
      <w:pPr>
        <w:pStyle w:val="FootnoteText"/>
        <w:ind w:firstLine="567"/>
        <w:jc w:val="both"/>
      </w:pPr>
      <w:r>
        <w:rPr>
          <w:rStyle w:val="FootnoteReference"/>
        </w:rPr>
        <w:footnoteRef/>
      </w:r>
      <w:r>
        <w:t xml:space="preserve"> </w:t>
      </w:r>
      <w:r>
        <w:fldChar w:fldCharType="begin" w:fldLock="1"/>
      </w:r>
      <w:r w:rsidR="009D6D7D">
        <w:instrText>ADDIN CSL_CITATION {"citationItems":[{"id":"ITEM-1","itemData":{"author":[{"dropping-particle":"","family":"Agus Budi Susilo","given":"","non-dropping-particle":"","parse-names":false,"suffix":""}],"container-title":"Jurnal Hukum dan Peradilan","id":"ITEM-1","issue":"1","issued":{"date-parts":[["2015"]]},"page":"134","title":"Makna dan Kriteria Diskresi Keputusan dan/atau Tindakan Pejabat Publik dalam Mewujudkan Pemeritahan Yang Baik","type":"article-journal","volume":"4"},"uris":["http://www.mendeley.com/documents/?uuid=f15bd4a4-32ca-4425-a388-3d0188d6778c"]}],"mendeley":{"formattedCitation":"Agus Budi Susilo, “Makna Dan Kriteria Diskresi Keputusan Dan/Atau Tindakan Pejabat Publik Dalam Mewujudkan Pemeritahan Yang Baik,” &lt;i&gt;Jurnal Hukum Dan Peradilan&lt;/i&gt; 4, no. 1 (2015): 134.","manualFormatting":"Agus Budi Susilo, “Makna Dan Kriteria Diskresi Keputusan Dan/Atau Tindakan Pejabat Publik Dalam Mewujudkan Pemeritahan Yang Baik,” Jurnal Hukum Dan Peradilan, Vol. 4, no. 1 (2015): [134].","plainTextFormattedCitation":"Agus Budi Susilo, “Makna Dan Kriteria Diskresi Keputusan Dan/Atau Tindakan Pejabat Publik Dalam Mewujudkan Pemeritahan Yang Baik,” Jurnal Hukum Dan Peradilan 4, no. 1 (2015): 134.","previouslyFormattedCitation":"Agus Budi Susilo, “Makna Dan Kriteria Diskresi Keputusan Dan/Atau Tindakan Pejabat Publik Dalam Mewujudkan Pemeritahan Yang Baik,” &lt;i&gt;Jurnal Hukum Dan Peradilan&lt;/i&gt; 4, no. 1 (2015): 134."},"properties":{"noteIndex":50},"schema":"https://github.com/citation-style-language/schema/raw/master/csl-citation.json"}</w:instrText>
      </w:r>
      <w:r>
        <w:fldChar w:fldCharType="separate"/>
      </w:r>
      <w:r w:rsidRPr="00BC288F">
        <w:rPr>
          <w:noProof/>
        </w:rPr>
        <w:t xml:space="preserve">Agus Budi Susilo, “Makna Dan Kriteria Diskresi Keputusan Dan/Atau Tindakan Pejabat Publik Dalam Mewujudkan Pemeritahan Yang Baik,” </w:t>
      </w:r>
      <w:r w:rsidRPr="00BC288F">
        <w:rPr>
          <w:i/>
          <w:noProof/>
        </w:rPr>
        <w:t>Jurnal Hukum Dan Peradilan</w:t>
      </w:r>
      <w:r>
        <w:rPr>
          <w:i/>
          <w:noProof/>
        </w:rPr>
        <w:t xml:space="preserve">, </w:t>
      </w:r>
      <w:r>
        <w:rPr>
          <w:iCs/>
          <w:noProof/>
        </w:rPr>
        <w:t>Vol.</w:t>
      </w:r>
      <w:r w:rsidRPr="00BC288F">
        <w:rPr>
          <w:noProof/>
        </w:rPr>
        <w:t xml:space="preserve"> 4, no. 1 (2015): </w:t>
      </w:r>
      <w:r>
        <w:rPr>
          <w:noProof/>
        </w:rPr>
        <w:t>[</w:t>
      </w:r>
      <w:r w:rsidRPr="00BC288F">
        <w:rPr>
          <w:noProof/>
        </w:rPr>
        <w:t>134</w:t>
      </w:r>
      <w:r>
        <w:rPr>
          <w:noProof/>
        </w:rPr>
        <w:t>]</w:t>
      </w:r>
      <w:r w:rsidRPr="00BC288F">
        <w:rPr>
          <w:noProof/>
        </w:rPr>
        <w:t>.</w:t>
      </w:r>
      <w:r>
        <w:fldChar w:fldCharType="end"/>
      </w:r>
    </w:p>
  </w:footnote>
  <w:footnote w:id="51">
    <w:p w:rsidR="009D6D7D" w:rsidRPr="009D6D7D" w:rsidRDefault="009D6D7D" w:rsidP="005B65D7">
      <w:pPr>
        <w:pStyle w:val="FootnoteText"/>
        <w:ind w:firstLine="567"/>
        <w:jc w:val="both"/>
        <w:rPr>
          <w:i/>
          <w:iCs/>
        </w:rPr>
      </w:pPr>
      <w:r>
        <w:rPr>
          <w:rStyle w:val="FootnoteReference"/>
        </w:rPr>
        <w:footnoteRef/>
      </w:r>
      <w:r>
        <w:t xml:space="preserve"> </w:t>
      </w:r>
      <w:r>
        <w:rPr>
          <w:i/>
          <w:iCs/>
        </w:rPr>
        <w:t>Ibid</w:t>
      </w:r>
    </w:p>
  </w:footnote>
  <w:footnote w:id="52">
    <w:p w:rsidR="009D6D7D" w:rsidRPr="009D6D7D" w:rsidRDefault="009D6D7D" w:rsidP="005B65D7">
      <w:pPr>
        <w:pStyle w:val="FootnoteText"/>
        <w:ind w:firstLine="567"/>
        <w:jc w:val="both"/>
      </w:pPr>
      <w:r>
        <w:rPr>
          <w:rStyle w:val="FootnoteReference"/>
        </w:rPr>
        <w:footnoteRef/>
      </w:r>
      <w:r>
        <w:t xml:space="preserve"> </w:t>
      </w:r>
      <w:r>
        <w:rPr>
          <w:i/>
          <w:iCs/>
        </w:rPr>
        <w:t xml:space="preserve">Ibid, </w:t>
      </w:r>
      <w:r>
        <w:t>[151]</w:t>
      </w:r>
    </w:p>
  </w:footnote>
  <w:footnote w:id="53">
    <w:p w:rsidR="009D6D7D" w:rsidRDefault="009D6D7D"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{"citationItems":[{"id":"ITEM-1","itemData":{"author":[{"dropping-particle":"","family":"Victor Imanuel W. Nalle","given":"","non-dropping-particle":"","parse-names":false,"suffix":""}],"container-title":"Hasanuddin Law Review","id":"ITEM-1","issue":"1","issued":{"date-parts":[["2018"]]},"page":"5","title":"The Scope of Discretion in Government Administration Law, Constitutional or Unconstitutional?","type":"article-journal","volume":"4"},"uris":["http://www.mendeley.com/documents/?uuid=f1b10666-7a81-492a-8055-e1521f867344"]}],"mendeley":{"formattedCitation":"Victor Imanuel W. Nalle, “The Scope of Discretion in Government Administration Law, Constitutional or Unconstitutional?,” &lt;i&gt;Hasanuddin Law Review&lt;/i&gt; 4, no. 1 (2018): 5.","manualFormatting":"Victor Imanuel W. Nalle, “The Scope of Discretion in Government Administration Law, Constitutional or Unconstitutional?,” Hasanuddin Law Review, Vol 4, no. 1 (2018): [5].","plainTextFormattedCitation":"Victor Imanuel W. Nalle, “The Scope of Discretion in Government Administration Law, Constitutional or Unconstitutional?,” Hasanuddin Law Review 4, no. 1 (2018): 5.","previouslyFormattedCitation":"Victor Imanuel W. Nalle, “The Scope of Discretion in Government Administration Law, Constitutional or Unconstitutional?,” &lt;i&gt;Hasanuddin Law Review&lt;/i&gt; 4, no. 1 (2018): 5."},"properties":{"noteIndex":53},"schema":"https://github.com/citation-style-language/schema/raw/master/csl-citation.json"}</w:instrText>
      </w:r>
      <w:r>
        <w:fldChar w:fldCharType="separate"/>
      </w:r>
      <w:r w:rsidRPr="009D6D7D">
        <w:rPr>
          <w:noProof/>
        </w:rPr>
        <w:t xml:space="preserve">Victor Imanuel W. Nalle, “The Scope of Discretion in Government Administration Law, Constitutional or Unconstitutional?,” </w:t>
      </w:r>
      <w:r w:rsidRPr="009D6D7D">
        <w:rPr>
          <w:i/>
          <w:noProof/>
        </w:rPr>
        <w:t>Hasanuddin Law Review</w:t>
      </w:r>
      <w:r>
        <w:rPr>
          <w:i/>
          <w:noProof/>
        </w:rPr>
        <w:t xml:space="preserve">, </w:t>
      </w:r>
      <w:r>
        <w:rPr>
          <w:iCs/>
          <w:noProof/>
        </w:rPr>
        <w:t>Vol</w:t>
      </w:r>
      <w:r w:rsidRPr="009D6D7D">
        <w:rPr>
          <w:noProof/>
        </w:rPr>
        <w:t xml:space="preserve"> 4, no. 1 (2018): </w:t>
      </w:r>
      <w:r>
        <w:rPr>
          <w:noProof/>
        </w:rPr>
        <w:t>[</w:t>
      </w:r>
      <w:r w:rsidRPr="009D6D7D">
        <w:rPr>
          <w:noProof/>
        </w:rPr>
        <w:t>5</w:t>
      </w:r>
      <w:r>
        <w:rPr>
          <w:noProof/>
        </w:rPr>
        <w:t>]</w:t>
      </w:r>
      <w:r w:rsidRPr="009D6D7D">
        <w:rPr>
          <w:noProof/>
        </w:rPr>
        <w:t>.</w:t>
      </w:r>
      <w:r>
        <w:fldChar w:fldCharType="end"/>
      </w:r>
    </w:p>
  </w:footnote>
  <w:footnote w:id="54">
    <w:p w:rsidR="009D6D7D" w:rsidRDefault="009D6D7D"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{"citationItems":[{"id":"ITEM-1","itemData":{"author":[{"dropping-particle":"","family":"Dola Riza","given":"","non-dropping-particle":"","parse-names":false,"suffix":""}],"container-title":"Jurnal Bina Mulia Hukum","id":"ITEM-1","issue":"1","issued":{"date-parts":[["2018"]]},"page":"88","title":"Keputusan Tata Usaha Negara Menurut Undang-Undang Peradilan Tata Usaha Negara dan Undang-Undang Administrasi Pemerintahan","type":"article-journal","volume":"3"},"uris":["http://www.mendeley.com/documents/?uuid=3ac52223-0e70-429c-b132-6461b9cd864d"]}],"mendeley":{"formattedCitation":"Dola Riza, “Keputusan Tata Usaha Negara Menurut Undang-Undang Peradilan Tata Usaha Negara Dan Undang-Undang Administrasi Pemerintahan,” &lt;i&gt;Jurnal Bina Mulia Hukum&lt;/i&gt; 3, no. 1 (2018): 88.","manualFormatting":"Dola Riza, “Keputusan Tata Usaha Negara Menurut Undang-Undang Peradilan Tata Usaha Negara Dan Undang-Undang Administrasi Pemerintahan,” Jurnal Bina Mulia Hukum, Vol. 3, no. 1 (2018): [88].","plainTextFormattedCitation":"Dola Riza, “Keputusan Tata Usaha Negara Menurut Undang-Undang Peradilan Tata Usaha Negara Dan Undang-Undang Administrasi Pemerintahan,” Jurnal Bina Mulia Hukum 3, no. 1 (2018): 88.","previouslyFormattedCitation":"Dola Riza, “Keputusan Tata Usaha Negara Menurut Undang-Undang Peradilan Tata Usaha Negara Dan Undang-Undang Administrasi Pemerintahan,” &lt;i&gt;Jurnal Bina Mulia Hukum&lt;/i&gt; 3, no. 1 (2018): 88."},"properties":{"noteIndex":54},"schema":"https://github.com/citation-style-language/schema/raw/master/csl-citation.json"}</w:instrText>
      </w:r>
      <w:r>
        <w:fldChar w:fldCharType="separate"/>
      </w:r>
      <w:r w:rsidRPr="009D6D7D">
        <w:rPr>
          <w:noProof/>
        </w:rPr>
        <w:t xml:space="preserve">Dola Riza, “Keputusan Tata Usaha Negara Menurut Undang-Undang Peradilan Tata Usaha Negara Dan Undang-Undang Administrasi Pemerintahan,” </w:t>
      </w:r>
      <w:r w:rsidRPr="009D6D7D">
        <w:rPr>
          <w:i/>
          <w:noProof/>
        </w:rPr>
        <w:t>Jurnal Bina Mulia Hukum</w:t>
      </w:r>
      <w:r>
        <w:rPr>
          <w:i/>
          <w:noProof/>
        </w:rPr>
        <w:t xml:space="preserve">, </w:t>
      </w:r>
      <w:r>
        <w:rPr>
          <w:iCs/>
          <w:noProof/>
        </w:rPr>
        <w:t>Vol.</w:t>
      </w:r>
      <w:r w:rsidRPr="009D6D7D">
        <w:rPr>
          <w:noProof/>
        </w:rPr>
        <w:t xml:space="preserve"> 3, no. 1 (2018): </w:t>
      </w:r>
      <w:r>
        <w:rPr>
          <w:noProof/>
        </w:rPr>
        <w:t>[</w:t>
      </w:r>
      <w:r w:rsidRPr="009D6D7D">
        <w:rPr>
          <w:noProof/>
        </w:rPr>
        <w:t>88</w:t>
      </w:r>
      <w:r>
        <w:rPr>
          <w:noProof/>
        </w:rPr>
        <w:t>]</w:t>
      </w:r>
      <w:r w:rsidRPr="009D6D7D">
        <w:rPr>
          <w:noProof/>
        </w:rPr>
        <w:t>.</w:t>
      </w:r>
      <w:r>
        <w:fldChar w:fldCharType="end"/>
      </w:r>
    </w:p>
  </w:footnote>
  <w:footnote w:id="55">
    <w:p w:rsidR="009D6D7D" w:rsidRPr="009D6D7D" w:rsidRDefault="009D6D7D" w:rsidP="005B65D7">
      <w:pPr>
        <w:pStyle w:val="FootnoteText"/>
        <w:ind w:firstLine="567"/>
        <w:jc w:val="both"/>
        <w:rPr>
          <w:i/>
          <w:iCs/>
        </w:rPr>
      </w:pPr>
      <w:r>
        <w:rPr>
          <w:rStyle w:val="FootnoteReference"/>
        </w:rPr>
        <w:footnoteRef/>
      </w:r>
      <w:r>
        <w:t xml:space="preserve"> </w:t>
      </w:r>
      <w:r>
        <w:rPr>
          <w:i/>
          <w:iCs/>
        </w:rPr>
        <w:t>Ibid</w:t>
      </w:r>
    </w:p>
  </w:footnote>
  <w:footnote w:id="56">
    <w:p w:rsidR="009D6D7D" w:rsidRDefault="009D6D7D" w:rsidP="005B65D7">
      <w:pPr>
        <w:pStyle w:val="FootnoteText"/>
        <w:ind w:firstLine="567"/>
        <w:jc w:val="both"/>
      </w:pPr>
      <w:r>
        <w:rPr>
          <w:rStyle w:val="FootnoteReference"/>
        </w:rPr>
        <w:footnoteRef/>
      </w:r>
      <w:r>
        <w:t xml:space="preserve"> </w:t>
      </w:r>
      <w:r>
        <w:fldChar w:fldCharType="begin" w:fldLock="1"/>
      </w:r>
      <w:r w:rsidR="00693C0F">
        <w:instrText>ADDIN CSL_CITATION {"citationItems":[{"id":"ITEM-1","itemData":{"author":[{"dropping-particle":"","family":"Bagus Oktafian Abrianto","given":"et-al","non-dropping-particle":"","parse-names":false,"suffix":""}],"container-title":"Jurnal Arena Hukum","id":"ITEM-1","issue":"3","issued":{"date-parts":[["2023"]]},"page":"534","title":"Problematika Keputusan Tata Usaha Negara yang Bersifat Fiktif Positif Setelah Undang-Undang Nomor 11 Tahun 2020","type":"article-journal","volume":"16"},"uris":["http://www.mendeley.com/documents/?uuid=263cafb7-7214-4df7-b8e8-2f35db5f98fa"]}],"mendeley":{"formattedCitation":"et-al Bagus Oktafian Abrianto, “Problematika Keputusan Tata Usaha Negara Yang Bersifat Fiktif Positif Setelah Undang-Undang Nomor 11 Tahun 2020,” &lt;i&gt;Jurnal Arena Hukum&lt;/i&gt; 16, no. 3 (2023): 534.","manualFormatting":"Bagus Oktafian Abrianto,  et-al, “Problematika Keputusan Tata Usaha Negara Yang Bersifat Fiktif Positif Setelah Undang-Undang Nomor 11 Tahun 2020,” Jurnal Arena Hukum , Vol. 16, no. 3 (2023): [534].","plainTextFormattedCitation":"et-al Bagus Oktafian Abrianto, “Problematika Keputusan Tata Usaha Negara Yang Bersifat Fiktif Positif Setelah Undang-Undang Nomor 11 Tahun 2020,” Jurnal Arena Hukum 16, no. 3 (2023): 534.","previouslyFormattedCitation":"et-al Bagus Oktafian Abrianto, “Problematika Keputusan Tata Usaha Negara Yang Bersifat Fiktif Positif Setelah Undang-Undang Nomor 11 Tahun 2020,” &lt;i&gt;Jurnal Arena Hukum&lt;/i&gt; 16, no. 3 (2023): 534."},"properties":{"noteIndex":56},"schema":"https://github.com/citation-style-language/schema/raw/master/csl-citation.json"}</w:instrText>
      </w:r>
      <w:r>
        <w:fldChar w:fldCharType="separate"/>
      </w:r>
      <w:r w:rsidRPr="009D6D7D">
        <w:rPr>
          <w:noProof/>
        </w:rPr>
        <w:t xml:space="preserve">Bagus Oktafian Abrianto, </w:t>
      </w:r>
      <w:r w:rsidR="00693C0F">
        <w:rPr>
          <w:noProof/>
        </w:rPr>
        <w:t xml:space="preserve"> </w:t>
      </w:r>
      <w:r w:rsidR="00693C0F" w:rsidRPr="009D6D7D">
        <w:rPr>
          <w:noProof/>
        </w:rPr>
        <w:t>et-al</w:t>
      </w:r>
      <w:r w:rsidR="00693C0F">
        <w:rPr>
          <w:noProof/>
        </w:rPr>
        <w:t>,</w:t>
      </w:r>
      <w:r w:rsidR="00693C0F" w:rsidRPr="009D6D7D">
        <w:rPr>
          <w:noProof/>
        </w:rPr>
        <w:t xml:space="preserve"> </w:t>
      </w:r>
      <w:r w:rsidRPr="009D6D7D">
        <w:rPr>
          <w:noProof/>
        </w:rPr>
        <w:t xml:space="preserve">“Problematika Keputusan Tata Usaha Negara Yang Bersifat Fiktif Positif Setelah Undang-Undang Nomor 11 Tahun 2020,” </w:t>
      </w:r>
      <w:r w:rsidRPr="009D6D7D">
        <w:rPr>
          <w:i/>
          <w:noProof/>
        </w:rPr>
        <w:t>Jurnal Arena Hukum</w:t>
      </w:r>
      <w:r w:rsidRPr="009D6D7D">
        <w:rPr>
          <w:noProof/>
        </w:rPr>
        <w:t xml:space="preserve"> </w:t>
      </w:r>
      <w:r>
        <w:rPr>
          <w:noProof/>
        </w:rPr>
        <w:t xml:space="preserve">, Vol. </w:t>
      </w:r>
      <w:r w:rsidRPr="009D6D7D">
        <w:rPr>
          <w:noProof/>
        </w:rPr>
        <w:t xml:space="preserve">16, no. 3 (2023): </w:t>
      </w:r>
      <w:r>
        <w:rPr>
          <w:noProof/>
        </w:rPr>
        <w:t>[</w:t>
      </w:r>
      <w:r w:rsidRPr="009D6D7D">
        <w:rPr>
          <w:noProof/>
        </w:rPr>
        <w:t>534</w:t>
      </w:r>
      <w:r>
        <w:rPr>
          <w:noProof/>
        </w:rPr>
        <w:t>]</w:t>
      </w:r>
      <w:r w:rsidRPr="009D6D7D">
        <w:rPr>
          <w:noProof/>
        </w:rPr>
        <w:t>.</w:t>
      </w:r>
      <w:r>
        <w:fldChar w:fldCharType="end"/>
      </w:r>
    </w:p>
  </w:footnote>
  <w:footnote w:id="57">
    <w:p w:rsidR="009D6D7D" w:rsidRPr="009D6D7D" w:rsidRDefault="009D6D7D" w:rsidP="005B65D7">
      <w:pPr>
        <w:pStyle w:val="FootnoteText"/>
        <w:ind w:firstLine="567"/>
        <w:jc w:val="both"/>
      </w:pPr>
      <w:r>
        <w:rPr>
          <w:rStyle w:val="FootnoteReference"/>
        </w:rPr>
        <w:footnoteRef/>
      </w:r>
      <w:r>
        <w:t xml:space="preserve"> </w:t>
      </w:r>
      <w:proofErr w:type="spellStart"/>
      <w:r>
        <w:rPr>
          <w:i/>
          <w:iCs/>
        </w:rPr>
        <w:t>Loc.Cit</w:t>
      </w:r>
      <w:proofErr w:type="spellEnd"/>
      <w:r>
        <w:rPr>
          <w:i/>
          <w:iCs/>
        </w:rPr>
        <w:t xml:space="preserve">, </w:t>
      </w:r>
      <w:r>
        <w:t xml:space="preserve">Victor </w:t>
      </w:r>
      <w:proofErr w:type="spellStart"/>
      <w:r>
        <w:t>Imanuel</w:t>
      </w:r>
      <w:proofErr w:type="spellEnd"/>
      <w:r>
        <w:t>, [4]</w:t>
      </w:r>
    </w:p>
  </w:footnote>
  <w:footnote w:id="58">
    <w:p w:rsidR="00693C0F" w:rsidRDefault="00693C0F" w:rsidP="005B65D7">
      <w:pPr>
        <w:pStyle w:val="FootnoteText"/>
        <w:ind w:firstLine="567"/>
        <w:jc w:val="both"/>
      </w:pPr>
      <w:r>
        <w:rPr>
          <w:rStyle w:val="FootnoteReference"/>
        </w:rPr>
        <w:footnoteRef/>
      </w:r>
      <w:r>
        <w:t xml:space="preserve"> </w:t>
      </w:r>
      <w:proofErr w:type="spellStart"/>
      <w:r>
        <w:rPr>
          <w:i/>
          <w:iCs/>
        </w:rPr>
        <w:t>Loc.Cit</w:t>
      </w:r>
      <w:proofErr w:type="spellEnd"/>
      <w:r>
        <w:rPr>
          <w:i/>
          <w:iCs/>
        </w:rPr>
        <w:t xml:space="preserve">, </w:t>
      </w:r>
      <w:r>
        <w:fldChar w:fldCharType="begin" w:fldLock="1"/>
      </w:r>
      <w:r>
        <w:instrText>ADDIN CSL_CITATION {"citationItems":[{"id":"ITEM-1","itemData":{"author":[{"dropping-particle":"","family":"Philipus M. Hadjon","given":"","non-dropping-particle":"","parse-names":false,"suffix":""}],"container-title":"Jurnal Hukum dan Peradilan","id":"ITEM-1","issue":"1","issued":{"date-parts":[["2015"]]},"page":"53","title":"Peradilan Tata Usaha Negara Dalam Konteks Undang-Undang No. 30 TH. 2014 Tentang Administasi Pemerintahan","type":"article-journal","volume":"4"},"uris":["http://www.mendeley.com/documents/?uuid=31227a72-183a-43fe-9ba9-cfba0d48090c"]}],"mendeley":{"formattedCitation":"Philipus M. Hadjon, “Peradilan Tata Usaha Negara Dalam Konteks Undang-Undang No. 30 TH. 2014 Tentang Administasi Pemerintahan.”","plainTextFormattedCitation":"Philipus M. Hadjon, “Peradilan Tata Usaha Negara Dalam Konteks Undang-Undang No. 30 TH. 2014 Tentang Administasi Pemerintahan.”","previouslyFormattedCitation":"Philipus M. Hadjon, “Peradilan Tata Usaha Negara Dalam Konteks Undang-Undang No. 30 TH. 2014 Tentang Administasi Pemerintahan.”"},"properties":{"noteIndex":58},"schema":"https://github.com/citation-style-language/schema/raw/master/csl-citation.json"}</w:instrText>
      </w:r>
      <w:r>
        <w:fldChar w:fldCharType="separate"/>
      </w:r>
      <w:r w:rsidRPr="00693C0F">
        <w:rPr>
          <w:noProof/>
        </w:rPr>
        <w:t>Philipus M. Hadjon, “Peradilan Tata Usaha Negara Dalam Konteks Undang-Undang No. 30 TH. 2014 Tentang Administasi Pemerintahan.”</w:t>
      </w:r>
      <w:r>
        <w:fldChar w:fldCharType="end"/>
      </w:r>
      <w:r>
        <w:t>, [54]</w:t>
      </w:r>
    </w:p>
  </w:footnote>
  <w:footnote w:id="59">
    <w:p w:rsidR="00693C0F" w:rsidRPr="00693C0F" w:rsidRDefault="00693C0F" w:rsidP="005B65D7">
      <w:pPr>
        <w:pStyle w:val="FootnoteText"/>
        <w:ind w:firstLine="567"/>
        <w:jc w:val="both"/>
        <w:rPr>
          <w:i/>
          <w:iCs/>
        </w:rPr>
      </w:pPr>
      <w:r>
        <w:rPr>
          <w:rStyle w:val="FootnoteReference"/>
        </w:rPr>
        <w:footnoteRef/>
      </w:r>
      <w:r>
        <w:t xml:space="preserve"> </w:t>
      </w:r>
      <w:r>
        <w:rPr>
          <w:i/>
          <w:iCs/>
        </w:rPr>
        <w:t>Ibid</w:t>
      </w:r>
    </w:p>
  </w:footnote>
  <w:footnote w:id="60">
    <w:p w:rsidR="00693C0F" w:rsidRDefault="00693C0F"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{"citationItems":[{"id":"ITEM-1","itemData":{"author":[{"dropping-particle":"","family":"Riawan Tjandra","given":"","non-dropping-particle":"","parse-names":false,"suffix":""}],"container-title":"Jurnal Mimbar Hukum","id":"ITEM-1","issued":{"date-parts":[["2011"]]},"page":"7","title":"Dinamika Keadilan dan Kepastian Hukum dalam Peradilan Tata Usaha Negara","type":"article-journal","volume":"edisi khus"},"uris":["http://www.mendeley.com/documents/?uuid=a13f1943-3fec-4703-b5dd-189a2e55a5ed"]}],"mendeley":{"formattedCitation":"Riawan Tjandra, “Dinamika Keadilan Dan Kepastian Hukum Dalam Peradilan Tata Usaha Negara,” &lt;i&gt;Jurnal Mimbar Hukum&lt;/i&gt; edisi khus (2011): 7.","plainTextFormattedCitation":"Riawan Tjandra, “Dinamika Keadilan Dan Kepastian Hukum Dalam Peradilan Tata Usaha Negara,” Jurnal Mimbar Hukum edisi khus (2011): 7.","previouslyFormattedCitation":"Riawan Tjandra, “Dinamika Keadilan Dan Kepastian Hukum Dalam Peradilan Tata Usaha Negara,” &lt;i&gt;Jurnal Mimbar Hukum&lt;/i&gt; edisi khus (2011): 7."},"properties":{"noteIndex":60},"schema":"https://github.com/citation-style-language/schema/raw/master/csl-citation.json"}</w:instrText>
      </w:r>
      <w:r>
        <w:fldChar w:fldCharType="separate"/>
      </w:r>
      <w:r w:rsidRPr="00693C0F">
        <w:rPr>
          <w:noProof/>
        </w:rPr>
        <w:t xml:space="preserve">Riawan Tjandra, “Dinamika Keadilan Dan Kepastian Hukum Dalam Peradilan Tata Usaha Negara,” </w:t>
      </w:r>
      <w:r w:rsidRPr="00693C0F">
        <w:rPr>
          <w:i/>
          <w:noProof/>
        </w:rPr>
        <w:t>Jurnal Mimbar Hukum</w:t>
      </w:r>
      <w:r w:rsidRPr="00693C0F">
        <w:rPr>
          <w:noProof/>
        </w:rPr>
        <w:t xml:space="preserve"> edisi khus (2011): 7.</w:t>
      </w:r>
      <w:r>
        <w:fldChar w:fldCharType="end"/>
      </w:r>
    </w:p>
  </w:footnote>
  <w:footnote w:id="61">
    <w:p w:rsidR="00693C0F" w:rsidRPr="00693C0F" w:rsidRDefault="00693C0F" w:rsidP="005B65D7">
      <w:pPr>
        <w:pStyle w:val="FootnoteText"/>
        <w:ind w:firstLine="567"/>
        <w:jc w:val="both"/>
      </w:pPr>
      <w:r>
        <w:rPr>
          <w:rStyle w:val="FootnoteReference"/>
        </w:rPr>
        <w:footnoteRef/>
      </w:r>
      <w:r>
        <w:t xml:space="preserve"> </w:t>
      </w:r>
      <w:proofErr w:type="spellStart"/>
      <w:r>
        <w:rPr>
          <w:i/>
          <w:iCs/>
        </w:rPr>
        <w:t>Loc.Cit</w:t>
      </w:r>
      <w:proofErr w:type="spellEnd"/>
      <w:r>
        <w:rPr>
          <w:i/>
          <w:iCs/>
        </w:rPr>
        <w:t xml:space="preserve">, </w:t>
      </w:r>
      <w:r>
        <w:t xml:space="preserve">Enrico </w:t>
      </w:r>
      <w:proofErr w:type="spellStart"/>
      <w:r>
        <w:t>Simanjuntak</w:t>
      </w:r>
      <w:proofErr w:type="spellEnd"/>
      <w:r>
        <w:t>, [44]</w:t>
      </w:r>
    </w:p>
  </w:footnote>
  <w:footnote w:id="62">
    <w:p w:rsidR="00693C0F" w:rsidRDefault="00693C0F" w:rsidP="005B65D7">
      <w:pPr>
        <w:pStyle w:val="FootnoteText"/>
        <w:ind w:firstLine="567"/>
        <w:jc w:val="both"/>
      </w:pPr>
      <w:r>
        <w:rPr>
          <w:rStyle w:val="FootnoteReference"/>
        </w:rPr>
        <w:footnoteRef/>
      </w:r>
      <w:r>
        <w:t xml:space="preserve"> </w:t>
      </w:r>
      <w:proofErr w:type="spellStart"/>
      <w:r>
        <w:rPr>
          <w:i/>
          <w:iCs/>
        </w:rPr>
        <w:t>Loc.Cit</w:t>
      </w:r>
      <w:proofErr w:type="spellEnd"/>
      <w:r>
        <w:rPr>
          <w:i/>
          <w:iCs/>
        </w:rPr>
        <w:t xml:space="preserve">, </w:t>
      </w:r>
      <w:r>
        <w:fldChar w:fldCharType="begin" w:fldLock="1"/>
      </w:r>
      <w:r>
        <w:instrText>ADDIN CSL_CITATION {"citationItems":[{"id":"ITEM-1","itemData":{"author":[{"dropping-particle":"","family":"Philipus M. Hadjon","given":"","non-dropping-particle":"","parse-names":false,"suffix":""}],"container-title":"Jurnal Hukum dan Peradilan","id":"ITEM-1","issue":"1","issued":{"date-parts":[["2015"]]},"page":"53","title":"Peradilan Tata Usaha Negara Dalam Konteks Undang-Undang No. 30 TH. 2014 Tentang Administasi Pemerintahan","type":"article-journal","volume":"4"},"uris":["http://www.mendeley.com/documents/?uuid=31227a72-183a-43fe-9ba9-cfba0d48090c"]}],"mendeley":{"formattedCitation":"Philipus M. Hadjon, “Peradilan Tata Usaha Negara Dalam Konteks Undang-Undang No. 30 TH. 2014 Tentang Administasi Pemerintahan.”","plainTextFormattedCitation":"Philipus M. Hadjon, “Peradilan Tata Usaha Negara Dalam Konteks Undang-Undang No. 30 TH. 2014 Tentang Administasi Pemerintahan.”","previouslyFormattedCitation":"Philipus M. Hadjon, “Peradilan Tata Usaha Negara Dalam Konteks Undang-Undang No. 30 TH. 2014 Tentang Administasi Pemerintahan.”"},"properties":{"noteIndex":62},"schema":"https://github.com/citation-style-language/schema/raw/master/csl-citation.json"}</w:instrText>
      </w:r>
      <w:r>
        <w:fldChar w:fldCharType="separate"/>
      </w:r>
      <w:r w:rsidRPr="00693C0F">
        <w:rPr>
          <w:noProof/>
        </w:rPr>
        <w:t>Philipus M. Hadjon, “Peradilan Tata Usaha Negara Dalam Konteks Undang-Undang No. 30 TH. 2014 Tentang Administasi Pemerintahan.”</w:t>
      </w:r>
      <w:r>
        <w:fldChar w:fldCharType="end"/>
      </w:r>
      <w:r>
        <w:t>, [55]</w:t>
      </w:r>
    </w:p>
  </w:footnote>
  <w:footnote w:id="63">
    <w:p w:rsidR="00AC1DFA" w:rsidRDefault="00AC1DFA" w:rsidP="005B65D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{"citationItems":[{"id":"ITEM-1","itemData":{"author":[{"dropping-particle":"","family":"Azza Azka Norra","given":"","non-dropping-particle":"","parse-names":false,"suffix":""}],"container-title":"Jurnal Hukum Peratun","id":"ITEM-1","issue":"2","issued":{"date-parts":[["2020"]]},"page":"144","title":"Pertentangan Norma Fiktif Negatif dan Fiktif Positif Serta Kontekstualisasinya Menurut Undang-Undang Administrasi Pemerintahan","type":"article-journal","volume":"3"},"uris":["http://www.mendeley.com/documents/?uuid=1640b733-0768-424b-849d-e0a66f9856f2"]}],"mendeley":{"formattedCitation":"Azza Azka Norra, “Pertentangan Norma Fiktif Negatif Dan Fiktif Positif Serta Kontekstualisasinya Menurut Undang-Undang Administrasi Pemerintahan,” &lt;i&gt;Jurnal Hukum Peratun&lt;/i&gt; 3, no. 2 (2020): 144.","manualFormatting":"Azza Azka Norra, “Pertentangan Norma Fiktif Negatif Dan Fiktif Positif Serta Kontekstualisasinya Menurut Undang-Undang Administrasi Pemerintahan,” Jurnal Hukum Peratun, Vol. 3, no. 2 (2020): [144].","plainTextFormattedCitation":"Azza Azka Norra, “Pertentangan Norma Fiktif Negatif Dan Fiktif Positif Serta Kontekstualisasinya Menurut Undang-Undang Administrasi Pemerintahan,” Jurnal Hukum Peratun 3, no. 2 (2020): 144.","previouslyFormattedCitation":"Azza Azka Norra, “Pertentangan Norma Fiktif Negatif Dan Fiktif Positif Serta Kontekstualisasinya Menurut Undang-Undang Administrasi Pemerintahan,” &lt;i&gt;Jurnal Hukum Peratun&lt;/i&gt; 3, no. 2 (2020): 144."},"properties":{"noteIndex":63},"schema":"https://github.com/citation-style-language/schema/raw/master/csl-citation.json"}</w:instrText>
      </w:r>
      <w:r>
        <w:fldChar w:fldCharType="separate"/>
      </w:r>
      <w:r w:rsidRPr="00AC1DFA">
        <w:rPr>
          <w:noProof/>
        </w:rPr>
        <w:t xml:space="preserve">Azza Azka Norra, “Pertentangan Norma Fiktif Negatif Dan Fiktif Positif Serta Kontekstualisasinya Menurut Undang-Undang Administrasi Pemerintahan,” </w:t>
      </w:r>
      <w:r w:rsidRPr="00AC1DFA">
        <w:rPr>
          <w:i/>
          <w:noProof/>
        </w:rPr>
        <w:t>Jurnal Hukum Peratun</w:t>
      </w:r>
      <w:r>
        <w:rPr>
          <w:i/>
          <w:noProof/>
        </w:rPr>
        <w:t xml:space="preserve">, </w:t>
      </w:r>
      <w:r>
        <w:rPr>
          <w:iCs/>
          <w:noProof/>
        </w:rPr>
        <w:t>Vol.</w:t>
      </w:r>
      <w:r w:rsidRPr="00AC1DFA">
        <w:rPr>
          <w:noProof/>
        </w:rPr>
        <w:t xml:space="preserve"> 3, no. 2 (2020): </w:t>
      </w:r>
      <w:r>
        <w:rPr>
          <w:noProof/>
        </w:rPr>
        <w:t>[</w:t>
      </w:r>
      <w:r w:rsidRPr="00AC1DFA">
        <w:rPr>
          <w:noProof/>
        </w:rPr>
        <w:t>144</w:t>
      </w:r>
      <w:r>
        <w:rPr>
          <w:noProof/>
        </w:rPr>
        <w:t>]</w:t>
      </w:r>
      <w:r w:rsidRPr="00AC1DFA">
        <w:rPr>
          <w:noProof/>
        </w:rPr>
        <w:t>.</w:t>
      </w:r>
      <w:r>
        <w:fldChar w:fldCharType="end"/>
      </w:r>
    </w:p>
  </w:footnote>
  <w:footnote w:id="64">
    <w:p w:rsidR="00AC1DFA" w:rsidRDefault="00AC1DFA" w:rsidP="005B65D7">
      <w:pPr>
        <w:pStyle w:val="FootnoteText"/>
        <w:ind w:firstLine="567"/>
        <w:jc w:val="both"/>
      </w:pPr>
      <w:r>
        <w:rPr>
          <w:rStyle w:val="FootnoteReference"/>
        </w:rPr>
        <w:footnoteRef/>
      </w:r>
      <w:r>
        <w:t xml:space="preserve"> </w:t>
      </w:r>
      <w:r>
        <w:fldChar w:fldCharType="begin" w:fldLock="1"/>
      </w:r>
      <w:r w:rsidR="0044469A">
        <w:instrText>ADDIN CSL_CITATION {"citationItems":[{"id":"ITEM-1","itemData":{"author":[{"dropping-particle":"","family":"Ahmad","given":"","non-dropping-particle":"","parse-names":false,"suffix":""}],"container-title":"Jurnal Hukum Replik","id":"ITEM-1","issue":"2","issued":{"date-parts":[["2017"]]},"page":"148","title":"Konsep Fiktif Positif: Penerapannya di Pengadilan Tata Usaha Negara","type":"article-journal","volume":"5"},"uris":["http://www.mendeley.com/documents/?uuid=8c91ccad-1d4d-4bf9-ac47-27ae51c43e88"]}],"mendeley":{"formattedCitation":"Ahmad, “Konsep Fiktif Positif: Penerapannya Di Pengadilan Tata Usaha Negara,” &lt;i&gt;Jurnal Hukum Replik&lt;/i&gt; 5, no. 2 (2017): 148.","manualFormatting":"Ahmad, “Konsep Fiktif Positif: Penerapannya Di Pengadilan Tata Usaha Negara,” Jurnal Hukum Replik, Vol. 5, no. 2 (2017): [148].","plainTextFormattedCitation":"Ahmad, “Konsep Fiktif Positif: Penerapannya Di Pengadilan Tata Usaha Negara,” Jurnal Hukum Replik 5, no. 2 (2017): 148.","previouslyFormattedCitation":"Ahmad, “Konsep Fiktif Positif: Penerapannya Di Pengadilan Tata Usaha Negara,” &lt;i&gt;Jurnal Hukum Replik&lt;/i&gt; 5, no. 2 (2017): 148."},"properties":{"noteIndex":64},"schema":"https://github.com/citation-style-language/schema/raw/master/csl-citation.json"}</w:instrText>
      </w:r>
      <w:r>
        <w:fldChar w:fldCharType="separate"/>
      </w:r>
      <w:r w:rsidRPr="00AC1DFA">
        <w:rPr>
          <w:noProof/>
        </w:rPr>
        <w:t xml:space="preserve">Ahmad, “Konsep Fiktif Positif: Penerapannya Di Pengadilan Tata Usaha Negara,” </w:t>
      </w:r>
      <w:r w:rsidRPr="00AC1DFA">
        <w:rPr>
          <w:i/>
          <w:noProof/>
        </w:rPr>
        <w:t>Jurnal Hukum Replik</w:t>
      </w:r>
      <w:r>
        <w:rPr>
          <w:i/>
          <w:noProof/>
        </w:rPr>
        <w:t xml:space="preserve">, </w:t>
      </w:r>
      <w:r>
        <w:rPr>
          <w:iCs/>
          <w:noProof/>
        </w:rPr>
        <w:t>Vol.</w:t>
      </w:r>
      <w:r w:rsidRPr="00AC1DFA">
        <w:rPr>
          <w:noProof/>
        </w:rPr>
        <w:t xml:space="preserve"> 5, no. 2 (2017): </w:t>
      </w:r>
      <w:r>
        <w:rPr>
          <w:noProof/>
        </w:rPr>
        <w:t>[</w:t>
      </w:r>
      <w:r w:rsidRPr="00AC1DFA">
        <w:rPr>
          <w:noProof/>
        </w:rPr>
        <w:t>148</w:t>
      </w:r>
      <w:r>
        <w:rPr>
          <w:noProof/>
        </w:rPr>
        <w:t>]</w:t>
      </w:r>
      <w:r w:rsidRPr="00AC1DFA">
        <w:rPr>
          <w:noProof/>
        </w:rPr>
        <w:t>.</w:t>
      </w:r>
      <w:r>
        <w:fldChar w:fldCharType="end"/>
      </w:r>
    </w:p>
  </w:footnote>
  <w:footnote w:id="65">
    <w:p w:rsidR="00AC1DFA" w:rsidRPr="00AC1DFA" w:rsidRDefault="00AC1DFA" w:rsidP="005B65D7">
      <w:pPr>
        <w:pStyle w:val="FootnoteText"/>
        <w:ind w:firstLine="567"/>
        <w:jc w:val="both"/>
      </w:pPr>
      <w:r>
        <w:rPr>
          <w:rStyle w:val="FootnoteReference"/>
        </w:rPr>
        <w:footnoteRef/>
      </w:r>
      <w:r>
        <w:t xml:space="preserve"> </w:t>
      </w:r>
      <w:proofErr w:type="spellStart"/>
      <w:r>
        <w:rPr>
          <w:i/>
          <w:iCs/>
        </w:rPr>
        <w:t>Loc.Cit</w:t>
      </w:r>
      <w:proofErr w:type="spellEnd"/>
      <w:r>
        <w:rPr>
          <w:i/>
          <w:iCs/>
        </w:rPr>
        <w:t xml:space="preserve">, </w:t>
      </w:r>
      <w:proofErr w:type="spellStart"/>
      <w:r>
        <w:t>Bagus</w:t>
      </w:r>
      <w:proofErr w:type="spellEnd"/>
      <w:r>
        <w:t xml:space="preserve"> </w:t>
      </w:r>
      <w:proofErr w:type="spellStart"/>
      <w:r>
        <w:t>Oktafian</w:t>
      </w:r>
      <w:proofErr w:type="spellEnd"/>
      <w:r>
        <w:t xml:space="preserve"> </w:t>
      </w:r>
      <w:proofErr w:type="spellStart"/>
      <w:r>
        <w:t>Abrianto</w:t>
      </w:r>
      <w:proofErr w:type="spellEnd"/>
      <w:r>
        <w:t>, [541]</w:t>
      </w:r>
    </w:p>
  </w:footnote>
  <w:footnote w:id="66">
    <w:p w:rsidR="00AC1DFA" w:rsidRPr="00AC1DFA" w:rsidRDefault="00AC1DFA" w:rsidP="005B65D7">
      <w:pPr>
        <w:pStyle w:val="FootnoteText"/>
        <w:ind w:firstLine="567"/>
        <w:jc w:val="both"/>
      </w:pPr>
      <w:r>
        <w:rPr>
          <w:rStyle w:val="FootnoteReference"/>
        </w:rPr>
        <w:footnoteRef/>
      </w:r>
      <w:r>
        <w:t xml:space="preserve"> </w:t>
      </w:r>
      <w:proofErr w:type="spellStart"/>
      <w:r>
        <w:rPr>
          <w:i/>
          <w:iCs/>
        </w:rPr>
        <w:t>Loc.Cit</w:t>
      </w:r>
      <w:proofErr w:type="spellEnd"/>
      <w:r>
        <w:rPr>
          <w:i/>
          <w:iCs/>
        </w:rPr>
        <w:t xml:space="preserve">, </w:t>
      </w:r>
      <w:proofErr w:type="spellStart"/>
      <w:r>
        <w:t>Azza</w:t>
      </w:r>
      <w:proofErr w:type="spellEnd"/>
      <w:r>
        <w:t xml:space="preserve"> </w:t>
      </w:r>
      <w:proofErr w:type="spellStart"/>
      <w:r>
        <w:t>Azka</w:t>
      </w:r>
      <w:proofErr w:type="spellEnd"/>
      <w:r>
        <w:t xml:space="preserve"> </w:t>
      </w:r>
      <w:proofErr w:type="spellStart"/>
      <w:r>
        <w:t>Norrra</w:t>
      </w:r>
      <w:proofErr w:type="spellEnd"/>
      <w:r>
        <w:t>, [146]</w:t>
      </w:r>
    </w:p>
  </w:footnote>
  <w:footnote w:id="67">
    <w:p w:rsidR="00AC1DFA" w:rsidRPr="00AC1DFA" w:rsidRDefault="00AC1DFA" w:rsidP="005B65D7">
      <w:pPr>
        <w:pStyle w:val="FootnoteText"/>
        <w:ind w:firstLine="567"/>
        <w:jc w:val="both"/>
      </w:pPr>
      <w:r>
        <w:rPr>
          <w:rStyle w:val="FootnoteReference"/>
        </w:rPr>
        <w:footnoteRef/>
      </w:r>
      <w:r>
        <w:t xml:space="preserve"> </w:t>
      </w:r>
      <w:r>
        <w:rPr>
          <w:i/>
          <w:iCs/>
        </w:rPr>
        <w:t xml:space="preserve">Ibid, </w:t>
      </w:r>
      <w:r>
        <w:t>[147]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920CD"/>
    <w:multiLevelType w:val="hybridMultilevel"/>
    <w:tmpl w:val="3AE010CE"/>
    <w:lvl w:ilvl="0" w:tplc="378C7700">
      <w:start w:val="1"/>
      <w:numFmt w:val="decimal"/>
      <w:lvlText w:val="%1."/>
      <w:lvlJc w:val="left"/>
      <w:pPr>
        <w:ind w:left="9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890D4B"/>
    <w:multiLevelType w:val="hybridMultilevel"/>
    <w:tmpl w:val="3DC62412"/>
    <w:lvl w:ilvl="0" w:tplc="91DC1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6170C0"/>
    <w:multiLevelType w:val="hybridMultilevel"/>
    <w:tmpl w:val="6ED0B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A32CD"/>
    <w:multiLevelType w:val="hybridMultilevel"/>
    <w:tmpl w:val="59BE471A"/>
    <w:lvl w:ilvl="0" w:tplc="A2202C1C">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71A54"/>
    <w:multiLevelType w:val="hybridMultilevel"/>
    <w:tmpl w:val="7AAA5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A8790A"/>
    <w:multiLevelType w:val="hybridMultilevel"/>
    <w:tmpl w:val="795E6C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C238FE"/>
    <w:multiLevelType w:val="hybridMultilevel"/>
    <w:tmpl w:val="C486D782"/>
    <w:lvl w:ilvl="0" w:tplc="A2202C1C">
      <w:start w:val="1"/>
      <w:numFmt w:val="decimal"/>
      <w:lvlText w:val="%1."/>
      <w:lvlJc w:val="left"/>
      <w:pPr>
        <w:ind w:left="927" w:hanging="360"/>
      </w:pPr>
      <w:rPr>
        <w:rFonts w:hint="default"/>
      </w:rPr>
    </w:lvl>
    <w:lvl w:ilvl="1" w:tplc="31C6DB4A">
      <w:start w:val="1"/>
      <w:numFmt w:val="lowerLetter"/>
      <w:lvlText w:val="%2."/>
      <w:lvlJc w:val="left"/>
      <w:pPr>
        <w:ind w:left="1647" w:hanging="360"/>
      </w:pPr>
      <w:rPr>
        <w:rFonts w:eastAsiaTheme="minorHAnsi" w:hint="default"/>
        <w:sz w:val="24"/>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C553DA"/>
    <w:multiLevelType w:val="hybridMultilevel"/>
    <w:tmpl w:val="3AE2754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309500C6"/>
    <w:multiLevelType w:val="hybridMultilevel"/>
    <w:tmpl w:val="CE4E247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34781452"/>
    <w:multiLevelType w:val="hybridMultilevel"/>
    <w:tmpl w:val="4B487DE0"/>
    <w:lvl w:ilvl="0" w:tplc="1BBA0348">
      <w:start w:val="1"/>
      <w:numFmt w:val="decimal"/>
      <w:lvlText w:val="%1."/>
      <w:lvlJc w:val="left"/>
      <w:pPr>
        <w:ind w:left="1080" w:hanging="720"/>
      </w:pPr>
      <w:rPr>
        <w:rFonts w:hint="default"/>
      </w:rPr>
    </w:lvl>
    <w:lvl w:ilvl="1" w:tplc="7062B8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410C2A"/>
    <w:multiLevelType w:val="hybridMultilevel"/>
    <w:tmpl w:val="AC3ADD6A"/>
    <w:lvl w:ilvl="0" w:tplc="378C7700">
      <w:start w:val="1"/>
      <w:numFmt w:val="decimal"/>
      <w:lvlText w:val="%1."/>
      <w:lvlJc w:val="left"/>
      <w:pPr>
        <w:ind w:left="9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B30AD5"/>
    <w:multiLevelType w:val="hybridMultilevel"/>
    <w:tmpl w:val="02002C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10501"/>
    <w:multiLevelType w:val="hybridMultilevel"/>
    <w:tmpl w:val="89B682EE"/>
    <w:lvl w:ilvl="0" w:tplc="873A6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307344"/>
    <w:multiLevelType w:val="hybridMultilevel"/>
    <w:tmpl w:val="FE8E1296"/>
    <w:lvl w:ilvl="0" w:tplc="6A42DC6E">
      <w:start w:val="1"/>
      <w:numFmt w:val="lowerLetter"/>
      <w:lvlText w:val="%1."/>
      <w:lvlJc w:val="left"/>
      <w:pPr>
        <w:ind w:left="720" w:hanging="360"/>
      </w:pPr>
      <w:rPr>
        <w:rFonts w:ascii="Times New Roman" w:eastAsiaTheme="minorHAnsi" w:hAnsi="Times New Roman" w:cs="Times New Roman" w:hint="default"/>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C34A20"/>
    <w:multiLevelType w:val="hybridMultilevel"/>
    <w:tmpl w:val="4F9EE7A2"/>
    <w:lvl w:ilvl="0" w:tplc="378C7700">
      <w:start w:val="1"/>
      <w:numFmt w:val="decimal"/>
      <w:lvlText w:val="%1."/>
      <w:lvlJc w:val="left"/>
      <w:pPr>
        <w:ind w:left="987" w:hanging="360"/>
      </w:pPr>
      <w:rPr>
        <w:rFonts w:hint="default"/>
      </w:rPr>
    </w:lvl>
    <w:lvl w:ilvl="1" w:tplc="0EC63F1E">
      <w:start w:val="1"/>
      <w:numFmt w:val="decimal"/>
      <w:lvlText w:val="%2)"/>
      <w:lvlJc w:val="left"/>
      <w:pPr>
        <w:ind w:left="1707" w:hanging="360"/>
      </w:pPr>
      <w:rPr>
        <w:rFonts w:hint="default"/>
      </w:rPr>
    </w:lvl>
    <w:lvl w:ilvl="2" w:tplc="B3E4E9D0">
      <w:start w:val="1"/>
      <w:numFmt w:val="lowerLetter"/>
      <w:lvlText w:val="%3."/>
      <w:lvlJc w:val="left"/>
      <w:pPr>
        <w:ind w:left="3057" w:hanging="810"/>
      </w:pPr>
      <w:rPr>
        <w:rFonts w:asciiTheme="minorHAnsi" w:eastAsiaTheme="minorHAnsi" w:hAnsiTheme="minorHAnsi" w:cstheme="minorBidi" w:hint="default"/>
        <w:sz w:val="22"/>
      </w:r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5">
    <w:nsid w:val="400072F0"/>
    <w:multiLevelType w:val="hybridMultilevel"/>
    <w:tmpl w:val="5478D8C0"/>
    <w:lvl w:ilvl="0" w:tplc="6A42DC6E">
      <w:start w:val="1"/>
      <w:numFmt w:val="lowerLetter"/>
      <w:lvlText w:val="%1."/>
      <w:lvlJc w:val="left"/>
      <w:pPr>
        <w:ind w:left="1287" w:hanging="360"/>
      </w:pPr>
      <w:rPr>
        <w:rFonts w:ascii="Times New Roman" w:eastAsiaTheme="minorHAnsi" w:hAnsi="Times New Roman" w:cs="Times New Roman" w:hint="default"/>
        <w:sz w:val="24"/>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4543507C"/>
    <w:multiLevelType w:val="hybridMultilevel"/>
    <w:tmpl w:val="5504EF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F6281F0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9A179A"/>
    <w:multiLevelType w:val="hybridMultilevel"/>
    <w:tmpl w:val="6C6A88CA"/>
    <w:lvl w:ilvl="0" w:tplc="A2202C1C">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A42863"/>
    <w:multiLevelType w:val="hybridMultilevel"/>
    <w:tmpl w:val="39305CAC"/>
    <w:lvl w:ilvl="0" w:tplc="91DC1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232B8F"/>
    <w:multiLevelType w:val="hybridMultilevel"/>
    <w:tmpl w:val="219CB9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800759"/>
    <w:multiLevelType w:val="hybridMultilevel"/>
    <w:tmpl w:val="204E9D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AA0D50"/>
    <w:multiLevelType w:val="hybridMultilevel"/>
    <w:tmpl w:val="C4C2E1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83275B"/>
    <w:multiLevelType w:val="hybridMultilevel"/>
    <w:tmpl w:val="16C837B6"/>
    <w:lvl w:ilvl="0" w:tplc="91DC1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CF0697"/>
    <w:multiLevelType w:val="hybridMultilevel"/>
    <w:tmpl w:val="E138CA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F172B8"/>
    <w:multiLevelType w:val="hybridMultilevel"/>
    <w:tmpl w:val="E4D210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C275E9"/>
    <w:multiLevelType w:val="hybridMultilevel"/>
    <w:tmpl w:val="639A78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8649B4"/>
    <w:multiLevelType w:val="hybridMultilevel"/>
    <w:tmpl w:val="9202C038"/>
    <w:lvl w:ilvl="0" w:tplc="91DC1D0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9"/>
  </w:num>
  <w:num w:numId="2">
    <w:abstractNumId w:val="5"/>
  </w:num>
  <w:num w:numId="3">
    <w:abstractNumId w:val="2"/>
  </w:num>
  <w:num w:numId="4">
    <w:abstractNumId w:val="18"/>
  </w:num>
  <w:num w:numId="5">
    <w:abstractNumId w:val="16"/>
  </w:num>
  <w:num w:numId="6">
    <w:abstractNumId w:val="21"/>
  </w:num>
  <w:num w:numId="7">
    <w:abstractNumId w:val="8"/>
  </w:num>
  <w:num w:numId="8">
    <w:abstractNumId w:val="4"/>
  </w:num>
  <w:num w:numId="9">
    <w:abstractNumId w:val="26"/>
  </w:num>
  <w:num w:numId="10">
    <w:abstractNumId w:val="22"/>
  </w:num>
  <w:num w:numId="11">
    <w:abstractNumId w:val="1"/>
  </w:num>
  <w:num w:numId="12">
    <w:abstractNumId w:val="12"/>
  </w:num>
  <w:num w:numId="13">
    <w:abstractNumId w:val="19"/>
  </w:num>
  <w:num w:numId="14">
    <w:abstractNumId w:val="7"/>
  </w:num>
  <w:num w:numId="15">
    <w:abstractNumId w:val="14"/>
  </w:num>
  <w:num w:numId="16">
    <w:abstractNumId w:val="0"/>
  </w:num>
  <w:num w:numId="17">
    <w:abstractNumId w:val="11"/>
  </w:num>
  <w:num w:numId="18">
    <w:abstractNumId w:val="23"/>
  </w:num>
  <w:num w:numId="19">
    <w:abstractNumId w:val="10"/>
  </w:num>
  <w:num w:numId="20">
    <w:abstractNumId w:val="24"/>
  </w:num>
  <w:num w:numId="21">
    <w:abstractNumId w:val="25"/>
  </w:num>
  <w:num w:numId="22">
    <w:abstractNumId w:val="20"/>
  </w:num>
  <w:num w:numId="23">
    <w:abstractNumId w:val="6"/>
  </w:num>
  <w:num w:numId="24">
    <w:abstractNumId w:val="3"/>
  </w:num>
  <w:num w:numId="25">
    <w:abstractNumId w:val="17"/>
  </w:num>
  <w:num w:numId="26">
    <w:abstractNumId w:val="1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FC5"/>
    <w:rsid w:val="0024754B"/>
    <w:rsid w:val="002E36E5"/>
    <w:rsid w:val="00343575"/>
    <w:rsid w:val="003A7FC5"/>
    <w:rsid w:val="004165D4"/>
    <w:rsid w:val="0044469A"/>
    <w:rsid w:val="005B65D7"/>
    <w:rsid w:val="005F490A"/>
    <w:rsid w:val="00660D49"/>
    <w:rsid w:val="006800A7"/>
    <w:rsid w:val="00693C0F"/>
    <w:rsid w:val="00791C1A"/>
    <w:rsid w:val="00845C1E"/>
    <w:rsid w:val="009D6D7D"/>
    <w:rsid w:val="00A20F91"/>
    <w:rsid w:val="00A875DC"/>
    <w:rsid w:val="00AC1DFA"/>
    <w:rsid w:val="00BC288F"/>
    <w:rsid w:val="00C22D22"/>
    <w:rsid w:val="00C34AF6"/>
    <w:rsid w:val="00C526D8"/>
    <w:rsid w:val="00D472D5"/>
    <w:rsid w:val="00F2448F"/>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my-M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FC5"/>
    <w:rPr>
      <w:lang w:bidi="ar-SA"/>
    </w:rPr>
  </w:style>
  <w:style w:type="paragraph" w:styleId="Heading2">
    <w:name w:val="heading 2"/>
    <w:basedOn w:val="Normal"/>
    <w:link w:val="Heading2Char"/>
    <w:uiPriority w:val="1"/>
    <w:qFormat/>
    <w:rsid w:val="003A7FC5"/>
    <w:pPr>
      <w:widowControl w:val="0"/>
      <w:autoSpaceDE w:val="0"/>
      <w:autoSpaceDN w:val="0"/>
      <w:spacing w:after="0" w:line="240" w:lineRule="auto"/>
      <w:ind w:left="131" w:right="131"/>
      <w:jc w:val="center"/>
      <w:outlineLvl w:val="1"/>
    </w:pPr>
    <w:rPr>
      <w:rFonts w:ascii="Times New Roman" w:eastAsia="Times New Roman" w:hAnsi="Times New Roman" w:cs="Times New Roman"/>
      <w:b/>
      <w:bCs/>
      <w:i/>
      <w:i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A7FC5"/>
    <w:rPr>
      <w:rFonts w:ascii="Times New Roman" w:eastAsia="Times New Roman" w:hAnsi="Times New Roman" w:cs="Times New Roman"/>
      <w:b/>
      <w:bCs/>
      <w:i/>
      <w:iCs/>
      <w:sz w:val="24"/>
      <w:szCs w:val="24"/>
      <w:lang w:val="id" w:bidi="ar-SA"/>
    </w:rPr>
  </w:style>
  <w:style w:type="paragraph" w:styleId="BodyText">
    <w:name w:val="Body Text"/>
    <w:basedOn w:val="Normal"/>
    <w:link w:val="BodyTextChar"/>
    <w:uiPriority w:val="1"/>
    <w:qFormat/>
    <w:rsid w:val="003A7FC5"/>
    <w:rPr>
      <w:rFonts w:ascii="Times New Roman" w:eastAsia="Times New Roman" w:hAnsi="Times New Roman" w:cs="Arial Unicode MS"/>
      <w:sz w:val="24"/>
      <w:szCs w:val="24"/>
      <w:lang w:val="id" w:eastAsia="id" w:bidi="my-MM"/>
    </w:rPr>
  </w:style>
  <w:style w:type="character" w:customStyle="1" w:styleId="BodyTextChar">
    <w:name w:val="Body Text Char"/>
    <w:basedOn w:val="DefaultParagraphFont"/>
    <w:link w:val="BodyText"/>
    <w:uiPriority w:val="1"/>
    <w:rsid w:val="003A7FC5"/>
    <w:rPr>
      <w:rFonts w:ascii="Times New Roman" w:eastAsia="Times New Roman" w:hAnsi="Times New Roman" w:cs="Arial Unicode MS"/>
      <w:sz w:val="24"/>
      <w:szCs w:val="24"/>
      <w:lang w:val="id" w:eastAsia="id"/>
    </w:rPr>
  </w:style>
  <w:style w:type="paragraph" w:styleId="Footer">
    <w:name w:val="footer"/>
    <w:basedOn w:val="Normal"/>
    <w:link w:val="FooterChar"/>
    <w:uiPriority w:val="99"/>
    <w:unhideWhenUsed/>
    <w:qFormat/>
    <w:rsid w:val="003A7FC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3A7FC5"/>
    <w:rPr>
      <w:lang w:bidi="ar-SA"/>
    </w:rPr>
  </w:style>
  <w:style w:type="paragraph" w:styleId="FootnoteText">
    <w:name w:val="footnote text"/>
    <w:basedOn w:val="Normal"/>
    <w:link w:val="FootnoteTextChar"/>
    <w:uiPriority w:val="99"/>
    <w:unhideWhenUsed/>
    <w:qFormat/>
    <w:rsid w:val="003A7FC5"/>
    <w:pPr>
      <w:spacing w:after="0" w:line="240" w:lineRule="auto"/>
    </w:pPr>
    <w:rPr>
      <w:rFonts w:ascii="Times New Roman" w:eastAsia="SimSun" w:hAnsi="Times New Roman" w:cs="Times New Roman"/>
      <w:sz w:val="20"/>
      <w:szCs w:val="20"/>
    </w:rPr>
  </w:style>
  <w:style w:type="character" w:customStyle="1" w:styleId="FootnoteTextChar">
    <w:name w:val="Footnote Text Char"/>
    <w:basedOn w:val="DefaultParagraphFont"/>
    <w:link w:val="FootnoteText"/>
    <w:uiPriority w:val="99"/>
    <w:qFormat/>
    <w:rsid w:val="003A7FC5"/>
    <w:rPr>
      <w:rFonts w:ascii="Times New Roman" w:eastAsia="SimSun" w:hAnsi="Times New Roman" w:cs="Times New Roman"/>
      <w:sz w:val="20"/>
      <w:szCs w:val="20"/>
      <w:lang w:bidi="ar-SA"/>
    </w:rPr>
  </w:style>
  <w:style w:type="character" w:styleId="FootnoteReference">
    <w:name w:val="footnote reference"/>
    <w:basedOn w:val="DefaultParagraphFont"/>
    <w:uiPriority w:val="99"/>
    <w:unhideWhenUsed/>
    <w:qFormat/>
    <w:rsid w:val="003A7FC5"/>
    <w:rPr>
      <w:vertAlign w:val="superscript"/>
    </w:rPr>
  </w:style>
  <w:style w:type="table" w:styleId="TableGrid">
    <w:name w:val="Table Grid"/>
    <w:basedOn w:val="TableNormal"/>
    <w:uiPriority w:val="59"/>
    <w:qFormat/>
    <w:rsid w:val="003A7FC5"/>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A7FC5"/>
    <w:pPr>
      <w:spacing w:after="0" w:line="240" w:lineRule="auto"/>
    </w:pPr>
    <w:rPr>
      <w:lang w:val="id-ID" w:bidi="ar-SA"/>
    </w:rPr>
  </w:style>
  <w:style w:type="paragraph" w:styleId="ListParagraph">
    <w:name w:val="List Paragraph"/>
    <w:basedOn w:val="Normal"/>
    <w:uiPriority w:val="99"/>
    <w:unhideWhenUsed/>
    <w:rsid w:val="003A7FC5"/>
    <w:pPr>
      <w:ind w:left="720"/>
      <w:contextualSpacing/>
    </w:pPr>
  </w:style>
  <w:style w:type="paragraph" w:styleId="BalloonText">
    <w:name w:val="Balloon Text"/>
    <w:basedOn w:val="Normal"/>
    <w:link w:val="BalloonTextChar"/>
    <w:uiPriority w:val="99"/>
    <w:semiHidden/>
    <w:unhideWhenUsed/>
    <w:rsid w:val="003A7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FC5"/>
    <w:rPr>
      <w:rFonts w:ascii="Tahoma" w:hAnsi="Tahoma" w:cs="Tahoma"/>
      <w:sz w:val="16"/>
      <w:szCs w:val="16"/>
      <w:lang w:bidi="ar-SA"/>
    </w:rPr>
  </w:style>
  <w:style w:type="character" w:styleId="Hyperlink">
    <w:name w:val="Hyperlink"/>
    <w:basedOn w:val="DefaultParagraphFont"/>
    <w:uiPriority w:val="99"/>
    <w:unhideWhenUsed/>
    <w:rsid w:val="00A875DC"/>
    <w:rPr>
      <w:color w:val="0000FF" w:themeColor="hyperlink"/>
      <w:u w:val="single"/>
    </w:rPr>
  </w:style>
  <w:style w:type="table" w:styleId="LightShading">
    <w:name w:val="Light Shading"/>
    <w:basedOn w:val="TableNormal"/>
    <w:uiPriority w:val="60"/>
    <w:rsid w:val="00AC1DFA"/>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my-M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FC5"/>
    <w:rPr>
      <w:lang w:bidi="ar-SA"/>
    </w:rPr>
  </w:style>
  <w:style w:type="paragraph" w:styleId="Heading2">
    <w:name w:val="heading 2"/>
    <w:basedOn w:val="Normal"/>
    <w:link w:val="Heading2Char"/>
    <w:uiPriority w:val="1"/>
    <w:qFormat/>
    <w:rsid w:val="003A7FC5"/>
    <w:pPr>
      <w:widowControl w:val="0"/>
      <w:autoSpaceDE w:val="0"/>
      <w:autoSpaceDN w:val="0"/>
      <w:spacing w:after="0" w:line="240" w:lineRule="auto"/>
      <w:ind w:left="131" w:right="131"/>
      <w:jc w:val="center"/>
      <w:outlineLvl w:val="1"/>
    </w:pPr>
    <w:rPr>
      <w:rFonts w:ascii="Times New Roman" w:eastAsia="Times New Roman" w:hAnsi="Times New Roman" w:cs="Times New Roman"/>
      <w:b/>
      <w:bCs/>
      <w:i/>
      <w:i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A7FC5"/>
    <w:rPr>
      <w:rFonts w:ascii="Times New Roman" w:eastAsia="Times New Roman" w:hAnsi="Times New Roman" w:cs="Times New Roman"/>
      <w:b/>
      <w:bCs/>
      <w:i/>
      <w:iCs/>
      <w:sz w:val="24"/>
      <w:szCs w:val="24"/>
      <w:lang w:val="id" w:bidi="ar-SA"/>
    </w:rPr>
  </w:style>
  <w:style w:type="paragraph" w:styleId="BodyText">
    <w:name w:val="Body Text"/>
    <w:basedOn w:val="Normal"/>
    <w:link w:val="BodyTextChar"/>
    <w:uiPriority w:val="1"/>
    <w:qFormat/>
    <w:rsid w:val="003A7FC5"/>
    <w:rPr>
      <w:rFonts w:ascii="Times New Roman" w:eastAsia="Times New Roman" w:hAnsi="Times New Roman" w:cs="Arial Unicode MS"/>
      <w:sz w:val="24"/>
      <w:szCs w:val="24"/>
      <w:lang w:val="id" w:eastAsia="id" w:bidi="my-MM"/>
    </w:rPr>
  </w:style>
  <w:style w:type="character" w:customStyle="1" w:styleId="BodyTextChar">
    <w:name w:val="Body Text Char"/>
    <w:basedOn w:val="DefaultParagraphFont"/>
    <w:link w:val="BodyText"/>
    <w:uiPriority w:val="1"/>
    <w:rsid w:val="003A7FC5"/>
    <w:rPr>
      <w:rFonts w:ascii="Times New Roman" w:eastAsia="Times New Roman" w:hAnsi="Times New Roman" w:cs="Arial Unicode MS"/>
      <w:sz w:val="24"/>
      <w:szCs w:val="24"/>
      <w:lang w:val="id" w:eastAsia="id"/>
    </w:rPr>
  </w:style>
  <w:style w:type="paragraph" w:styleId="Footer">
    <w:name w:val="footer"/>
    <w:basedOn w:val="Normal"/>
    <w:link w:val="FooterChar"/>
    <w:uiPriority w:val="99"/>
    <w:unhideWhenUsed/>
    <w:qFormat/>
    <w:rsid w:val="003A7FC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3A7FC5"/>
    <w:rPr>
      <w:lang w:bidi="ar-SA"/>
    </w:rPr>
  </w:style>
  <w:style w:type="paragraph" w:styleId="FootnoteText">
    <w:name w:val="footnote text"/>
    <w:basedOn w:val="Normal"/>
    <w:link w:val="FootnoteTextChar"/>
    <w:uiPriority w:val="99"/>
    <w:unhideWhenUsed/>
    <w:qFormat/>
    <w:rsid w:val="003A7FC5"/>
    <w:pPr>
      <w:spacing w:after="0" w:line="240" w:lineRule="auto"/>
    </w:pPr>
    <w:rPr>
      <w:rFonts w:ascii="Times New Roman" w:eastAsia="SimSun" w:hAnsi="Times New Roman" w:cs="Times New Roman"/>
      <w:sz w:val="20"/>
      <w:szCs w:val="20"/>
    </w:rPr>
  </w:style>
  <w:style w:type="character" w:customStyle="1" w:styleId="FootnoteTextChar">
    <w:name w:val="Footnote Text Char"/>
    <w:basedOn w:val="DefaultParagraphFont"/>
    <w:link w:val="FootnoteText"/>
    <w:uiPriority w:val="99"/>
    <w:qFormat/>
    <w:rsid w:val="003A7FC5"/>
    <w:rPr>
      <w:rFonts w:ascii="Times New Roman" w:eastAsia="SimSun" w:hAnsi="Times New Roman" w:cs="Times New Roman"/>
      <w:sz w:val="20"/>
      <w:szCs w:val="20"/>
      <w:lang w:bidi="ar-SA"/>
    </w:rPr>
  </w:style>
  <w:style w:type="character" w:styleId="FootnoteReference">
    <w:name w:val="footnote reference"/>
    <w:basedOn w:val="DefaultParagraphFont"/>
    <w:uiPriority w:val="99"/>
    <w:unhideWhenUsed/>
    <w:qFormat/>
    <w:rsid w:val="003A7FC5"/>
    <w:rPr>
      <w:vertAlign w:val="superscript"/>
    </w:rPr>
  </w:style>
  <w:style w:type="table" w:styleId="TableGrid">
    <w:name w:val="Table Grid"/>
    <w:basedOn w:val="TableNormal"/>
    <w:uiPriority w:val="59"/>
    <w:qFormat/>
    <w:rsid w:val="003A7FC5"/>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A7FC5"/>
    <w:pPr>
      <w:spacing w:after="0" w:line="240" w:lineRule="auto"/>
    </w:pPr>
    <w:rPr>
      <w:lang w:val="id-ID" w:bidi="ar-SA"/>
    </w:rPr>
  </w:style>
  <w:style w:type="paragraph" w:styleId="ListParagraph">
    <w:name w:val="List Paragraph"/>
    <w:basedOn w:val="Normal"/>
    <w:uiPriority w:val="99"/>
    <w:unhideWhenUsed/>
    <w:rsid w:val="003A7FC5"/>
    <w:pPr>
      <w:ind w:left="720"/>
      <w:contextualSpacing/>
    </w:pPr>
  </w:style>
  <w:style w:type="paragraph" w:styleId="BalloonText">
    <w:name w:val="Balloon Text"/>
    <w:basedOn w:val="Normal"/>
    <w:link w:val="BalloonTextChar"/>
    <w:uiPriority w:val="99"/>
    <w:semiHidden/>
    <w:unhideWhenUsed/>
    <w:rsid w:val="003A7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FC5"/>
    <w:rPr>
      <w:rFonts w:ascii="Tahoma" w:hAnsi="Tahoma" w:cs="Tahoma"/>
      <w:sz w:val="16"/>
      <w:szCs w:val="16"/>
      <w:lang w:bidi="ar-SA"/>
    </w:rPr>
  </w:style>
  <w:style w:type="character" w:styleId="Hyperlink">
    <w:name w:val="Hyperlink"/>
    <w:basedOn w:val="DefaultParagraphFont"/>
    <w:uiPriority w:val="99"/>
    <w:unhideWhenUsed/>
    <w:rsid w:val="00A875DC"/>
    <w:rPr>
      <w:color w:val="0000FF" w:themeColor="hyperlink"/>
      <w:u w:val="single"/>
    </w:rPr>
  </w:style>
  <w:style w:type="table" w:styleId="LightShading">
    <w:name w:val="Light Shading"/>
    <w:basedOn w:val="TableNormal"/>
    <w:uiPriority w:val="60"/>
    <w:rsid w:val="00AC1DFA"/>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69ACA-77DF-49A6-9EC1-59044928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22</Pages>
  <Words>7069</Words>
  <Characters>40298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PT. Bank Central Asia, Tbk.</Company>
  <LinksUpToDate>false</LinksUpToDate>
  <CharactersWithSpaces>47273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2024-07-01T02:51:00Z</dcterms:created>
  <dcterms:modified xsi:type="dcterms:W3CDTF">2024-07-01T10:46:00Z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f498f1d7-2d89-3133-bfbf-9fa069b1745f</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http://www.zotero.org/styles/oscola</vt:lpwstr>
  </property>
  <property fmtid="{D5CDD505-2E9C-101B-9397-08002B2CF9AE}" pid="24" name="Mendeley Recent Style Name 9_1">
    <vt:lpwstr>OSCOLA (Oxford University Standard for Citation of Legal Authorities)</vt:lpwstr>
  </property>
</Properties>
</file>