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90212" w14:textId="77777777" w:rsidR="00D615F2" w:rsidRDefault="00000000">
      <w:pPr>
        <w:spacing w:after="0" w:line="240" w:lineRule="auto"/>
      </w:pPr>
      <w:r>
        <w:rPr>
          <w:noProof/>
        </w:rPr>
        <w:drawing>
          <wp:inline distT="0" distB="0" distL="114300" distR="114300" wp14:anchorId="75667455" wp14:editId="7689D3AB">
            <wp:extent cx="5666105" cy="1366520"/>
            <wp:effectExtent l="0" t="0" r="10795" b="508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pic:cNvPicPr>
                  </pic:nvPicPr>
                  <pic:blipFill>
                    <a:blip r:embed="rId9"/>
                    <a:srcRect l="4859" t="25868" r="5197" b="39429"/>
                    <a:stretch>
                      <a:fillRect/>
                    </a:stretch>
                  </pic:blipFill>
                  <pic:spPr>
                    <a:xfrm>
                      <a:off x="0" y="0"/>
                      <a:ext cx="5666105" cy="1366520"/>
                    </a:xfrm>
                    <a:prstGeom prst="rect">
                      <a:avLst/>
                    </a:prstGeom>
                    <a:noFill/>
                    <a:ln>
                      <a:noFill/>
                    </a:ln>
                  </pic:spPr>
                </pic:pic>
              </a:graphicData>
            </a:graphic>
          </wp:inline>
        </w:drawing>
      </w:r>
    </w:p>
    <w:p w14:paraId="54013BAA" w14:textId="77777777" w:rsidR="00D615F2" w:rsidRDefault="00D615F2">
      <w:pPr>
        <w:pBdr>
          <w:top w:val="none" w:sz="0" w:space="1" w:color="auto"/>
          <w:left w:val="none" w:sz="0" w:space="4" w:color="auto"/>
          <w:bottom w:val="thinThickSmallGap" w:sz="24" w:space="0" w:color="auto"/>
          <w:right w:val="none" w:sz="0" w:space="4" w:color="auto"/>
        </w:pBdr>
        <w:spacing w:after="0" w:line="240" w:lineRule="auto"/>
        <w:rPr>
          <w:sz w:val="6"/>
          <w:szCs w:val="6"/>
          <w:lang w:val="nl-NL"/>
        </w:rPr>
      </w:pPr>
    </w:p>
    <w:p w14:paraId="4E5ABB67" w14:textId="77777777" w:rsidR="00D615F2" w:rsidRDefault="00D615F2">
      <w:pPr>
        <w:spacing w:after="0" w:line="240" w:lineRule="auto"/>
        <w:rPr>
          <w:lang w:val="nl-NL"/>
        </w:rPr>
      </w:pPr>
    </w:p>
    <w:p w14:paraId="06791EC7" w14:textId="77777777" w:rsidR="006911A5" w:rsidRPr="006911A5" w:rsidRDefault="006911A5" w:rsidP="006911A5">
      <w:pPr>
        <w:tabs>
          <w:tab w:val="left" w:pos="90"/>
        </w:tabs>
        <w:spacing w:after="0" w:line="240" w:lineRule="auto"/>
        <w:jc w:val="center"/>
        <w:rPr>
          <w:rFonts w:ascii="Times New Roman" w:eastAsia="Times New Roman" w:hAnsi="Times New Roman"/>
          <w:b/>
          <w:sz w:val="28"/>
        </w:rPr>
      </w:pPr>
      <w:r w:rsidRPr="006911A5">
        <w:rPr>
          <w:rFonts w:ascii="Times New Roman" w:eastAsia="Times New Roman" w:hAnsi="Times New Roman"/>
          <w:b/>
          <w:bCs/>
          <w:sz w:val="28"/>
        </w:rPr>
        <w:t>Legal Liability Of Inadvertent Customs Documents By Customs In Export Business</w:t>
      </w:r>
    </w:p>
    <w:p w14:paraId="2F819680" w14:textId="77777777" w:rsidR="00D615F2" w:rsidRDefault="00D615F2">
      <w:pPr>
        <w:tabs>
          <w:tab w:val="left" w:pos="90"/>
        </w:tabs>
        <w:spacing w:after="0" w:line="240" w:lineRule="auto"/>
        <w:jc w:val="both"/>
        <w:rPr>
          <w:rFonts w:ascii="Times New Roman" w:eastAsia="Times New Roman" w:hAnsi="Times New Roman"/>
          <w:b/>
          <w:sz w:val="28"/>
        </w:rPr>
      </w:pPr>
    </w:p>
    <w:p w14:paraId="19777D20" w14:textId="4D7D6B04" w:rsidR="00D615F2" w:rsidRDefault="006911A5">
      <w:pPr>
        <w:pStyle w:val="NoSpacing"/>
        <w:spacing w:line="360" w:lineRule="auto"/>
        <w:jc w:val="center"/>
        <w:rPr>
          <w:rFonts w:ascii="Times New Roman" w:eastAsia="Times New Roman" w:hAnsi="Times New Roman"/>
          <w:sz w:val="24"/>
        </w:rPr>
      </w:pPr>
      <w:proofErr w:type="spellStart"/>
      <w:r>
        <w:rPr>
          <w:rFonts w:ascii="Times New Roman" w:eastAsia="Times New Roman" w:hAnsi="Times New Roman"/>
          <w:sz w:val="24"/>
          <w:lang w:val="en-US"/>
        </w:rPr>
        <w:t>Qurrota</w:t>
      </w:r>
      <w:proofErr w:type="spellEnd"/>
      <w:r>
        <w:rPr>
          <w:rFonts w:ascii="Times New Roman" w:eastAsia="Times New Roman" w:hAnsi="Times New Roman"/>
          <w:sz w:val="24"/>
          <w:lang w:val="en-US"/>
        </w:rPr>
        <w:t xml:space="preserve"> </w:t>
      </w:r>
      <w:proofErr w:type="spellStart"/>
      <w:r>
        <w:rPr>
          <w:rFonts w:ascii="Times New Roman" w:eastAsia="Times New Roman" w:hAnsi="Times New Roman"/>
          <w:sz w:val="24"/>
          <w:lang w:val="en-US"/>
        </w:rPr>
        <w:t>A’yun</w:t>
      </w:r>
      <w:proofErr w:type="spellEnd"/>
      <w:r>
        <w:rPr>
          <w:rFonts w:ascii="Times New Roman" w:eastAsia="Times New Roman" w:hAnsi="Times New Roman" w:hint="eastAsia"/>
          <w:sz w:val="24"/>
          <w:vertAlign w:val="superscript"/>
        </w:rPr>
        <w:t>a</w:t>
      </w:r>
      <w:r>
        <w:rPr>
          <w:rFonts w:ascii="Times New Roman" w:eastAsia="Times New Roman" w:hAnsi="Times New Roman" w:hint="eastAsia"/>
          <w:sz w:val="24"/>
        </w:rPr>
        <w:t xml:space="preserve">, </w:t>
      </w:r>
      <w:r>
        <w:rPr>
          <w:rFonts w:ascii="Times New Roman" w:eastAsia="Times New Roman" w:hAnsi="Times New Roman"/>
          <w:sz w:val="24"/>
          <w:lang w:val="en-US"/>
        </w:rPr>
        <w:t xml:space="preserve">Dwi Ratna Indri </w:t>
      </w:r>
      <w:proofErr w:type="spellStart"/>
      <w:r>
        <w:rPr>
          <w:rFonts w:ascii="Times New Roman" w:eastAsia="Times New Roman" w:hAnsi="Times New Roman"/>
          <w:sz w:val="24"/>
          <w:lang w:val="en-US"/>
        </w:rPr>
        <w:t>Hapsari</w:t>
      </w:r>
      <w:proofErr w:type="spellEnd"/>
      <w:r>
        <w:rPr>
          <w:rFonts w:ascii="Times New Roman" w:eastAsia="Times New Roman" w:hAnsi="Times New Roman" w:hint="eastAsia"/>
          <w:sz w:val="24"/>
          <w:vertAlign w:val="superscript"/>
        </w:rPr>
        <w:t>b</w:t>
      </w:r>
    </w:p>
    <w:p w14:paraId="1807F930" w14:textId="46AEEB40" w:rsidR="00D615F2" w:rsidRPr="006911A5" w:rsidRDefault="00000000" w:rsidP="006911A5">
      <w:pPr>
        <w:pStyle w:val="NoSpacing"/>
        <w:jc w:val="center"/>
        <w:rPr>
          <w:rFonts w:ascii="Times New Roman" w:eastAsia="Times New Roman" w:hAnsi="Times New Roman"/>
          <w:i/>
          <w:iCs/>
          <w:sz w:val="20"/>
        </w:rPr>
      </w:pPr>
      <w:r>
        <w:rPr>
          <w:rFonts w:ascii="Times New Roman" w:eastAsia="Times New Roman" w:hAnsi="Times New Roman" w:hint="eastAsia"/>
          <w:sz w:val="24"/>
          <w:vertAlign w:val="superscript"/>
        </w:rPr>
        <w:t>a</w:t>
      </w:r>
      <w:r>
        <w:rPr>
          <w:rFonts w:ascii="Times New Roman" w:eastAsia="Times New Roman" w:hAnsi="Times New Roman" w:hint="eastAsia"/>
          <w:sz w:val="24"/>
        </w:rPr>
        <w:t xml:space="preserve"> </w:t>
      </w:r>
      <w:r w:rsidR="006911A5" w:rsidRPr="006911A5">
        <w:rPr>
          <w:rFonts w:ascii="Times New Roman" w:eastAsia="Times New Roman" w:hAnsi="Times New Roman"/>
          <w:i/>
          <w:iCs/>
          <w:sz w:val="20"/>
          <w:lang w:val="en-US"/>
        </w:rPr>
        <w:t>Faculty of Law, University of Muhammadiyah Malang, qurrotaayunn@webmail.umm.ac.id</w:t>
      </w:r>
    </w:p>
    <w:p w14:paraId="04EF61A3" w14:textId="5A493CD0" w:rsidR="00D615F2" w:rsidRDefault="00000000">
      <w:pPr>
        <w:pStyle w:val="NoSpacing"/>
        <w:jc w:val="center"/>
        <w:rPr>
          <w:rFonts w:ascii="Times New Roman" w:eastAsia="Times New Roman" w:hAnsi="Times New Roman"/>
          <w:sz w:val="20"/>
        </w:rPr>
      </w:pPr>
      <w:r>
        <w:rPr>
          <w:rFonts w:ascii="Times New Roman" w:eastAsia="Times New Roman" w:hAnsi="Times New Roman" w:hint="eastAsia"/>
          <w:sz w:val="24"/>
          <w:vertAlign w:val="superscript"/>
        </w:rPr>
        <w:t>b</w:t>
      </w:r>
      <w:r>
        <w:rPr>
          <w:rFonts w:ascii="Times New Roman" w:eastAsia="Times New Roman" w:hAnsi="Times New Roman" w:hint="eastAsia"/>
          <w:sz w:val="24"/>
        </w:rPr>
        <w:t xml:space="preserve"> </w:t>
      </w:r>
      <w:proofErr w:type="spellStart"/>
      <w:r w:rsidR="006911A5" w:rsidRPr="006911A5">
        <w:rPr>
          <w:rFonts w:ascii="Times New Roman" w:eastAsia="Times New Roman" w:hAnsi="Times New Roman"/>
          <w:i/>
          <w:iCs/>
          <w:sz w:val="20"/>
        </w:rPr>
        <w:t>Faculty</w:t>
      </w:r>
      <w:proofErr w:type="spellEnd"/>
      <w:r w:rsidR="006911A5" w:rsidRPr="006911A5">
        <w:rPr>
          <w:rFonts w:ascii="Times New Roman" w:eastAsia="Times New Roman" w:hAnsi="Times New Roman"/>
          <w:i/>
          <w:iCs/>
          <w:sz w:val="20"/>
        </w:rPr>
        <w:t xml:space="preserve"> </w:t>
      </w:r>
      <w:proofErr w:type="spellStart"/>
      <w:r w:rsidR="006911A5" w:rsidRPr="006911A5">
        <w:rPr>
          <w:rFonts w:ascii="Times New Roman" w:eastAsia="Times New Roman" w:hAnsi="Times New Roman"/>
          <w:i/>
          <w:iCs/>
          <w:sz w:val="20"/>
        </w:rPr>
        <w:t>of</w:t>
      </w:r>
      <w:proofErr w:type="spellEnd"/>
      <w:r w:rsidR="006911A5" w:rsidRPr="006911A5">
        <w:rPr>
          <w:rFonts w:ascii="Times New Roman" w:eastAsia="Times New Roman" w:hAnsi="Times New Roman"/>
          <w:i/>
          <w:iCs/>
          <w:sz w:val="20"/>
        </w:rPr>
        <w:t xml:space="preserve"> Law, </w:t>
      </w:r>
      <w:proofErr w:type="spellStart"/>
      <w:r w:rsidR="006911A5" w:rsidRPr="006911A5">
        <w:rPr>
          <w:rFonts w:ascii="Times New Roman" w:eastAsia="Times New Roman" w:hAnsi="Times New Roman"/>
          <w:i/>
          <w:iCs/>
          <w:sz w:val="20"/>
        </w:rPr>
        <w:t>University</w:t>
      </w:r>
      <w:proofErr w:type="spellEnd"/>
      <w:r w:rsidR="006911A5" w:rsidRPr="006911A5">
        <w:rPr>
          <w:rFonts w:ascii="Times New Roman" w:eastAsia="Times New Roman" w:hAnsi="Times New Roman"/>
          <w:i/>
          <w:iCs/>
          <w:sz w:val="20"/>
        </w:rPr>
        <w:t xml:space="preserve"> </w:t>
      </w:r>
      <w:proofErr w:type="spellStart"/>
      <w:r w:rsidR="006911A5" w:rsidRPr="006911A5">
        <w:rPr>
          <w:rFonts w:ascii="Times New Roman" w:eastAsia="Times New Roman" w:hAnsi="Times New Roman"/>
          <w:i/>
          <w:iCs/>
          <w:sz w:val="20"/>
        </w:rPr>
        <w:t>of</w:t>
      </w:r>
      <w:proofErr w:type="spellEnd"/>
      <w:r w:rsidR="006911A5" w:rsidRPr="006911A5">
        <w:rPr>
          <w:rFonts w:ascii="Times New Roman" w:eastAsia="Times New Roman" w:hAnsi="Times New Roman"/>
          <w:i/>
          <w:iCs/>
          <w:sz w:val="20"/>
        </w:rPr>
        <w:t xml:space="preserve"> Muhammadiyah Malang, dwiratna@webmail.umm.ac.id</w:t>
      </w:r>
    </w:p>
    <w:p w14:paraId="710E8256" w14:textId="77777777" w:rsidR="00D615F2" w:rsidRDefault="00D615F2">
      <w:pPr>
        <w:pStyle w:val="NoSpacing"/>
        <w:jc w:val="center"/>
        <w:rPr>
          <w:rFonts w:ascii="Times New Roman" w:hAnsi="Times New Roman" w:cs="Times New Roman"/>
          <w:sz w:val="20"/>
          <w:szCs w:val="20"/>
        </w:rPr>
      </w:pPr>
    </w:p>
    <w:tbl>
      <w:tblPr>
        <w:tblStyle w:val="TableGrid"/>
        <w:tblW w:w="9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7"/>
        <w:gridCol w:w="768"/>
        <w:gridCol w:w="6085"/>
      </w:tblGrid>
      <w:tr w:rsidR="00D615F2" w14:paraId="4272A9E6" w14:textId="77777777">
        <w:tc>
          <w:tcPr>
            <w:tcW w:w="2457" w:type="dxa"/>
            <w:tcBorders>
              <w:top w:val="single" w:sz="18" w:space="0" w:color="000000"/>
              <w:bottom w:val="single" w:sz="8" w:space="0" w:color="000000"/>
            </w:tcBorders>
          </w:tcPr>
          <w:p w14:paraId="54AB120E" w14:textId="77777777" w:rsidR="00D615F2" w:rsidRDefault="00000000">
            <w:pPr>
              <w:pStyle w:val="NoSpacing"/>
              <w:spacing w:afterLines="50" w:after="120"/>
              <w:jc w:val="both"/>
              <w:rPr>
                <w:rFonts w:ascii="Times New Roman" w:hAnsi="Times New Roman" w:cs="Times New Roman"/>
                <w:sz w:val="20"/>
                <w:szCs w:val="20"/>
              </w:rPr>
            </w:pPr>
            <w:r>
              <w:rPr>
                <w:rFonts w:ascii="Times New Roman" w:hAnsi="Times New Roman" w:cs="Times New Roman"/>
                <w:b/>
                <w:sz w:val="20"/>
                <w:szCs w:val="20"/>
              </w:rPr>
              <w:t>Informasi Artikel</w:t>
            </w:r>
          </w:p>
        </w:tc>
        <w:tc>
          <w:tcPr>
            <w:tcW w:w="768" w:type="dxa"/>
            <w:tcBorders>
              <w:top w:val="single" w:sz="18" w:space="0" w:color="000000"/>
            </w:tcBorders>
          </w:tcPr>
          <w:p w14:paraId="41E083D2" w14:textId="77777777" w:rsidR="00D615F2" w:rsidRDefault="00D615F2">
            <w:pPr>
              <w:pStyle w:val="NoSpacing"/>
              <w:jc w:val="both"/>
              <w:rPr>
                <w:rFonts w:ascii="Times New Roman" w:hAnsi="Times New Roman" w:cs="Times New Roman"/>
                <w:sz w:val="20"/>
                <w:szCs w:val="20"/>
              </w:rPr>
            </w:pPr>
          </w:p>
        </w:tc>
        <w:tc>
          <w:tcPr>
            <w:tcW w:w="6085" w:type="dxa"/>
            <w:tcBorders>
              <w:top w:val="single" w:sz="18" w:space="0" w:color="000000"/>
              <w:bottom w:val="single" w:sz="18" w:space="0" w:color="000000"/>
            </w:tcBorders>
          </w:tcPr>
          <w:p w14:paraId="5D2DD5DF" w14:textId="77777777" w:rsidR="00D615F2" w:rsidRDefault="00000000">
            <w:pPr>
              <w:pStyle w:val="NoSpacing"/>
              <w:jc w:val="both"/>
              <w:rPr>
                <w:rFonts w:ascii="Times New Roman" w:hAnsi="Times New Roman" w:cs="Times New Roman"/>
                <w:sz w:val="20"/>
                <w:szCs w:val="20"/>
              </w:rPr>
            </w:pPr>
            <w:r>
              <w:rPr>
                <w:rFonts w:ascii="Times New Roman" w:hAnsi="Times New Roman" w:cs="Times New Roman"/>
                <w:b/>
                <w:lang w:val="nl-NL"/>
              </w:rPr>
              <w:t>Abstrak</w:t>
            </w:r>
          </w:p>
        </w:tc>
      </w:tr>
      <w:tr w:rsidR="00D615F2" w14:paraId="3F144BAF" w14:textId="77777777">
        <w:tc>
          <w:tcPr>
            <w:tcW w:w="2457" w:type="dxa"/>
            <w:tcBorders>
              <w:top w:val="single" w:sz="8" w:space="0" w:color="000000"/>
              <w:bottom w:val="single" w:sz="8" w:space="0" w:color="000000"/>
            </w:tcBorders>
          </w:tcPr>
          <w:p w14:paraId="43ECA6E2" w14:textId="77777777" w:rsidR="00D615F2" w:rsidRDefault="00000000">
            <w:pPr>
              <w:pStyle w:val="NoSpacing"/>
              <w:rPr>
                <w:rFonts w:ascii="Times New Roman" w:hAnsi="Times New Roman" w:cs="Times New Roman"/>
                <w:b/>
                <w:sz w:val="20"/>
                <w:szCs w:val="20"/>
              </w:rPr>
            </w:pPr>
            <w:r>
              <w:rPr>
                <w:rFonts w:ascii="Times New Roman" w:hAnsi="Times New Roman" w:cs="Times New Roman"/>
                <w:b/>
                <w:sz w:val="20"/>
                <w:szCs w:val="20"/>
              </w:rPr>
              <w:t>Histori Artikel:</w:t>
            </w:r>
          </w:p>
          <w:p w14:paraId="68CB0D22" w14:textId="77777777" w:rsidR="00D615F2" w:rsidRDefault="00000000">
            <w:pPr>
              <w:pStyle w:val="NoSpacing"/>
              <w:rPr>
                <w:rFonts w:ascii="Times New Roman" w:hAnsi="Times New Roman" w:cs="Times New Roman"/>
                <w:sz w:val="20"/>
                <w:szCs w:val="20"/>
              </w:rPr>
            </w:pPr>
            <w:r>
              <w:rPr>
                <w:rFonts w:ascii="Times New Roman" w:hAnsi="Times New Roman" w:cs="Times New Roman"/>
                <w:sz w:val="20"/>
                <w:szCs w:val="20"/>
              </w:rPr>
              <w:t>Diterima     : 01-01-2020</w:t>
            </w:r>
          </w:p>
          <w:p w14:paraId="50C3B3CE" w14:textId="77777777" w:rsidR="00D615F2" w:rsidRDefault="00000000">
            <w:pPr>
              <w:pStyle w:val="NoSpacing"/>
              <w:rPr>
                <w:rFonts w:ascii="Times New Roman" w:hAnsi="Times New Roman" w:cs="Times New Roman"/>
                <w:sz w:val="20"/>
                <w:szCs w:val="20"/>
              </w:rPr>
            </w:pPr>
            <w:r>
              <w:rPr>
                <w:rFonts w:ascii="Times New Roman" w:hAnsi="Times New Roman" w:cs="Times New Roman"/>
                <w:sz w:val="20"/>
                <w:szCs w:val="20"/>
              </w:rPr>
              <w:t>Direvisi      : 20-01-2020</w:t>
            </w:r>
          </w:p>
          <w:p w14:paraId="7ED5D999" w14:textId="77777777" w:rsidR="00D615F2" w:rsidRDefault="00000000">
            <w:pPr>
              <w:pStyle w:val="NoSpacing"/>
              <w:rPr>
                <w:rFonts w:ascii="Times New Roman" w:hAnsi="Times New Roman" w:cs="Times New Roman"/>
                <w:sz w:val="20"/>
                <w:szCs w:val="20"/>
              </w:rPr>
            </w:pPr>
            <w:r>
              <w:rPr>
                <w:rFonts w:ascii="Times New Roman" w:hAnsi="Times New Roman" w:cs="Times New Roman"/>
                <w:sz w:val="20"/>
                <w:szCs w:val="20"/>
              </w:rPr>
              <w:t>Disetujui</w:t>
            </w:r>
            <w:r>
              <w:rPr>
                <w:rFonts w:ascii="Times New Roman" w:hAnsi="Times New Roman" w:cs="Times New Roman"/>
                <w:sz w:val="24"/>
                <w:szCs w:val="24"/>
              </w:rPr>
              <w:t xml:space="preserve">    </w:t>
            </w:r>
            <w:r>
              <w:rPr>
                <w:rFonts w:ascii="Times New Roman" w:hAnsi="Times New Roman" w:cs="Times New Roman"/>
                <w:sz w:val="20"/>
                <w:szCs w:val="20"/>
              </w:rPr>
              <w:t>: 10-02-2020</w:t>
            </w:r>
          </w:p>
          <w:p w14:paraId="6D09B4C5" w14:textId="77777777" w:rsidR="00D615F2" w:rsidRDefault="00000000">
            <w:pPr>
              <w:pStyle w:val="NoSpacing"/>
              <w:spacing w:afterLines="50" w:after="120"/>
              <w:rPr>
                <w:rFonts w:ascii="Times New Roman" w:hAnsi="Times New Roman" w:cs="Times New Roman"/>
                <w:sz w:val="20"/>
                <w:szCs w:val="20"/>
              </w:rPr>
            </w:pPr>
            <w:r>
              <w:rPr>
                <w:rFonts w:ascii="Times New Roman" w:hAnsi="Times New Roman" w:cs="Times New Roman"/>
                <w:sz w:val="20"/>
                <w:szCs w:val="20"/>
              </w:rPr>
              <w:t>Diterbitkan : 28-02-2020</w:t>
            </w:r>
          </w:p>
        </w:tc>
        <w:tc>
          <w:tcPr>
            <w:tcW w:w="768" w:type="dxa"/>
          </w:tcPr>
          <w:p w14:paraId="2868E2E1" w14:textId="77777777" w:rsidR="00D615F2" w:rsidRDefault="00D615F2">
            <w:pPr>
              <w:pStyle w:val="NoSpacing"/>
              <w:jc w:val="both"/>
              <w:rPr>
                <w:rFonts w:ascii="Times New Roman" w:hAnsi="Times New Roman" w:cs="Times New Roman"/>
                <w:sz w:val="20"/>
                <w:szCs w:val="20"/>
              </w:rPr>
            </w:pPr>
          </w:p>
        </w:tc>
        <w:tc>
          <w:tcPr>
            <w:tcW w:w="6085" w:type="dxa"/>
            <w:vMerge w:val="restart"/>
            <w:tcBorders>
              <w:top w:val="single" w:sz="18" w:space="0" w:color="000000"/>
              <w:bottom w:val="single" w:sz="18" w:space="0" w:color="000000"/>
            </w:tcBorders>
          </w:tcPr>
          <w:p w14:paraId="267A5B7B" w14:textId="13BBB880" w:rsidR="00D615F2" w:rsidRDefault="00BC0AAC">
            <w:pPr>
              <w:pStyle w:val="NoSpacing"/>
              <w:jc w:val="both"/>
              <w:rPr>
                <w:rFonts w:ascii="Times New Roman" w:hAnsi="Times New Roman" w:cs="Times New Roman"/>
                <w:i/>
                <w:iCs/>
                <w:sz w:val="20"/>
                <w:szCs w:val="20"/>
              </w:rPr>
            </w:pPr>
            <w:r w:rsidRPr="00BC0AAC">
              <w:rPr>
                <w:rFonts w:ascii="Times New Roman" w:eastAsia="Times New Roman" w:hAnsi="Times New Roman"/>
                <w:i/>
                <w:sz w:val="20"/>
              </w:rPr>
              <w:t xml:space="preserve">Tujuan dari penelitian ini adalah untuk mengetahui akibat hukum yang mungkin dihadapi oleh eksportir ketika terjadi kesalahan yang tidak disengaja dalam prosedur kepabeanan yang dilakukan oleh Bea Cukai. Penelitian ini menggunakan metode penelitian yuridis normatif untuk menganalisis pertanggungjawaban hukum Bea Cukai dalam kasus </w:t>
            </w:r>
            <w:proofErr w:type="spellStart"/>
            <w:r w:rsidRPr="00BC0AAC">
              <w:rPr>
                <w:rFonts w:ascii="Times New Roman" w:eastAsia="Times New Roman" w:hAnsi="Times New Roman"/>
                <w:i/>
                <w:sz w:val="20"/>
              </w:rPr>
              <w:t>ketidaksengajaan</w:t>
            </w:r>
            <w:proofErr w:type="spellEnd"/>
            <w:r w:rsidRPr="00BC0AAC">
              <w:rPr>
                <w:rFonts w:ascii="Times New Roman" w:eastAsia="Times New Roman" w:hAnsi="Times New Roman"/>
                <w:i/>
                <w:sz w:val="20"/>
              </w:rPr>
              <w:t xml:space="preserve"> dokumen kepabeanan, dengan fokus pada ketentuan yang diatur dalam PMK No. 274/PMK.04/2014. Pengumpulan data dilakukan melalui studi kepustakaan dengan menggunakan sumber hukum primer, terutama peraturan perundang-undangan terkait. Data diklasifikasikan dan dianalisis secara normatif untuk memahami implementasi dan dampak dari tanggung jawab hukum Bea Cukai. Hasil penelitian memberikan gambaran mengenai mekanisme restitusi bea keluar dan aspek pertanggungjawaban hukum Bea Cukai, dengan fokus pada pembatalan ekspor, kelebihan pembayaran, dan peran Pengadilan Pajak. Penelitian ini diharapkan dapat memberikan kontribusi terhadap pemahaman yang lebih mendalam mengenai kerangka hukum kepabeanan di Indonesia dan dapat menjadi referensi bagi para pemangku kepentingan terkait.</w:t>
            </w:r>
          </w:p>
        </w:tc>
      </w:tr>
      <w:tr w:rsidR="00D615F2" w14:paraId="32F0FB8C" w14:textId="77777777">
        <w:tc>
          <w:tcPr>
            <w:tcW w:w="2457" w:type="dxa"/>
            <w:tcBorders>
              <w:top w:val="single" w:sz="8" w:space="0" w:color="000000"/>
              <w:bottom w:val="single" w:sz="18" w:space="0" w:color="auto"/>
            </w:tcBorders>
          </w:tcPr>
          <w:p w14:paraId="6627CC0F" w14:textId="77777777" w:rsidR="009D038E" w:rsidRDefault="00000000">
            <w:pPr>
              <w:pStyle w:val="NoSpacing"/>
              <w:rPr>
                <w:rFonts w:ascii="Times New Roman" w:eastAsia="Times New Roman" w:hAnsi="Times New Roman"/>
                <w:b/>
                <w:sz w:val="20"/>
              </w:rPr>
            </w:pPr>
            <w:r>
              <w:rPr>
                <w:rFonts w:ascii="Times New Roman" w:eastAsia="Times New Roman" w:hAnsi="Times New Roman" w:hint="eastAsia"/>
                <w:b/>
                <w:sz w:val="20"/>
              </w:rPr>
              <w:t>Kata Kunci:</w:t>
            </w:r>
          </w:p>
          <w:p w14:paraId="3CEFD85C" w14:textId="61AE2AC8" w:rsidR="00D615F2" w:rsidRPr="009D038E" w:rsidRDefault="00B9627F">
            <w:pPr>
              <w:pStyle w:val="NoSpacing"/>
              <w:rPr>
                <w:rFonts w:ascii="Times New Roman" w:eastAsia="Times New Roman" w:hAnsi="Times New Roman"/>
                <w:b/>
                <w:sz w:val="20"/>
              </w:rPr>
            </w:pPr>
            <w:proofErr w:type="spellStart"/>
            <w:r>
              <w:rPr>
                <w:rFonts w:ascii="Times New Roman" w:eastAsia="Times New Roman" w:hAnsi="Times New Roman"/>
                <w:sz w:val="20"/>
                <w:lang w:val="en-US"/>
              </w:rPr>
              <w:t>Kepabeanan</w:t>
            </w:r>
            <w:proofErr w:type="spellEnd"/>
            <w:r w:rsidR="009D038E">
              <w:rPr>
                <w:rFonts w:ascii="Times New Roman" w:eastAsia="Times New Roman" w:hAnsi="Times New Roman"/>
                <w:sz w:val="20"/>
                <w:lang w:val="en-US"/>
              </w:rPr>
              <w:t xml:space="preserve">; </w:t>
            </w:r>
            <w:proofErr w:type="spellStart"/>
            <w:r>
              <w:rPr>
                <w:rFonts w:ascii="Times New Roman" w:eastAsia="Times New Roman" w:hAnsi="Times New Roman"/>
                <w:sz w:val="20"/>
                <w:lang w:val="en-US"/>
              </w:rPr>
              <w:t>Dokumen</w:t>
            </w:r>
            <w:proofErr w:type="spellEnd"/>
            <w:r>
              <w:rPr>
                <w:rFonts w:ascii="Times New Roman" w:eastAsia="Times New Roman" w:hAnsi="Times New Roman"/>
                <w:sz w:val="20"/>
                <w:lang w:val="en-US"/>
              </w:rPr>
              <w:t xml:space="preserve"> </w:t>
            </w:r>
            <w:proofErr w:type="spellStart"/>
            <w:r>
              <w:rPr>
                <w:rFonts w:ascii="Times New Roman" w:eastAsia="Times New Roman" w:hAnsi="Times New Roman"/>
                <w:sz w:val="20"/>
                <w:lang w:val="en-US"/>
              </w:rPr>
              <w:t>Pabean</w:t>
            </w:r>
            <w:proofErr w:type="spellEnd"/>
            <w:r w:rsidR="009D038E">
              <w:rPr>
                <w:rFonts w:ascii="Times New Roman" w:eastAsia="Times New Roman" w:hAnsi="Times New Roman"/>
                <w:sz w:val="20"/>
                <w:lang w:val="en-US"/>
              </w:rPr>
              <w:t xml:space="preserve">; dan </w:t>
            </w:r>
            <w:proofErr w:type="spellStart"/>
            <w:r w:rsidR="009D038E">
              <w:rPr>
                <w:rFonts w:ascii="Times New Roman" w:eastAsia="Times New Roman" w:hAnsi="Times New Roman"/>
                <w:sz w:val="20"/>
                <w:lang w:val="en-US"/>
              </w:rPr>
              <w:t>Pertanggungjawaban</w:t>
            </w:r>
            <w:proofErr w:type="spellEnd"/>
            <w:r w:rsidR="009D038E">
              <w:rPr>
                <w:rFonts w:ascii="Times New Roman" w:eastAsia="Times New Roman" w:hAnsi="Times New Roman"/>
                <w:sz w:val="20"/>
                <w:lang w:val="en-US"/>
              </w:rPr>
              <w:t xml:space="preserve"> Hukum.</w:t>
            </w:r>
          </w:p>
          <w:p w14:paraId="584C212E" w14:textId="77777777" w:rsidR="00D615F2" w:rsidRDefault="00D615F2">
            <w:pPr>
              <w:pStyle w:val="NoSpacing"/>
              <w:rPr>
                <w:rFonts w:ascii="Times New Roman" w:eastAsia="Times New Roman" w:hAnsi="Times New Roman"/>
                <w:sz w:val="10"/>
              </w:rPr>
            </w:pPr>
          </w:p>
          <w:p w14:paraId="7BA1C0CB" w14:textId="30182ACB" w:rsidR="00D615F2" w:rsidRDefault="00D615F2">
            <w:pPr>
              <w:pStyle w:val="NoSpacing"/>
              <w:rPr>
                <w:rFonts w:ascii="Times New Roman" w:eastAsia="Times New Roman" w:hAnsi="Times New Roman" w:cs="Times New Roman"/>
                <w:sz w:val="20"/>
                <w:szCs w:val="20"/>
              </w:rPr>
            </w:pPr>
          </w:p>
        </w:tc>
        <w:tc>
          <w:tcPr>
            <w:tcW w:w="768" w:type="dxa"/>
            <w:tcBorders>
              <w:bottom w:val="single" w:sz="18" w:space="0" w:color="auto"/>
            </w:tcBorders>
          </w:tcPr>
          <w:p w14:paraId="076E18D8" w14:textId="77777777" w:rsidR="00D615F2" w:rsidRDefault="00D615F2">
            <w:pPr>
              <w:pStyle w:val="NoSpacing"/>
              <w:jc w:val="both"/>
              <w:rPr>
                <w:rFonts w:ascii="Times New Roman" w:hAnsi="Times New Roman" w:cs="Times New Roman"/>
                <w:sz w:val="20"/>
                <w:szCs w:val="20"/>
              </w:rPr>
            </w:pPr>
          </w:p>
        </w:tc>
        <w:tc>
          <w:tcPr>
            <w:tcW w:w="6085" w:type="dxa"/>
            <w:vMerge/>
            <w:tcBorders>
              <w:top w:val="single" w:sz="18" w:space="0" w:color="000000"/>
              <w:bottom w:val="single" w:sz="18" w:space="0" w:color="auto"/>
            </w:tcBorders>
          </w:tcPr>
          <w:p w14:paraId="25BBDBEE" w14:textId="77777777" w:rsidR="00D615F2" w:rsidRDefault="00D615F2">
            <w:pPr>
              <w:pStyle w:val="NoSpacing"/>
              <w:jc w:val="both"/>
              <w:rPr>
                <w:rFonts w:ascii="Times New Roman" w:hAnsi="Times New Roman" w:cs="Times New Roman"/>
                <w:sz w:val="20"/>
                <w:szCs w:val="20"/>
              </w:rPr>
            </w:pPr>
          </w:p>
        </w:tc>
      </w:tr>
      <w:tr w:rsidR="00D615F2" w14:paraId="48DE5B97" w14:textId="77777777">
        <w:tc>
          <w:tcPr>
            <w:tcW w:w="2457" w:type="dxa"/>
            <w:tcBorders>
              <w:top w:val="single" w:sz="18" w:space="0" w:color="auto"/>
              <w:bottom w:val="single" w:sz="8" w:space="0" w:color="auto"/>
            </w:tcBorders>
          </w:tcPr>
          <w:p w14:paraId="61EF0BA4" w14:textId="77777777" w:rsidR="00D615F2" w:rsidRDefault="00000000">
            <w:pPr>
              <w:pStyle w:val="NoSpacing"/>
              <w:spacing w:afterLines="50" w:after="120"/>
              <w:jc w:val="both"/>
              <w:rPr>
                <w:rFonts w:ascii="Times New Roman" w:hAnsi="Times New Roman" w:cs="Times New Roman"/>
                <w:sz w:val="20"/>
                <w:szCs w:val="20"/>
              </w:rPr>
            </w:pPr>
            <w:proofErr w:type="spellStart"/>
            <w:r>
              <w:rPr>
                <w:rFonts w:ascii="Times New Roman" w:hAnsi="Times New Roman" w:cs="Times New Roman"/>
                <w:b/>
                <w:bCs/>
                <w:sz w:val="20"/>
                <w:szCs w:val="20"/>
              </w:rPr>
              <w:t>Article</w:t>
            </w:r>
            <w:proofErr w:type="spellEnd"/>
            <w:r>
              <w:rPr>
                <w:rFonts w:ascii="Times New Roman" w:hAnsi="Times New Roman" w:cs="Times New Roman"/>
                <w:b/>
                <w:bCs/>
                <w:sz w:val="20"/>
                <w:szCs w:val="20"/>
              </w:rPr>
              <w:t xml:space="preserve"> Info</w:t>
            </w:r>
          </w:p>
        </w:tc>
        <w:tc>
          <w:tcPr>
            <w:tcW w:w="768" w:type="dxa"/>
            <w:tcBorders>
              <w:top w:val="single" w:sz="18" w:space="0" w:color="auto"/>
              <w:bottom w:val="nil"/>
            </w:tcBorders>
          </w:tcPr>
          <w:p w14:paraId="2A9E6DFE" w14:textId="77777777" w:rsidR="00D615F2" w:rsidRDefault="00D615F2">
            <w:pPr>
              <w:pStyle w:val="NoSpacing"/>
              <w:jc w:val="both"/>
              <w:rPr>
                <w:rFonts w:ascii="Times New Roman" w:hAnsi="Times New Roman" w:cs="Times New Roman"/>
                <w:sz w:val="20"/>
                <w:szCs w:val="20"/>
              </w:rPr>
            </w:pPr>
          </w:p>
        </w:tc>
        <w:tc>
          <w:tcPr>
            <w:tcW w:w="6085" w:type="dxa"/>
            <w:tcBorders>
              <w:top w:val="single" w:sz="18" w:space="0" w:color="auto"/>
              <w:bottom w:val="single" w:sz="8" w:space="0" w:color="000000"/>
            </w:tcBorders>
          </w:tcPr>
          <w:p w14:paraId="1AEE73D4" w14:textId="77777777" w:rsidR="00D615F2" w:rsidRDefault="00000000">
            <w:pPr>
              <w:pStyle w:val="NoSpacing"/>
              <w:jc w:val="both"/>
              <w:rPr>
                <w:rFonts w:ascii="Times New Roman" w:hAnsi="Times New Roman" w:cs="Times New Roman"/>
                <w:sz w:val="20"/>
                <w:szCs w:val="20"/>
              </w:rPr>
            </w:pPr>
            <w:proofErr w:type="spellStart"/>
            <w:r>
              <w:rPr>
                <w:rFonts w:ascii="Times New Roman" w:eastAsia="SimSun" w:hAnsi="Times New Roman" w:cs="Times New Roman"/>
                <w:b/>
                <w:iCs/>
              </w:rPr>
              <w:t>Abstract</w:t>
            </w:r>
            <w:proofErr w:type="spellEnd"/>
          </w:p>
        </w:tc>
      </w:tr>
      <w:tr w:rsidR="00D615F2" w14:paraId="7542A59F" w14:textId="77777777">
        <w:tc>
          <w:tcPr>
            <w:tcW w:w="2457" w:type="dxa"/>
            <w:tcBorders>
              <w:top w:val="single" w:sz="8" w:space="0" w:color="auto"/>
              <w:bottom w:val="single" w:sz="8" w:space="0" w:color="000000"/>
            </w:tcBorders>
          </w:tcPr>
          <w:p w14:paraId="156C85F3" w14:textId="77777777" w:rsidR="00D615F2" w:rsidRDefault="00000000">
            <w:pPr>
              <w:pStyle w:val="NoSpacing"/>
              <w:jc w:val="both"/>
              <w:rPr>
                <w:rFonts w:ascii="Times New Roman" w:hAnsi="Times New Roman" w:cs="Times New Roman"/>
                <w:b/>
                <w:bCs/>
                <w:color w:val="000000" w:themeColor="text1"/>
                <w:sz w:val="20"/>
                <w:szCs w:val="20"/>
              </w:rPr>
            </w:pPr>
            <w:proofErr w:type="spellStart"/>
            <w:r>
              <w:rPr>
                <w:rFonts w:ascii="Times New Roman" w:hAnsi="Times New Roman" w:cs="Times New Roman"/>
                <w:b/>
                <w:bCs/>
                <w:color w:val="000000" w:themeColor="text1"/>
                <w:sz w:val="20"/>
                <w:szCs w:val="20"/>
              </w:rPr>
              <w:t>Article</w:t>
            </w:r>
            <w:proofErr w:type="spellEnd"/>
            <w:r>
              <w:rPr>
                <w:rFonts w:ascii="Times New Roman" w:hAnsi="Times New Roman" w:cs="Times New Roman"/>
                <w:b/>
                <w:bCs/>
                <w:color w:val="000000" w:themeColor="text1"/>
                <w:sz w:val="20"/>
                <w:szCs w:val="20"/>
              </w:rPr>
              <w:t xml:space="preserve"> </w:t>
            </w:r>
            <w:proofErr w:type="spellStart"/>
            <w:r>
              <w:rPr>
                <w:rFonts w:ascii="Times New Roman" w:hAnsi="Times New Roman" w:cs="Times New Roman"/>
                <w:b/>
                <w:bCs/>
                <w:color w:val="000000" w:themeColor="text1"/>
                <w:sz w:val="20"/>
                <w:szCs w:val="20"/>
              </w:rPr>
              <w:t>History</w:t>
            </w:r>
            <w:proofErr w:type="spellEnd"/>
            <w:r>
              <w:rPr>
                <w:rFonts w:ascii="Times New Roman" w:hAnsi="Times New Roman" w:cs="Times New Roman"/>
                <w:b/>
                <w:bCs/>
                <w:color w:val="000000" w:themeColor="text1"/>
                <w:sz w:val="20"/>
                <w:szCs w:val="20"/>
              </w:rPr>
              <w:t>:</w:t>
            </w:r>
          </w:p>
          <w:p w14:paraId="7F5B89CC" w14:textId="77777777" w:rsidR="00D615F2" w:rsidRDefault="00000000">
            <w:pPr>
              <w:pStyle w:val="NoSpacing"/>
              <w:rPr>
                <w:rFonts w:ascii="Times New Roman" w:hAnsi="Times New Roman" w:cs="Times New Roman"/>
                <w:sz w:val="20"/>
                <w:szCs w:val="20"/>
              </w:rPr>
            </w:pPr>
            <w:proofErr w:type="spellStart"/>
            <w:r>
              <w:rPr>
                <w:rFonts w:ascii="Times New Roman" w:hAnsi="Times New Roman" w:cs="Times New Roman"/>
                <w:sz w:val="20"/>
                <w:szCs w:val="20"/>
              </w:rPr>
              <w:t>Received</w:t>
            </w:r>
            <w:proofErr w:type="spellEnd"/>
            <w:r>
              <w:rPr>
                <w:rFonts w:ascii="Times New Roman" w:hAnsi="Times New Roman" w:cs="Times New Roman"/>
                <w:sz w:val="20"/>
                <w:szCs w:val="20"/>
              </w:rPr>
              <w:t xml:space="preserve">   : 01-01-2020</w:t>
            </w:r>
          </w:p>
          <w:p w14:paraId="75C26518" w14:textId="77777777" w:rsidR="00D615F2" w:rsidRDefault="00000000">
            <w:pPr>
              <w:pStyle w:val="NoSpacing"/>
              <w:rPr>
                <w:rFonts w:ascii="Times New Roman" w:hAnsi="Times New Roman" w:cs="Times New Roman"/>
                <w:sz w:val="20"/>
                <w:szCs w:val="20"/>
              </w:rPr>
            </w:pPr>
            <w:proofErr w:type="spellStart"/>
            <w:r>
              <w:rPr>
                <w:rFonts w:ascii="Times New Roman" w:hAnsi="Times New Roman" w:cs="Times New Roman"/>
                <w:sz w:val="20"/>
                <w:szCs w:val="20"/>
              </w:rPr>
              <w:t>Revised</w:t>
            </w:r>
            <w:proofErr w:type="spellEnd"/>
            <w:r>
              <w:rPr>
                <w:rFonts w:ascii="Times New Roman" w:hAnsi="Times New Roman" w:cs="Times New Roman"/>
                <w:sz w:val="20"/>
                <w:szCs w:val="20"/>
              </w:rPr>
              <w:t xml:space="preserve">     : 20-01-2020</w:t>
            </w:r>
          </w:p>
          <w:p w14:paraId="3DAD5204" w14:textId="77777777" w:rsidR="00D615F2" w:rsidRDefault="00000000">
            <w:pPr>
              <w:pStyle w:val="NoSpacing"/>
              <w:rPr>
                <w:rFonts w:ascii="Times New Roman" w:hAnsi="Times New Roman" w:cs="Times New Roman"/>
                <w:sz w:val="20"/>
                <w:szCs w:val="20"/>
              </w:rPr>
            </w:pPr>
            <w:proofErr w:type="spellStart"/>
            <w:r>
              <w:rPr>
                <w:rFonts w:ascii="Times New Roman" w:hAnsi="Times New Roman" w:cs="Times New Roman"/>
                <w:sz w:val="20"/>
                <w:szCs w:val="20"/>
              </w:rPr>
              <w:t>Accepted</w:t>
            </w:r>
            <w:proofErr w:type="spellEnd"/>
            <w:r>
              <w:rPr>
                <w:rFonts w:ascii="Times New Roman" w:hAnsi="Times New Roman" w:cs="Times New Roman"/>
                <w:sz w:val="24"/>
                <w:szCs w:val="24"/>
              </w:rPr>
              <w:t xml:space="preserve">  </w:t>
            </w:r>
            <w:r>
              <w:rPr>
                <w:rFonts w:ascii="Times New Roman" w:hAnsi="Times New Roman" w:cs="Times New Roman"/>
                <w:sz w:val="20"/>
                <w:szCs w:val="20"/>
              </w:rPr>
              <w:t>: 10-02-2020</w:t>
            </w:r>
          </w:p>
          <w:p w14:paraId="3D302684" w14:textId="77777777" w:rsidR="00D615F2" w:rsidRDefault="00000000">
            <w:pPr>
              <w:pStyle w:val="NoSpacing"/>
              <w:rPr>
                <w:rFonts w:ascii="Times New Roman" w:hAnsi="Times New Roman" w:cs="Times New Roman"/>
                <w:b/>
                <w:sz w:val="20"/>
                <w:szCs w:val="20"/>
              </w:rPr>
            </w:pPr>
            <w:proofErr w:type="spellStart"/>
            <w:r>
              <w:rPr>
                <w:rFonts w:ascii="Times New Roman" w:hAnsi="Times New Roman" w:cs="Times New Roman"/>
                <w:sz w:val="20"/>
                <w:szCs w:val="20"/>
              </w:rPr>
              <w:t>Published</w:t>
            </w:r>
            <w:proofErr w:type="spellEnd"/>
            <w:r>
              <w:rPr>
                <w:rFonts w:ascii="Times New Roman" w:hAnsi="Times New Roman" w:cs="Times New Roman"/>
                <w:sz w:val="20"/>
                <w:szCs w:val="20"/>
              </w:rPr>
              <w:t xml:space="preserve">  : 28-02-2020</w:t>
            </w:r>
          </w:p>
          <w:p w14:paraId="7B425F3B" w14:textId="77777777" w:rsidR="00D615F2" w:rsidRDefault="00D615F2">
            <w:pPr>
              <w:pStyle w:val="NoSpacing"/>
              <w:spacing w:afterLines="50" w:after="120"/>
              <w:jc w:val="both"/>
              <w:rPr>
                <w:rFonts w:ascii="Times New Roman" w:hAnsi="Times New Roman" w:cs="Times New Roman"/>
                <w:sz w:val="20"/>
                <w:szCs w:val="20"/>
              </w:rPr>
            </w:pPr>
          </w:p>
        </w:tc>
        <w:tc>
          <w:tcPr>
            <w:tcW w:w="768" w:type="dxa"/>
            <w:tcBorders>
              <w:top w:val="nil"/>
            </w:tcBorders>
          </w:tcPr>
          <w:p w14:paraId="3C4C4D00" w14:textId="77777777" w:rsidR="00D615F2" w:rsidRDefault="00D615F2">
            <w:pPr>
              <w:pStyle w:val="NoSpacing"/>
              <w:jc w:val="both"/>
              <w:rPr>
                <w:rFonts w:ascii="Times New Roman" w:hAnsi="Times New Roman" w:cs="Times New Roman"/>
                <w:sz w:val="20"/>
                <w:szCs w:val="20"/>
              </w:rPr>
            </w:pPr>
          </w:p>
        </w:tc>
        <w:tc>
          <w:tcPr>
            <w:tcW w:w="6085" w:type="dxa"/>
            <w:vMerge w:val="restart"/>
            <w:tcBorders>
              <w:top w:val="single" w:sz="8" w:space="0" w:color="000000"/>
              <w:bottom w:val="single" w:sz="18" w:space="0" w:color="000000"/>
            </w:tcBorders>
          </w:tcPr>
          <w:p w14:paraId="5632C87F" w14:textId="08DC1DC8" w:rsidR="00D615F2" w:rsidRDefault="006911A5">
            <w:pPr>
              <w:pStyle w:val="NoSpacing"/>
              <w:jc w:val="both"/>
              <w:rPr>
                <w:rFonts w:ascii="Times New Roman" w:hAnsi="Times New Roman" w:cs="Times New Roman"/>
                <w:sz w:val="20"/>
                <w:szCs w:val="20"/>
              </w:rPr>
            </w:pPr>
            <w:r w:rsidRPr="006911A5">
              <w:rPr>
                <w:rFonts w:ascii="Times New Roman" w:eastAsia="Times New Roman" w:hAnsi="Times New Roman"/>
                <w:i/>
                <w:iCs/>
                <w:lang w:val="en-US"/>
              </w:rPr>
              <w:t xml:space="preserve">The purpose of this study is to investigate the legal consequences that exporters may face when an unintentional error occurs in customs clearance procedures carried out by the Customs. This research applies the normative juridical research method to analyze the legal liability of the Customs in the case of inadvertent customs documents, focusing on the provisions stipulated in PMK 274/PMK.04/2014. Data collection is done through a literature study using primary legal sources, especially related laws and regulations. Data were classified and analyzed normatively to understand the implementation and impact of Customs' legal liability. The results of the study provide an overview of the export duty restitution mechanism and aspects of the legal liability of </w:t>
            </w:r>
            <w:r w:rsidRPr="006911A5">
              <w:rPr>
                <w:rFonts w:ascii="Times New Roman" w:eastAsia="Times New Roman" w:hAnsi="Times New Roman"/>
                <w:i/>
                <w:iCs/>
                <w:lang w:val="en-US"/>
              </w:rPr>
              <w:lastRenderedPageBreak/>
              <w:t>Customs, focusing on export cancellation, overpayment, and the role of the Tax Court. This research is expected to contribute to a deeper understanding of the customs legal framework in Indonesia and can serve as a reference for relevant stakeholders.</w:t>
            </w:r>
          </w:p>
        </w:tc>
      </w:tr>
      <w:tr w:rsidR="00D615F2" w14:paraId="01F82873" w14:textId="77777777">
        <w:tc>
          <w:tcPr>
            <w:tcW w:w="2457" w:type="dxa"/>
            <w:tcBorders>
              <w:top w:val="single" w:sz="8" w:space="0" w:color="000000"/>
              <w:bottom w:val="single" w:sz="18" w:space="0" w:color="000000"/>
            </w:tcBorders>
          </w:tcPr>
          <w:p w14:paraId="18D8BDC6" w14:textId="77777777" w:rsidR="00D615F2" w:rsidRDefault="00000000">
            <w:pPr>
              <w:pStyle w:val="NoSpacing"/>
              <w:rPr>
                <w:rFonts w:ascii="Times New Roman" w:eastAsia="Times New Roman" w:hAnsi="Times New Roman"/>
                <w:b/>
                <w:sz w:val="20"/>
              </w:rPr>
            </w:pPr>
            <w:proofErr w:type="spellStart"/>
            <w:r>
              <w:rPr>
                <w:rFonts w:ascii="Times New Roman" w:eastAsia="Times New Roman" w:hAnsi="Times New Roman" w:hint="eastAsia"/>
                <w:b/>
                <w:sz w:val="20"/>
              </w:rPr>
              <w:t>Keywords</w:t>
            </w:r>
            <w:proofErr w:type="spellEnd"/>
            <w:r>
              <w:rPr>
                <w:rFonts w:ascii="Times New Roman" w:eastAsia="Times New Roman" w:hAnsi="Times New Roman" w:hint="eastAsia"/>
                <w:b/>
                <w:sz w:val="20"/>
              </w:rPr>
              <w:t>:</w:t>
            </w:r>
          </w:p>
          <w:p w14:paraId="4E55B82D" w14:textId="3A5497CB" w:rsidR="00D615F2" w:rsidRDefault="00BC0AAC">
            <w:pPr>
              <w:pStyle w:val="NoSpacing"/>
              <w:rPr>
                <w:rFonts w:ascii="Times New Roman" w:eastAsia="Times New Roman" w:hAnsi="Times New Roman"/>
                <w:sz w:val="10"/>
              </w:rPr>
            </w:pPr>
            <w:r w:rsidRPr="00BC0AAC">
              <w:rPr>
                <w:rFonts w:ascii="Times New Roman" w:eastAsia="Times New Roman" w:hAnsi="Times New Roman"/>
                <w:i/>
                <w:iCs/>
                <w:sz w:val="20"/>
                <w:lang w:val="en-US"/>
              </w:rPr>
              <w:t>Custom</w:t>
            </w:r>
            <w:r w:rsidR="00B9627F">
              <w:rPr>
                <w:rFonts w:ascii="Times New Roman" w:eastAsia="Times New Roman" w:hAnsi="Times New Roman"/>
                <w:i/>
                <w:iCs/>
                <w:sz w:val="20"/>
                <w:lang w:val="en-US"/>
              </w:rPr>
              <w:t xml:space="preserve">; </w:t>
            </w:r>
            <w:r w:rsidR="009D038E" w:rsidRPr="00BC0AAC">
              <w:rPr>
                <w:rFonts w:ascii="Times New Roman" w:eastAsia="Times New Roman" w:hAnsi="Times New Roman"/>
                <w:i/>
                <w:iCs/>
                <w:sz w:val="20"/>
                <w:lang w:val="en-US"/>
              </w:rPr>
              <w:t>Customs Document</w:t>
            </w:r>
            <w:r w:rsidR="009D038E">
              <w:rPr>
                <w:rFonts w:ascii="Times New Roman" w:eastAsia="Times New Roman" w:hAnsi="Times New Roman"/>
                <w:i/>
                <w:iCs/>
                <w:sz w:val="20"/>
                <w:lang w:val="en-US"/>
              </w:rPr>
              <w:t>s</w:t>
            </w:r>
            <w:r w:rsidR="009D038E">
              <w:rPr>
                <w:rFonts w:ascii="Times New Roman" w:eastAsia="Times New Roman" w:hAnsi="Times New Roman"/>
                <w:i/>
                <w:iCs/>
                <w:sz w:val="20"/>
                <w:lang w:val="en-US"/>
              </w:rPr>
              <w:t xml:space="preserve">; </w:t>
            </w:r>
            <w:r w:rsidR="009D038E">
              <w:rPr>
                <w:rFonts w:ascii="Times New Roman" w:eastAsia="Times New Roman" w:hAnsi="Times New Roman"/>
                <w:i/>
                <w:iCs/>
                <w:sz w:val="20"/>
                <w:lang w:val="en-US"/>
              </w:rPr>
              <w:t>.</w:t>
            </w:r>
            <w:r w:rsidR="009D038E" w:rsidRPr="00BC0AAC">
              <w:rPr>
                <w:rFonts w:ascii="Times New Roman" w:eastAsia="Times New Roman" w:hAnsi="Times New Roman"/>
                <w:i/>
                <w:iCs/>
                <w:sz w:val="20"/>
                <w:lang w:val="en-US"/>
              </w:rPr>
              <w:t>Legal Liability</w:t>
            </w:r>
            <w:r w:rsidR="009D038E">
              <w:rPr>
                <w:rFonts w:ascii="Times New Roman" w:eastAsia="Times New Roman" w:hAnsi="Times New Roman"/>
                <w:i/>
                <w:iCs/>
                <w:sz w:val="20"/>
                <w:lang w:val="en-US"/>
              </w:rPr>
              <w:t>.</w:t>
            </w:r>
          </w:p>
          <w:p w14:paraId="498762D9" w14:textId="52B5F33A" w:rsidR="00D615F2" w:rsidRDefault="00D615F2">
            <w:pPr>
              <w:pStyle w:val="NoSpacing"/>
              <w:rPr>
                <w:rFonts w:ascii="Times New Roman" w:hAnsi="Times New Roman" w:cs="Times New Roman"/>
                <w:sz w:val="21"/>
                <w:szCs w:val="21"/>
              </w:rPr>
            </w:pPr>
          </w:p>
        </w:tc>
        <w:tc>
          <w:tcPr>
            <w:tcW w:w="768" w:type="dxa"/>
            <w:tcBorders>
              <w:bottom w:val="single" w:sz="18" w:space="0" w:color="000000"/>
            </w:tcBorders>
          </w:tcPr>
          <w:p w14:paraId="69E80A21" w14:textId="77777777" w:rsidR="00D615F2" w:rsidRDefault="00D615F2">
            <w:pPr>
              <w:pStyle w:val="NoSpacing"/>
              <w:jc w:val="both"/>
              <w:rPr>
                <w:rFonts w:ascii="Times New Roman" w:hAnsi="Times New Roman" w:cs="Times New Roman"/>
                <w:sz w:val="20"/>
                <w:szCs w:val="20"/>
              </w:rPr>
            </w:pPr>
          </w:p>
        </w:tc>
        <w:tc>
          <w:tcPr>
            <w:tcW w:w="6085" w:type="dxa"/>
            <w:vMerge/>
            <w:tcBorders>
              <w:top w:val="single" w:sz="18" w:space="0" w:color="000000"/>
              <w:bottom w:val="single" w:sz="18" w:space="0" w:color="000000"/>
            </w:tcBorders>
          </w:tcPr>
          <w:p w14:paraId="05D97207" w14:textId="77777777" w:rsidR="00D615F2" w:rsidRDefault="00D615F2">
            <w:pPr>
              <w:pStyle w:val="NoSpacing"/>
              <w:jc w:val="both"/>
              <w:rPr>
                <w:rFonts w:ascii="Times New Roman" w:hAnsi="Times New Roman" w:cs="Times New Roman"/>
                <w:sz w:val="20"/>
                <w:szCs w:val="20"/>
              </w:rPr>
            </w:pPr>
          </w:p>
        </w:tc>
      </w:tr>
    </w:tbl>
    <w:p w14:paraId="59B67871" w14:textId="77777777" w:rsidR="00D615F2" w:rsidRDefault="00D615F2">
      <w:pPr>
        <w:tabs>
          <w:tab w:val="left" w:pos="220"/>
        </w:tabs>
        <w:spacing w:after="0" w:line="240" w:lineRule="auto"/>
        <w:jc w:val="both"/>
        <w:rPr>
          <w:rFonts w:ascii="Times New Roman" w:eastAsia="Times New Roman" w:hAnsi="Times New Roman"/>
          <w:b/>
          <w:sz w:val="24"/>
          <w:lang w:val="id-ID"/>
        </w:rPr>
      </w:pPr>
    </w:p>
    <w:p w14:paraId="48376D7A" w14:textId="144672E8" w:rsidR="00D615F2" w:rsidRPr="00C56994" w:rsidRDefault="00C56994">
      <w:pPr>
        <w:tabs>
          <w:tab w:val="left" w:pos="220"/>
        </w:tabs>
        <w:spacing w:after="0" w:line="240" w:lineRule="auto"/>
        <w:jc w:val="both"/>
        <w:rPr>
          <w:rFonts w:ascii="Times New Roman" w:eastAsia="Times New Roman" w:hAnsi="Times New Roman"/>
          <w:b/>
          <w:sz w:val="24"/>
        </w:rPr>
      </w:pPr>
      <w:r>
        <w:rPr>
          <w:rFonts w:ascii="Times New Roman" w:eastAsia="Times New Roman" w:hAnsi="Times New Roman"/>
          <w:b/>
          <w:sz w:val="24"/>
        </w:rPr>
        <w:t>INTRODUCTION</w:t>
      </w:r>
    </w:p>
    <w:p w14:paraId="2110C7A3" w14:textId="77777777" w:rsidR="00C56994" w:rsidRPr="00C56994" w:rsidRDefault="00C56994" w:rsidP="00C56994">
      <w:pPr>
        <w:spacing w:after="0" w:line="240" w:lineRule="auto"/>
        <w:ind w:firstLine="720"/>
        <w:jc w:val="both"/>
        <w:rPr>
          <w:rFonts w:ascii="Times New Roman" w:eastAsia="Times New Roman" w:hAnsi="Times New Roman"/>
          <w:sz w:val="24"/>
        </w:rPr>
      </w:pPr>
      <w:r w:rsidRPr="00C56994">
        <w:rPr>
          <w:rFonts w:ascii="Times New Roman" w:eastAsia="Times New Roman" w:hAnsi="Times New Roman"/>
          <w:sz w:val="24"/>
        </w:rPr>
        <w:t>Within the framework of the dynamics of international trade, the role of government agencies in various sectors in managing the flow of goods across borders is very important. As an area of economic activity, the Customs sector is a government agency that is very supportive in the smooth flow of export and import traffic in the customs area.</w:t>
      </w:r>
      <w:r w:rsidRPr="00C56994">
        <w:rPr>
          <w:rFonts w:ascii="Times New Roman" w:eastAsia="Times New Roman" w:hAnsi="Times New Roman"/>
          <w:sz w:val="24"/>
          <w:vertAlign w:val="superscript"/>
        </w:rPr>
        <w:footnoteReference w:id="1"/>
      </w:r>
      <w:r w:rsidRPr="00C56994">
        <w:rPr>
          <w:rFonts w:ascii="Times New Roman" w:eastAsia="Times New Roman" w:hAnsi="Times New Roman"/>
          <w:sz w:val="24"/>
        </w:rPr>
        <w:t xml:space="preserve"> Customs plays an important role as the country's gatekeeper in the entry and exit of goods. They are entrusted with the responsibility of collecting the necessary tax and duty payments on imported and exported goods, in an effort to ensure that every trade transaction meets the regulations of the financial and security sectors. In this case, customs documents are the main foundation for Customs activities.</w:t>
      </w:r>
    </w:p>
    <w:p w14:paraId="1BC78C96" w14:textId="77777777" w:rsidR="00C56994" w:rsidRPr="00C56994" w:rsidRDefault="00C56994" w:rsidP="00C56994">
      <w:pPr>
        <w:spacing w:after="0" w:line="240" w:lineRule="auto"/>
        <w:jc w:val="both"/>
        <w:rPr>
          <w:rFonts w:ascii="Times New Roman" w:eastAsia="Times New Roman" w:hAnsi="Times New Roman"/>
          <w:sz w:val="24"/>
        </w:rPr>
      </w:pPr>
      <w:r w:rsidRPr="00C56994">
        <w:rPr>
          <w:rFonts w:ascii="Times New Roman" w:eastAsia="Times New Roman" w:hAnsi="Times New Roman"/>
          <w:sz w:val="24"/>
        </w:rPr>
        <w:tab/>
        <w:t>Customs plays a crucial role in customs documents, becoming the main pillar in maintaining the integrity and sustainability of the international trading system as referred to in article 3 paragraph (2) of Law Number 10 of 1995 concerning Customs, namely customs inspection which is intended to be document research.  As an institution at the forefront of the customs process, Customs is not only tasked as a supervisor, but also as a guardian of compliance with trade rules and regulations.</w:t>
      </w:r>
    </w:p>
    <w:p w14:paraId="51691E33" w14:textId="77777777" w:rsidR="00C56994" w:rsidRPr="00C56994" w:rsidRDefault="00C56994" w:rsidP="00C56994">
      <w:pPr>
        <w:spacing w:after="0" w:line="240" w:lineRule="auto"/>
        <w:jc w:val="both"/>
        <w:rPr>
          <w:rFonts w:ascii="Times New Roman" w:eastAsia="Times New Roman" w:hAnsi="Times New Roman"/>
          <w:sz w:val="24"/>
        </w:rPr>
      </w:pPr>
      <w:r w:rsidRPr="00C56994">
        <w:rPr>
          <w:rFonts w:ascii="Times New Roman" w:eastAsia="Times New Roman" w:hAnsi="Times New Roman"/>
          <w:sz w:val="24"/>
        </w:rPr>
        <w:tab/>
        <w:t xml:space="preserve">This proves that their role can be likened to a </w:t>
      </w:r>
      <w:r w:rsidRPr="00C56994">
        <w:rPr>
          <w:rFonts w:ascii="Times New Roman" w:eastAsia="Times New Roman" w:hAnsi="Times New Roman"/>
          <w:i/>
          <w:iCs/>
          <w:sz w:val="24"/>
        </w:rPr>
        <w:t xml:space="preserve">"gatekeeper" </w:t>
      </w:r>
      <w:r w:rsidRPr="00C56994">
        <w:rPr>
          <w:rFonts w:ascii="Times New Roman" w:eastAsia="Times New Roman" w:hAnsi="Times New Roman"/>
          <w:sz w:val="24"/>
        </w:rPr>
        <w:t>that opens the way for the legitimate flow of goods while strictly ensuring that every transaction is recorded and controlled. Through careful scrutiny of these documents, Customs is able to identify the type of goods, their value, and their origin.</w:t>
      </w:r>
    </w:p>
    <w:p w14:paraId="08297186" w14:textId="48B85DD9" w:rsidR="00D615F2" w:rsidRDefault="00C56994" w:rsidP="00C56994">
      <w:pPr>
        <w:spacing w:after="0" w:line="240" w:lineRule="auto"/>
        <w:jc w:val="both"/>
        <w:rPr>
          <w:rFonts w:ascii="Times New Roman" w:eastAsia="Times New Roman" w:hAnsi="Times New Roman"/>
          <w:sz w:val="24"/>
        </w:rPr>
      </w:pPr>
      <w:r w:rsidRPr="00C56994">
        <w:rPr>
          <w:rFonts w:ascii="Times New Roman" w:eastAsia="Times New Roman" w:hAnsi="Times New Roman"/>
          <w:sz w:val="24"/>
        </w:rPr>
        <w:tab/>
        <w:t>In this study, the main focus is on the key role played by the Customs Agency in streamlining the export process.</w:t>
      </w:r>
      <w:r w:rsidRPr="00C56994">
        <w:rPr>
          <w:rFonts w:ascii="Times New Roman" w:eastAsia="Times New Roman" w:hAnsi="Times New Roman"/>
          <w:sz w:val="24"/>
          <w:vertAlign w:val="superscript"/>
        </w:rPr>
        <w:footnoteReference w:id="2"/>
      </w:r>
      <w:r w:rsidRPr="00C56994">
        <w:rPr>
          <w:rFonts w:ascii="Times New Roman" w:eastAsia="Times New Roman" w:hAnsi="Times New Roman"/>
          <w:sz w:val="24"/>
        </w:rPr>
        <w:t xml:space="preserve">  The agency not only serves as a customs watchdog, but also as an important facilitator that helps secure, optimize and smooth the flow of export goods. By performing administrative tasks and careful oversight, Customs creates an enabling environment for exporters to meet customs requirements, calculate taxes and duties correctly, and maintain national security. This research aims to explore and analyze the legal consequences that may arise as a result of inadvertence in the handling of customs documents by the Customs towards exporters. This research will answer the question of the legal consequences faced by exporters in the event of an unintentional error in customs clearance procedures by Customs. This includes the impact on compliance with international trade regulations, any sanctions or fines that may be imposed, and any legal actions that exporters may take to resolve the situation.</w:t>
      </w:r>
    </w:p>
    <w:p w14:paraId="127FE01B" w14:textId="77777777" w:rsidR="00C56994" w:rsidRDefault="00C56994" w:rsidP="00C56994">
      <w:pPr>
        <w:spacing w:after="0" w:line="240" w:lineRule="auto"/>
        <w:jc w:val="both"/>
        <w:rPr>
          <w:rFonts w:ascii="Times New Roman" w:eastAsia="Times New Roman" w:hAnsi="Times New Roman"/>
          <w:sz w:val="24"/>
          <w:lang w:val="nl-NL"/>
        </w:rPr>
      </w:pPr>
    </w:p>
    <w:p w14:paraId="38F4E21E" w14:textId="475FF909" w:rsidR="00D615F2" w:rsidRDefault="00C56994">
      <w:pPr>
        <w:spacing w:after="0" w:line="240" w:lineRule="auto"/>
        <w:jc w:val="both"/>
        <w:rPr>
          <w:rFonts w:ascii="Times New Roman" w:eastAsia="Times New Roman" w:hAnsi="Times New Roman"/>
          <w:b/>
          <w:sz w:val="24"/>
          <w:lang w:val="nl-NL"/>
        </w:rPr>
      </w:pPr>
      <w:r>
        <w:rPr>
          <w:rFonts w:ascii="Times New Roman" w:eastAsia="Times New Roman" w:hAnsi="Times New Roman"/>
          <w:b/>
          <w:sz w:val="24"/>
          <w:lang w:val="nl-NL"/>
        </w:rPr>
        <w:t>RESEARCH METODE</w:t>
      </w:r>
    </w:p>
    <w:p w14:paraId="0F1104FE" w14:textId="77777777" w:rsidR="00C56994" w:rsidRPr="00C56994" w:rsidRDefault="00C56994" w:rsidP="00C56994">
      <w:pPr>
        <w:spacing w:after="0" w:line="240" w:lineRule="auto"/>
        <w:ind w:firstLine="720"/>
        <w:jc w:val="both"/>
        <w:rPr>
          <w:rFonts w:ascii="Times New Roman" w:eastAsia="Times New Roman" w:hAnsi="Times New Roman"/>
          <w:sz w:val="24"/>
        </w:rPr>
      </w:pPr>
      <w:r w:rsidRPr="00C56994">
        <w:rPr>
          <w:rFonts w:ascii="Times New Roman" w:eastAsia="Times New Roman" w:hAnsi="Times New Roman"/>
          <w:sz w:val="24"/>
        </w:rPr>
        <w:t>Normative juridical methodology is used in this research because this research focuses on rules and regulations. Normative legal research is a form of legal research conducted through an investigation of library sources or secondary data only (</w:t>
      </w:r>
      <w:proofErr w:type="spellStart"/>
      <w:r w:rsidRPr="00C56994">
        <w:rPr>
          <w:rFonts w:ascii="Times New Roman" w:eastAsia="Times New Roman" w:hAnsi="Times New Roman"/>
          <w:sz w:val="24"/>
        </w:rPr>
        <w:t>Soerjono</w:t>
      </w:r>
      <w:proofErr w:type="spellEnd"/>
      <w:r w:rsidRPr="00C56994">
        <w:rPr>
          <w:rFonts w:ascii="Times New Roman" w:eastAsia="Times New Roman" w:hAnsi="Times New Roman"/>
          <w:sz w:val="24"/>
        </w:rPr>
        <w:t xml:space="preserve"> </w:t>
      </w:r>
      <w:proofErr w:type="spellStart"/>
      <w:r w:rsidRPr="00C56994">
        <w:rPr>
          <w:rFonts w:ascii="Times New Roman" w:eastAsia="Times New Roman" w:hAnsi="Times New Roman"/>
          <w:sz w:val="24"/>
        </w:rPr>
        <w:t>Soekanto</w:t>
      </w:r>
      <w:proofErr w:type="spellEnd"/>
      <w:r w:rsidRPr="00C56994">
        <w:rPr>
          <w:rFonts w:ascii="Times New Roman" w:eastAsia="Times New Roman" w:hAnsi="Times New Roman"/>
          <w:sz w:val="24"/>
        </w:rPr>
        <w:t>, 2010).</w:t>
      </w:r>
      <w:r w:rsidRPr="00C56994">
        <w:rPr>
          <w:rFonts w:ascii="Times New Roman" w:eastAsia="Times New Roman" w:hAnsi="Times New Roman"/>
          <w:sz w:val="24"/>
          <w:vertAlign w:val="superscript"/>
        </w:rPr>
        <w:footnoteReference w:id="3"/>
      </w:r>
      <w:r w:rsidRPr="00C56994">
        <w:rPr>
          <w:rFonts w:ascii="Times New Roman" w:eastAsia="Times New Roman" w:hAnsi="Times New Roman"/>
          <w:sz w:val="24"/>
        </w:rPr>
        <w:t xml:space="preserve"> This normative juridical research method is expected to contribute in discussing and understanding more deeply the legal liability of Customs related to accidental customs documents. By relying on primary legal </w:t>
      </w:r>
      <w:r w:rsidRPr="00C56994">
        <w:rPr>
          <w:rFonts w:ascii="Times New Roman" w:eastAsia="Times New Roman" w:hAnsi="Times New Roman"/>
          <w:sz w:val="24"/>
        </w:rPr>
        <w:lastRenderedPageBreak/>
        <w:t>sources, this research is expected to be able to provide accurate and objective analysis, and can provide a more comprehensive view of the regulations governing legal liability in the context of customs in Indonesia.</w:t>
      </w:r>
    </w:p>
    <w:p w14:paraId="25DC005E" w14:textId="77777777" w:rsidR="00D615F2" w:rsidRDefault="00D615F2">
      <w:pPr>
        <w:spacing w:after="0" w:line="240" w:lineRule="auto"/>
        <w:jc w:val="both"/>
        <w:rPr>
          <w:rFonts w:ascii="Times New Roman" w:eastAsia="Times New Roman" w:hAnsi="Times New Roman"/>
          <w:sz w:val="24"/>
          <w:lang w:val="id-ID"/>
        </w:rPr>
      </w:pPr>
    </w:p>
    <w:p w14:paraId="0406D877" w14:textId="7B566802" w:rsidR="00D615F2" w:rsidRDefault="00C56994">
      <w:pPr>
        <w:spacing w:after="0" w:line="240" w:lineRule="auto"/>
        <w:jc w:val="both"/>
        <w:rPr>
          <w:rFonts w:ascii="Times New Roman" w:eastAsia="Times New Roman" w:hAnsi="Times New Roman"/>
          <w:b/>
          <w:sz w:val="24"/>
          <w:lang w:val="nl-NL"/>
        </w:rPr>
      </w:pPr>
      <w:r>
        <w:rPr>
          <w:rFonts w:ascii="Times New Roman" w:eastAsia="Times New Roman" w:hAnsi="Times New Roman"/>
          <w:b/>
          <w:sz w:val="24"/>
        </w:rPr>
        <w:t>DISCUSSION AND ANALYSIS</w:t>
      </w:r>
    </w:p>
    <w:p w14:paraId="62B540F0" w14:textId="77777777" w:rsidR="00C56994" w:rsidRPr="00C56994" w:rsidRDefault="00C56994" w:rsidP="00C56994">
      <w:pPr>
        <w:spacing w:after="0" w:line="240" w:lineRule="auto"/>
        <w:jc w:val="both"/>
        <w:rPr>
          <w:rFonts w:ascii="Times New Roman" w:eastAsia="Times New Roman" w:hAnsi="Times New Roman"/>
          <w:b/>
          <w:bCs/>
          <w:sz w:val="24"/>
          <w:lang w:val="en-AU"/>
        </w:rPr>
      </w:pPr>
      <w:r w:rsidRPr="00C56994">
        <w:rPr>
          <w:rFonts w:ascii="Times New Roman" w:eastAsia="Times New Roman" w:hAnsi="Times New Roman"/>
          <w:b/>
          <w:bCs/>
          <w:sz w:val="24"/>
          <w:lang w:val="en-AU"/>
        </w:rPr>
        <w:t>The Importance of Customs' Role in Customs Document Supervision</w:t>
      </w:r>
    </w:p>
    <w:p w14:paraId="5E892209" w14:textId="77777777" w:rsidR="00C56994" w:rsidRPr="00C56994" w:rsidRDefault="00C56994" w:rsidP="00C56994">
      <w:pPr>
        <w:spacing w:after="0" w:line="240" w:lineRule="auto"/>
        <w:ind w:firstLine="720"/>
        <w:jc w:val="both"/>
        <w:rPr>
          <w:rFonts w:ascii="Times New Roman" w:eastAsia="Times New Roman" w:hAnsi="Times New Roman"/>
          <w:bCs/>
          <w:sz w:val="24"/>
          <w:lang w:val="en-AU"/>
        </w:rPr>
      </w:pPr>
      <w:r w:rsidRPr="00C56994">
        <w:rPr>
          <w:rFonts w:ascii="Times New Roman" w:eastAsia="Times New Roman" w:hAnsi="Times New Roman"/>
          <w:bCs/>
          <w:sz w:val="24"/>
          <w:lang w:val="en-AU"/>
        </w:rPr>
        <w:t>Export trade has a very important role in business life in Indonesia, not only in terms of foreign exchange but also in contributing to national income.</w:t>
      </w:r>
      <w:r w:rsidRPr="00C56994">
        <w:rPr>
          <w:rFonts w:ascii="Times New Roman" w:eastAsia="Times New Roman" w:hAnsi="Times New Roman"/>
          <w:bCs/>
          <w:sz w:val="24"/>
          <w:vertAlign w:val="superscript"/>
          <w:lang w:val="en-AU"/>
        </w:rPr>
        <w:footnoteReference w:id="4"/>
      </w:r>
      <w:r w:rsidRPr="00C56994">
        <w:rPr>
          <w:rFonts w:ascii="Times New Roman" w:eastAsia="Times New Roman" w:hAnsi="Times New Roman"/>
          <w:bCs/>
          <w:sz w:val="24"/>
          <w:lang w:val="en-AU"/>
        </w:rPr>
        <w:t xml:space="preserve">  Exports are one of the sources of income for the country in the form of foreign exchange reserves.</w:t>
      </w:r>
      <w:r w:rsidRPr="00C56994">
        <w:rPr>
          <w:rFonts w:ascii="Times New Roman" w:eastAsia="Times New Roman" w:hAnsi="Times New Roman"/>
          <w:bCs/>
          <w:sz w:val="24"/>
          <w:vertAlign w:val="superscript"/>
          <w:lang w:val="en-AU"/>
        </w:rPr>
        <w:footnoteReference w:id="5"/>
      </w:r>
      <w:r w:rsidRPr="00C56994">
        <w:rPr>
          <w:rFonts w:ascii="Times New Roman" w:eastAsia="Times New Roman" w:hAnsi="Times New Roman"/>
          <w:bCs/>
          <w:sz w:val="24"/>
          <w:lang w:val="en-AU"/>
        </w:rPr>
        <w:t xml:space="preserve">  Exports are one of the main drivers of economic growth, job creation, and improving people's welfare. </w:t>
      </w:r>
    </w:p>
    <w:p w14:paraId="4DEB8DDB" w14:textId="77777777" w:rsidR="00C56994" w:rsidRPr="00C56994" w:rsidRDefault="00C56994" w:rsidP="00C56994">
      <w:pPr>
        <w:spacing w:after="0" w:line="240" w:lineRule="auto"/>
        <w:jc w:val="both"/>
        <w:rPr>
          <w:rFonts w:ascii="Times New Roman" w:eastAsia="Times New Roman" w:hAnsi="Times New Roman"/>
          <w:bCs/>
          <w:sz w:val="24"/>
          <w:lang w:val="en-AU"/>
        </w:rPr>
      </w:pPr>
      <w:r w:rsidRPr="00C56994">
        <w:rPr>
          <w:rFonts w:ascii="Times New Roman" w:eastAsia="Times New Roman" w:hAnsi="Times New Roman"/>
          <w:bCs/>
          <w:sz w:val="24"/>
          <w:lang w:val="en-AU"/>
        </w:rPr>
        <w:t xml:space="preserve">In this context, the monitoring of customs documents by customs authorities is an important aspect in supporting and protecting a country's international trade infrastructure. Customs has a very important strategic role in maintaining national security and the sustainability of state tax revenues. The accuracy and thoroughness of customs document checks make customs the most important </w:t>
      </w:r>
      <w:proofErr w:type="spellStart"/>
      <w:r w:rsidRPr="00C56994">
        <w:rPr>
          <w:rFonts w:ascii="Times New Roman" w:eastAsia="Times New Roman" w:hAnsi="Times New Roman"/>
          <w:bCs/>
          <w:sz w:val="24"/>
          <w:lang w:val="en-AU"/>
        </w:rPr>
        <w:t>defense</w:t>
      </w:r>
      <w:proofErr w:type="spellEnd"/>
      <w:r w:rsidRPr="00C56994">
        <w:rPr>
          <w:rFonts w:ascii="Times New Roman" w:eastAsia="Times New Roman" w:hAnsi="Times New Roman"/>
          <w:bCs/>
          <w:sz w:val="24"/>
          <w:lang w:val="en-AU"/>
        </w:rPr>
        <w:t xml:space="preserve"> against potential security and economic threats. They function not only as administrative enforcers performing day-to-day supervisory duties, but also as frontline observers who can identify and respond to potential risks to national security.</w:t>
      </w:r>
    </w:p>
    <w:p w14:paraId="60ADFB8C" w14:textId="77777777" w:rsidR="00C56994" w:rsidRPr="00C56994" w:rsidRDefault="00C56994" w:rsidP="00C56994">
      <w:pPr>
        <w:spacing w:after="0" w:line="240" w:lineRule="auto"/>
        <w:ind w:firstLine="720"/>
        <w:jc w:val="both"/>
        <w:rPr>
          <w:rFonts w:ascii="Times New Roman" w:eastAsia="Times New Roman" w:hAnsi="Times New Roman"/>
          <w:bCs/>
          <w:sz w:val="24"/>
          <w:lang w:val="en-AU"/>
        </w:rPr>
      </w:pPr>
      <w:r w:rsidRPr="00C56994">
        <w:rPr>
          <w:rFonts w:ascii="Times New Roman" w:eastAsia="Times New Roman" w:hAnsi="Times New Roman"/>
          <w:bCs/>
          <w:sz w:val="24"/>
          <w:lang w:val="en-AU"/>
        </w:rPr>
        <w:t>With the aim of protecting national security, customs document management assists Customs authorities in identifying and countering potential threats associated with the movement of goods across borders. The accuracy and reliability of customs documentation is the most important tool that allows Customs authorities to assess the risks associated with each shipment of goods, including potential physical and economic threats. Therefore, the role of the Customs system not only includes administrative aspects, but also acts as a reliable guardian of national security.</w:t>
      </w:r>
    </w:p>
    <w:p w14:paraId="0D9826C5" w14:textId="77777777" w:rsidR="00C56994" w:rsidRPr="00C56994" w:rsidRDefault="00C56994" w:rsidP="00C56994">
      <w:pPr>
        <w:spacing w:after="0" w:line="240" w:lineRule="auto"/>
        <w:ind w:firstLine="720"/>
        <w:jc w:val="both"/>
        <w:rPr>
          <w:rFonts w:ascii="Times New Roman" w:eastAsia="Times New Roman" w:hAnsi="Times New Roman"/>
          <w:bCs/>
          <w:sz w:val="24"/>
          <w:lang w:val="en-AU"/>
        </w:rPr>
      </w:pPr>
      <w:r w:rsidRPr="00C56994">
        <w:rPr>
          <w:rFonts w:ascii="Times New Roman" w:eastAsia="Times New Roman" w:hAnsi="Times New Roman"/>
          <w:bCs/>
          <w:sz w:val="24"/>
          <w:lang w:val="en-AU"/>
        </w:rPr>
        <w:t>When paying taxes, Customs document management ensures that all international trade transactions are properly recorded. Customs documents are an effective administrative tool for customs authorities when calculating and verifying the amount of payments due from exporters.</w:t>
      </w:r>
    </w:p>
    <w:p w14:paraId="2113FF2D" w14:textId="77777777" w:rsidR="00C56994" w:rsidRPr="00C56994" w:rsidRDefault="00C56994" w:rsidP="00C56994">
      <w:pPr>
        <w:spacing w:after="0" w:line="240" w:lineRule="auto"/>
        <w:jc w:val="both"/>
        <w:rPr>
          <w:rFonts w:ascii="Times New Roman" w:eastAsia="Times New Roman" w:hAnsi="Times New Roman"/>
          <w:bCs/>
          <w:sz w:val="24"/>
          <w:lang w:val="en-AU"/>
        </w:rPr>
      </w:pPr>
      <w:r w:rsidRPr="00C56994">
        <w:rPr>
          <w:rFonts w:ascii="Times New Roman" w:eastAsia="Times New Roman" w:hAnsi="Times New Roman"/>
          <w:bCs/>
          <w:sz w:val="24"/>
          <w:lang w:val="en-AU"/>
        </w:rPr>
        <w:t>Therefore, the accuracy of customs documentation supports the sustainability of a country's tax revenues, providing the necessary funds for development projects and public services. Finally, the Customs Department's monitoring of customs documentation also supports the enforcement of international trade regulations. Customs documentation is a tool that allows customs authorities to check whether exported goods comply with international regulations and standards.</w:t>
      </w:r>
    </w:p>
    <w:p w14:paraId="17313040" w14:textId="77777777" w:rsidR="00C56994" w:rsidRPr="00C56994" w:rsidRDefault="00C56994" w:rsidP="00C56994">
      <w:pPr>
        <w:spacing w:after="0" w:line="240" w:lineRule="auto"/>
        <w:jc w:val="both"/>
        <w:rPr>
          <w:rFonts w:ascii="Times New Roman" w:eastAsia="Times New Roman" w:hAnsi="Times New Roman"/>
          <w:bCs/>
          <w:sz w:val="24"/>
          <w:lang w:val="en-AU"/>
        </w:rPr>
      </w:pPr>
      <w:r w:rsidRPr="00C56994">
        <w:rPr>
          <w:rFonts w:ascii="Times New Roman" w:eastAsia="Times New Roman" w:hAnsi="Times New Roman"/>
          <w:bCs/>
          <w:sz w:val="24"/>
          <w:lang w:val="en-AU"/>
        </w:rPr>
        <w:t>By ensuring compliance, Customs makes an important contribution in building a positive image of the country in the eyes of the international community and creating a fair and transparent trading environment. In summary, Customs' role in customs document management includes not only administrative aspects, but also the role of maintaining national security, increasing sustainable tax revenue, preventing smuggling and commercial crime, and enforcing compliance.</w:t>
      </w:r>
    </w:p>
    <w:p w14:paraId="5514C4FD" w14:textId="77777777" w:rsidR="00C56994" w:rsidRPr="00C56994" w:rsidRDefault="00C56994" w:rsidP="00C56994">
      <w:pPr>
        <w:spacing w:after="0" w:line="240" w:lineRule="auto"/>
        <w:jc w:val="both"/>
        <w:rPr>
          <w:rFonts w:ascii="Times New Roman" w:eastAsia="Times New Roman" w:hAnsi="Times New Roman"/>
          <w:b/>
          <w:bCs/>
          <w:sz w:val="24"/>
          <w:lang w:val="en-AU"/>
        </w:rPr>
      </w:pPr>
      <w:r w:rsidRPr="00C56994">
        <w:rPr>
          <w:rFonts w:ascii="Times New Roman" w:eastAsia="Times New Roman" w:hAnsi="Times New Roman"/>
          <w:b/>
          <w:bCs/>
          <w:sz w:val="24"/>
          <w:lang w:val="en-AU"/>
        </w:rPr>
        <w:t>Analysis of the Direct Impact on Export Business with Implications for Customs</w:t>
      </w:r>
    </w:p>
    <w:p w14:paraId="18D61187" w14:textId="77777777" w:rsidR="00C56994" w:rsidRPr="00C56994" w:rsidRDefault="00C56994" w:rsidP="00C56994">
      <w:pPr>
        <w:spacing w:after="0" w:line="240" w:lineRule="auto"/>
        <w:ind w:firstLine="720"/>
        <w:jc w:val="both"/>
        <w:rPr>
          <w:rFonts w:ascii="Times New Roman" w:eastAsia="Times New Roman" w:hAnsi="Times New Roman"/>
          <w:bCs/>
          <w:sz w:val="24"/>
          <w:lang w:val="en-AU"/>
        </w:rPr>
      </w:pPr>
      <w:r w:rsidRPr="00C56994">
        <w:rPr>
          <w:rFonts w:ascii="Times New Roman" w:eastAsia="Times New Roman" w:hAnsi="Times New Roman"/>
          <w:bCs/>
          <w:sz w:val="24"/>
        </w:rPr>
        <w:t>In Indonesia, the economy is the main object to be regulated regarding its practice.</w:t>
      </w:r>
      <w:r w:rsidRPr="00C56994">
        <w:rPr>
          <w:rFonts w:ascii="Times New Roman" w:eastAsia="Times New Roman" w:hAnsi="Times New Roman"/>
          <w:bCs/>
          <w:sz w:val="24"/>
          <w:vertAlign w:val="superscript"/>
        </w:rPr>
        <w:footnoteReference w:id="6"/>
      </w:r>
      <w:r w:rsidRPr="00C56994">
        <w:rPr>
          <w:rFonts w:ascii="Times New Roman" w:eastAsia="Times New Roman" w:hAnsi="Times New Roman"/>
          <w:bCs/>
          <w:sz w:val="24"/>
        </w:rPr>
        <w:t xml:space="preserve"> </w:t>
      </w:r>
      <w:r w:rsidRPr="00C56994">
        <w:rPr>
          <w:rFonts w:ascii="Times New Roman" w:eastAsia="Times New Roman" w:hAnsi="Times New Roman"/>
          <w:bCs/>
          <w:sz w:val="24"/>
          <w:lang w:val="en-AU"/>
        </w:rPr>
        <w:t xml:space="preserve">The export business is one sector that plays an important role in a country's economy. Exports represent international trade activities that can boost the growth of international trade. One aspect that needs </w:t>
      </w:r>
      <w:r w:rsidRPr="00C56994">
        <w:rPr>
          <w:rFonts w:ascii="Times New Roman" w:eastAsia="Times New Roman" w:hAnsi="Times New Roman"/>
          <w:bCs/>
          <w:sz w:val="24"/>
          <w:lang w:val="en-AU"/>
        </w:rPr>
        <w:lastRenderedPageBreak/>
        <w:t xml:space="preserve">to be </w:t>
      </w:r>
      <w:proofErr w:type="spellStart"/>
      <w:r w:rsidRPr="00C56994">
        <w:rPr>
          <w:rFonts w:ascii="Times New Roman" w:eastAsia="Times New Roman" w:hAnsi="Times New Roman"/>
          <w:bCs/>
          <w:sz w:val="24"/>
          <w:lang w:val="en-AU"/>
        </w:rPr>
        <w:t>analyzed</w:t>
      </w:r>
      <w:proofErr w:type="spellEnd"/>
      <w:r w:rsidRPr="00C56994">
        <w:rPr>
          <w:rFonts w:ascii="Times New Roman" w:eastAsia="Times New Roman" w:hAnsi="Times New Roman"/>
          <w:bCs/>
          <w:sz w:val="24"/>
          <w:lang w:val="en-AU"/>
        </w:rPr>
        <w:t xml:space="preserve"> is the efficiency and reliability of the export process regulated by Customs. An efficient and reliable export process will have a positive impact on the overall supply chain and competitiveness of the export business in the global market as Customs is the overseer in export activities between countries.</w:t>
      </w:r>
      <w:r w:rsidRPr="00C56994">
        <w:rPr>
          <w:rFonts w:ascii="Times New Roman" w:eastAsia="Times New Roman" w:hAnsi="Times New Roman"/>
          <w:bCs/>
          <w:sz w:val="24"/>
          <w:vertAlign w:val="superscript"/>
          <w:lang w:val="en-AU"/>
        </w:rPr>
        <w:footnoteReference w:id="7"/>
      </w:r>
      <w:r w:rsidRPr="00C56994">
        <w:rPr>
          <w:rFonts w:ascii="Times New Roman" w:eastAsia="Times New Roman" w:hAnsi="Times New Roman"/>
          <w:bCs/>
          <w:sz w:val="24"/>
          <w:lang w:val="en-AU"/>
        </w:rPr>
        <w:t xml:space="preserve"> </w:t>
      </w:r>
    </w:p>
    <w:p w14:paraId="676B25EF" w14:textId="77777777" w:rsidR="00C56994" w:rsidRPr="00C56994" w:rsidRDefault="00C56994" w:rsidP="00C56994">
      <w:pPr>
        <w:spacing w:after="0" w:line="240" w:lineRule="auto"/>
        <w:ind w:firstLine="720"/>
        <w:jc w:val="both"/>
        <w:rPr>
          <w:rFonts w:ascii="Times New Roman" w:eastAsia="Times New Roman" w:hAnsi="Times New Roman"/>
          <w:bCs/>
          <w:sz w:val="24"/>
          <w:lang w:val="en-AU"/>
        </w:rPr>
      </w:pPr>
      <w:r w:rsidRPr="00C56994">
        <w:rPr>
          <w:rFonts w:ascii="Times New Roman" w:eastAsia="Times New Roman" w:hAnsi="Times New Roman"/>
          <w:bCs/>
          <w:sz w:val="24"/>
          <w:lang w:val="en-AU"/>
        </w:rPr>
        <w:t>Customs has the responsibility to process customs documents related to export activities. The success of Customs in performing this task will have a direct impact on the efficiency of the export process. In this context, improved systems and procedures implemented by Customs can reduce the time and cost required to complete the customs process. By doing so, export businesses can save resources, increase productivity, and accelerate the deployment of their products to international markets.</w:t>
      </w:r>
    </w:p>
    <w:p w14:paraId="149B1D04" w14:textId="77777777" w:rsidR="00C56994" w:rsidRPr="00C56994" w:rsidRDefault="00C56994" w:rsidP="00C56994">
      <w:pPr>
        <w:spacing w:after="0" w:line="240" w:lineRule="auto"/>
        <w:ind w:firstLine="720"/>
        <w:jc w:val="both"/>
        <w:rPr>
          <w:rFonts w:ascii="Times New Roman" w:eastAsia="Times New Roman" w:hAnsi="Times New Roman"/>
          <w:bCs/>
          <w:sz w:val="24"/>
          <w:lang w:val="en-AU"/>
        </w:rPr>
      </w:pPr>
      <w:r w:rsidRPr="00C56994">
        <w:rPr>
          <w:rFonts w:ascii="Times New Roman" w:eastAsia="Times New Roman" w:hAnsi="Times New Roman"/>
          <w:bCs/>
          <w:sz w:val="24"/>
          <w:lang w:val="en-AU"/>
        </w:rPr>
        <w:t>Macroeconomic data such as economic growth and stable inflation is one of the requirements for an increase in trade, especially exports in a country. Economic growth is a process of continuous change in the economic condition of a country for the better in a certain period in terms of increasing the supply of goods, and the use of technology on an ongoing basis (Hasyim, 2016).</w:t>
      </w:r>
      <w:r w:rsidRPr="00C56994">
        <w:rPr>
          <w:rFonts w:ascii="Times New Roman" w:eastAsia="Times New Roman" w:hAnsi="Times New Roman"/>
          <w:bCs/>
          <w:sz w:val="24"/>
          <w:vertAlign w:val="superscript"/>
          <w:lang w:val="en-AU"/>
        </w:rPr>
        <w:footnoteReference w:id="8"/>
      </w:r>
      <w:r w:rsidRPr="00C56994">
        <w:rPr>
          <w:rFonts w:ascii="Times New Roman" w:eastAsia="Times New Roman" w:hAnsi="Times New Roman"/>
          <w:bCs/>
          <w:sz w:val="24"/>
          <w:lang w:val="en-AU"/>
        </w:rPr>
        <w:t xml:space="preserve"> </w:t>
      </w:r>
    </w:p>
    <w:p w14:paraId="1DB4D81B" w14:textId="77777777" w:rsidR="00C56994" w:rsidRPr="00C56994" w:rsidRDefault="00C56994" w:rsidP="00C56994">
      <w:pPr>
        <w:spacing w:after="0" w:line="240" w:lineRule="auto"/>
        <w:ind w:firstLine="720"/>
        <w:jc w:val="both"/>
        <w:rPr>
          <w:rFonts w:ascii="Times New Roman" w:eastAsia="Times New Roman" w:hAnsi="Times New Roman"/>
          <w:bCs/>
          <w:sz w:val="24"/>
          <w:lang w:val="en-AU"/>
        </w:rPr>
      </w:pPr>
      <w:r w:rsidRPr="00C56994">
        <w:rPr>
          <w:rFonts w:ascii="Times New Roman" w:eastAsia="Times New Roman" w:hAnsi="Times New Roman"/>
          <w:bCs/>
          <w:sz w:val="24"/>
          <w:lang w:val="en-AU"/>
        </w:rPr>
        <w:t xml:space="preserve">The existence of order and predictability benefits not only businesses, but also the government and society. The government can improve its oversight of export activities and maintain regulatory compliance. In the long run, this can reduce the potential for conflict between the government and businesses and create a stable investment climate. </w:t>
      </w:r>
    </w:p>
    <w:p w14:paraId="3DD33962" w14:textId="77777777" w:rsidR="00C56994" w:rsidRPr="00C56994" w:rsidRDefault="00C56994" w:rsidP="00C56994">
      <w:pPr>
        <w:spacing w:after="0" w:line="240" w:lineRule="auto"/>
        <w:jc w:val="both"/>
        <w:rPr>
          <w:rFonts w:ascii="Times New Roman" w:eastAsia="Times New Roman" w:hAnsi="Times New Roman"/>
          <w:bCs/>
          <w:sz w:val="24"/>
          <w:lang w:val="en-AU"/>
        </w:rPr>
      </w:pPr>
      <w:r w:rsidRPr="00C56994">
        <w:rPr>
          <w:rFonts w:ascii="Times New Roman" w:eastAsia="Times New Roman" w:hAnsi="Times New Roman"/>
          <w:bCs/>
          <w:sz w:val="24"/>
          <w:lang w:val="en-AU"/>
        </w:rPr>
        <w:t>Meanwhile, society will benefit from sustained economic growth, job creation, and a general improvement in welfare. Faster growth rates will lead to higher levels of social welfare in society.</w:t>
      </w:r>
      <w:r w:rsidRPr="00C56994">
        <w:rPr>
          <w:rFonts w:ascii="Times New Roman" w:eastAsia="Times New Roman" w:hAnsi="Times New Roman"/>
          <w:bCs/>
          <w:sz w:val="24"/>
          <w:vertAlign w:val="superscript"/>
          <w:lang w:val="en-AU"/>
        </w:rPr>
        <w:footnoteReference w:id="9"/>
      </w:r>
      <w:r w:rsidRPr="00C56994">
        <w:rPr>
          <w:rFonts w:ascii="Times New Roman" w:eastAsia="Times New Roman" w:hAnsi="Times New Roman"/>
          <w:bCs/>
          <w:sz w:val="24"/>
          <w:lang w:val="en-AU"/>
        </w:rPr>
        <w:t xml:space="preserve"> That way, export businesses can better plan their strategies and reduce uncertainties that may arise due to changes in trade policies.</w:t>
      </w:r>
    </w:p>
    <w:p w14:paraId="6B4D3991" w14:textId="77777777" w:rsidR="00C56994" w:rsidRPr="00C56994" w:rsidRDefault="00C56994" w:rsidP="00C56994">
      <w:pPr>
        <w:spacing w:after="0" w:line="240" w:lineRule="auto"/>
        <w:ind w:firstLine="720"/>
        <w:jc w:val="both"/>
        <w:rPr>
          <w:rFonts w:ascii="Times New Roman" w:eastAsia="Times New Roman" w:hAnsi="Times New Roman"/>
          <w:bCs/>
          <w:sz w:val="24"/>
          <w:lang w:val="en-AU"/>
        </w:rPr>
      </w:pPr>
      <w:r w:rsidRPr="00C56994">
        <w:rPr>
          <w:rFonts w:ascii="Times New Roman" w:eastAsia="Times New Roman" w:hAnsi="Times New Roman"/>
          <w:bCs/>
          <w:sz w:val="24"/>
          <w:lang w:val="en-AU"/>
        </w:rPr>
        <w:t>Furthermore, in looking at the impact of Customs on export businesses, an equally important aspect is the support to economic growth. Specialization and economic progress associated with market expansion and business development allow for specialization in economic activities.</w:t>
      </w:r>
      <w:r w:rsidRPr="00C56994">
        <w:rPr>
          <w:rFonts w:ascii="Times New Roman" w:eastAsia="Times New Roman" w:hAnsi="Times New Roman"/>
          <w:bCs/>
          <w:sz w:val="24"/>
          <w:vertAlign w:val="superscript"/>
          <w:lang w:val="en-AU"/>
        </w:rPr>
        <w:footnoteReference w:id="10"/>
      </w:r>
      <w:r w:rsidRPr="00C56994">
        <w:rPr>
          <w:rFonts w:ascii="Times New Roman" w:eastAsia="Times New Roman" w:hAnsi="Times New Roman"/>
          <w:bCs/>
          <w:sz w:val="24"/>
          <w:lang w:val="en-AU"/>
        </w:rPr>
        <w:t xml:space="preserve">  A successful export business can be one of the main drivers of a country's economic growth. In this regard, Customs has a strategic role in creating an enabling environment for export business growth.</w:t>
      </w:r>
    </w:p>
    <w:p w14:paraId="0CA66F22" w14:textId="77777777" w:rsidR="00C56994" w:rsidRPr="00C56994" w:rsidRDefault="00C56994" w:rsidP="00C56994">
      <w:pPr>
        <w:spacing w:after="0" w:line="240" w:lineRule="auto"/>
        <w:ind w:firstLine="720"/>
        <w:jc w:val="both"/>
        <w:rPr>
          <w:rFonts w:ascii="Times New Roman" w:eastAsia="Times New Roman" w:hAnsi="Times New Roman"/>
          <w:bCs/>
          <w:sz w:val="24"/>
          <w:lang w:val="en-AU"/>
        </w:rPr>
      </w:pPr>
      <w:r w:rsidRPr="00C56994">
        <w:rPr>
          <w:rFonts w:ascii="Times New Roman" w:eastAsia="Times New Roman" w:hAnsi="Times New Roman"/>
          <w:bCs/>
          <w:sz w:val="24"/>
          <w:lang w:val="en-AU"/>
        </w:rPr>
        <w:t xml:space="preserve">The success of an export business contributes to increased state revenue through tax receipts and export tariffs. These revenues can be used to finance development projects and improve public welfare. Therefore, the role of Customs in optimizing state revenue from the export sector is critical to maintaining sustainable economic growth. In addition, a successful export business also creates jobs and stimulates the growth of related sectors, such as transportation, logistics and manufacturing. Customs can play a role in facilitating the growth of these sectors by providing logistics support and ensuring the smooth flow of goods. By doing so, this positive </w:t>
      </w:r>
      <w:r w:rsidRPr="00C56994">
        <w:rPr>
          <w:rFonts w:ascii="Times New Roman" w:eastAsia="Times New Roman" w:hAnsi="Times New Roman"/>
          <w:bCs/>
          <w:sz w:val="24"/>
          <w:lang w:val="en-AU"/>
        </w:rPr>
        <w:lastRenderedPageBreak/>
        <w:t>impact will extend to various levels of society, improving welfare levels and reducing unemployment.</w:t>
      </w:r>
    </w:p>
    <w:p w14:paraId="68021DC7" w14:textId="77777777" w:rsidR="00C56994" w:rsidRPr="00C56994" w:rsidRDefault="00C56994" w:rsidP="00C56994">
      <w:pPr>
        <w:spacing w:after="0" w:line="240" w:lineRule="auto"/>
        <w:ind w:firstLine="720"/>
        <w:jc w:val="both"/>
        <w:rPr>
          <w:rFonts w:ascii="Times New Roman" w:eastAsia="Times New Roman" w:hAnsi="Times New Roman"/>
          <w:bCs/>
          <w:sz w:val="24"/>
          <w:lang w:val="en-AU"/>
        </w:rPr>
      </w:pPr>
      <w:r w:rsidRPr="00C56994">
        <w:rPr>
          <w:rFonts w:ascii="Times New Roman" w:eastAsia="Times New Roman" w:hAnsi="Times New Roman"/>
          <w:bCs/>
          <w:sz w:val="24"/>
          <w:lang w:val="en-AU"/>
        </w:rPr>
        <w:t>Overall, Customs' impact on export business is complex and involves a number of interrelated factors. Their effectiveness in processing customs documents, creating order and predictability, and supporting economic growth has direct consequences on the competitiveness and sustainability of a country's export business.</w:t>
      </w:r>
      <w:r w:rsidRPr="00C56994">
        <w:rPr>
          <w:rFonts w:ascii="Times New Roman" w:eastAsia="Times New Roman" w:hAnsi="Times New Roman"/>
          <w:bCs/>
          <w:sz w:val="24"/>
          <w:vertAlign w:val="superscript"/>
          <w:lang w:val="en-AU"/>
        </w:rPr>
        <w:footnoteReference w:id="11"/>
      </w:r>
      <w:r w:rsidRPr="00C56994">
        <w:rPr>
          <w:rFonts w:ascii="Times New Roman" w:eastAsia="Times New Roman" w:hAnsi="Times New Roman"/>
          <w:bCs/>
          <w:sz w:val="24"/>
          <w:lang w:val="en-AU"/>
        </w:rPr>
        <w:t xml:space="preserve"> </w:t>
      </w:r>
    </w:p>
    <w:p w14:paraId="343D3E80" w14:textId="77777777" w:rsidR="00C56994" w:rsidRPr="00C56994" w:rsidRDefault="00C56994" w:rsidP="00C56994">
      <w:pPr>
        <w:spacing w:after="0" w:line="240" w:lineRule="auto"/>
        <w:jc w:val="both"/>
        <w:rPr>
          <w:rFonts w:ascii="Times New Roman" w:eastAsia="Times New Roman" w:hAnsi="Times New Roman"/>
          <w:b/>
          <w:bCs/>
          <w:sz w:val="24"/>
          <w:lang w:val="en-AU"/>
        </w:rPr>
      </w:pPr>
      <w:r w:rsidRPr="00C56994">
        <w:rPr>
          <w:rFonts w:ascii="Times New Roman" w:eastAsia="Times New Roman" w:hAnsi="Times New Roman"/>
          <w:b/>
          <w:bCs/>
          <w:sz w:val="24"/>
          <w:lang w:val="en-AU"/>
        </w:rPr>
        <w:t>Factors of Customs Document Negligence by Customs: A Case Study of SPTNP and Its Relationship to Export Smoothness</w:t>
      </w:r>
    </w:p>
    <w:p w14:paraId="2C937ADC" w14:textId="77777777" w:rsidR="00C56994" w:rsidRPr="00C56994" w:rsidRDefault="00C56994" w:rsidP="00C56994">
      <w:pPr>
        <w:spacing w:after="0" w:line="240" w:lineRule="auto"/>
        <w:ind w:firstLine="720"/>
        <w:jc w:val="both"/>
        <w:rPr>
          <w:rFonts w:ascii="Times New Roman" w:eastAsia="Times New Roman" w:hAnsi="Times New Roman"/>
          <w:bCs/>
          <w:sz w:val="24"/>
          <w:lang w:val="en-AU"/>
        </w:rPr>
      </w:pPr>
      <w:r w:rsidRPr="00C56994">
        <w:rPr>
          <w:rFonts w:ascii="Times New Roman" w:eastAsia="Times New Roman" w:hAnsi="Times New Roman"/>
          <w:bCs/>
          <w:sz w:val="24"/>
          <w:lang w:val="en-AU"/>
        </w:rPr>
        <w:t xml:space="preserve">In the world of international trade, the export process involves a number of documents that must be taken care of by the exporter and supervised by Customs. According to research conducted by </w:t>
      </w:r>
      <w:proofErr w:type="spellStart"/>
      <w:r w:rsidRPr="00C56994">
        <w:rPr>
          <w:rFonts w:ascii="Times New Roman" w:eastAsia="Times New Roman" w:hAnsi="Times New Roman"/>
          <w:bCs/>
          <w:sz w:val="24"/>
          <w:lang w:val="en-AU"/>
        </w:rPr>
        <w:t>Hasrul</w:t>
      </w:r>
      <w:proofErr w:type="spellEnd"/>
      <w:r w:rsidRPr="00C56994">
        <w:rPr>
          <w:rFonts w:ascii="Times New Roman" w:eastAsia="Times New Roman" w:hAnsi="Times New Roman"/>
          <w:bCs/>
          <w:sz w:val="24"/>
          <w:lang w:val="en-AU"/>
        </w:rPr>
        <w:t xml:space="preserve"> </w:t>
      </w:r>
      <w:proofErr w:type="spellStart"/>
      <w:r w:rsidRPr="00C56994">
        <w:rPr>
          <w:rFonts w:ascii="Times New Roman" w:eastAsia="Times New Roman" w:hAnsi="Times New Roman"/>
          <w:bCs/>
          <w:sz w:val="24"/>
          <w:lang w:val="en-AU"/>
        </w:rPr>
        <w:t>Mahyuzar</w:t>
      </w:r>
      <w:proofErr w:type="spellEnd"/>
      <w:r w:rsidRPr="00C56994">
        <w:rPr>
          <w:rFonts w:ascii="Times New Roman" w:eastAsia="Times New Roman" w:hAnsi="Times New Roman"/>
          <w:bCs/>
          <w:sz w:val="24"/>
          <w:lang w:val="en-AU"/>
        </w:rPr>
        <w:t xml:space="preserve"> </w:t>
      </w:r>
      <w:proofErr w:type="spellStart"/>
      <w:r w:rsidRPr="00C56994">
        <w:rPr>
          <w:rFonts w:ascii="Times New Roman" w:eastAsia="Times New Roman" w:hAnsi="Times New Roman"/>
          <w:bCs/>
          <w:sz w:val="24"/>
          <w:lang w:val="en-AU"/>
        </w:rPr>
        <w:t>Melayu</w:t>
      </w:r>
      <w:proofErr w:type="spellEnd"/>
      <w:r w:rsidRPr="00C56994">
        <w:rPr>
          <w:rFonts w:ascii="Times New Roman" w:eastAsia="Times New Roman" w:hAnsi="Times New Roman"/>
          <w:bCs/>
          <w:sz w:val="24"/>
          <w:lang w:val="en-AU"/>
        </w:rPr>
        <w:t xml:space="preserve">, M. Anshar, and Bambang </w:t>
      </w:r>
      <w:proofErr w:type="spellStart"/>
      <w:r w:rsidRPr="00C56994">
        <w:rPr>
          <w:rFonts w:ascii="Times New Roman" w:eastAsia="Times New Roman" w:hAnsi="Times New Roman"/>
          <w:bCs/>
          <w:sz w:val="24"/>
          <w:lang w:val="en-AU"/>
        </w:rPr>
        <w:t>Irawadi</w:t>
      </w:r>
      <w:proofErr w:type="spellEnd"/>
      <w:r w:rsidRPr="00C56994">
        <w:rPr>
          <w:rFonts w:ascii="Times New Roman" w:eastAsia="Times New Roman" w:hAnsi="Times New Roman"/>
          <w:bCs/>
          <w:sz w:val="24"/>
          <w:lang w:val="en-AU"/>
        </w:rPr>
        <w:t>, the results of their interviews confirm the strategic importance of the role of export document inspection officials. In this context, at the stage of physical examination and/or laboratory testing, if the results show a conformity in the quantity and/or type of goods, a number of specific steps are implemented. This involves the Goods Physical Examiner issuing, signing and delivering the Non-Physical Examination (NPE) to the exporter, especially if no surveyor's report is required. Furthermore, the PEB which includes the results of the physical examination, PP-PEB correction (if there is an improvement to the PEB), PPB, PKB, copy of invoice, copy of packing list, and copy of NPE are submitted to the Document Examining Officer. The Head of Customs and Excise Hangar Subsection/Document Examining Officer makes a note of "appropriate" on the SKP. In situations where a surveyor's report is required, the Head of Customs and Excise Hangar Subsection/Document Examining Officer notes "conform" on the SKP and issues an NPE if the required documents, such as a surveyor's report, have been complied with. Conversely, if the results of the physical examination show discrepancies in the quantity and/or type of goods, the Goods Examiner at the Customs and Excise Services Section submits the PEB which includes the results of the physical examination, PP-PEB (if there is an improvement in PEB data), PPB, PKB, copy of invoice, and copy of packing list to the Head of Customs and Excise Hangar Subsection or Document Examining Officer to proceed with the Document Research SOP. This conclusion provides an in-depth insight into the significance of the document examining officer in the context of the export process, in line with the findings obtained from the informants in this study.</w:t>
      </w:r>
      <w:r w:rsidRPr="00C56994">
        <w:rPr>
          <w:rFonts w:ascii="Times New Roman" w:eastAsia="Times New Roman" w:hAnsi="Times New Roman"/>
          <w:bCs/>
          <w:sz w:val="24"/>
          <w:vertAlign w:val="superscript"/>
          <w:lang w:val="en-AU"/>
        </w:rPr>
        <w:footnoteReference w:id="12"/>
      </w:r>
      <w:r w:rsidRPr="00C56994">
        <w:rPr>
          <w:rFonts w:ascii="Times New Roman" w:eastAsia="Times New Roman" w:hAnsi="Times New Roman"/>
          <w:bCs/>
          <w:sz w:val="24"/>
          <w:lang w:val="en-AU"/>
        </w:rPr>
        <w:t xml:space="preserve"> One of the important documents in the customs process is the Customs Value Receipt Notification Letter (SPTNP). </w:t>
      </w:r>
    </w:p>
    <w:p w14:paraId="30DD12E7" w14:textId="77777777" w:rsidR="00C56994" w:rsidRPr="00C56994" w:rsidRDefault="00C56994" w:rsidP="00C56994">
      <w:pPr>
        <w:spacing w:after="0" w:line="240" w:lineRule="auto"/>
        <w:ind w:firstLine="720"/>
        <w:jc w:val="both"/>
        <w:rPr>
          <w:rFonts w:ascii="Times New Roman" w:eastAsia="Times New Roman" w:hAnsi="Times New Roman"/>
          <w:bCs/>
          <w:sz w:val="24"/>
          <w:lang w:val="en-AU"/>
        </w:rPr>
      </w:pPr>
      <w:r w:rsidRPr="00C56994">
        <w:rPr>
          <w:rFonts w:ascii="Times New Roman" w:eastAsia="Times New Roman" w:hAnsi="Times New Roman"/>
          <w:bCs/>
          <w:sz w:val="24"/>
          <w:lang w:val="en-AU"/>
        </w:rPr>
        <w:t xml:space="preserve">Errors in the handling of customs documents, including SPTNP, by Customs can have a serious impact on the smooth running of exports. The study conducted by Indra </w:t>
      </w:r>
      <w:proofErr w:type="spellStart"/>
      <w:r w:rsidRPr="00C56994">
        <w:rPr>
          <w:rFonts w:ascii="Times New Roman" w:eastAsia="Times New Roman" w:hAnsi="Times New Roman"/>
          <w:bCs/>
          <w:sz w:val="24"/>
          <w:lang w:val="en-AU"/>
        </w:rPr>
        <w:t>Asmadewa</w:t>
      </w:r>
      <w:proofErr w:type="spellEnd"/>
      <w:r w:rsidRPr="00C56994">
        <w:rPr>
          <w:rFonts w:ascii="Times New Roman" w:eastAsia="Times New Roman" w:hAnsi="Times New Roman"/>
          <w:bCs/>
          <w:sz w:val="24"/>
          <w:lang w:val="en-AU"/>
        </w:rPr>
        <w:t xml:space="preserve"> and Renny </w:t>
      </w:r>
      <w:proofErr w:type="spellStart"/>
      <w:r w:rsidRPr="00C56994">
        <w:rPr>
          <w:rFonts w:ascii="Times New Roman" w:eastAsia="Times New Roman" w:hAnsi="Times New Roman"/>
          <w:bCs/>
          <w:sz w:val="24"/>
          <w:lang w:val="en-AU"/>
        </w:rPr>
        <w:t>Sukmono</w:t>
      </w:r>
      <w:proofErr w:type="spellEnd"/>
      <w:r w:rsidRPr="00C56994">
        <w:rPr>
          <w:rFonts w:ascii="Times New Roman" w:eastAsia="Times New Roman" w:hAnsi="Times New Roman"/>
          <w:bCs/>
          <w:sz w:val="24"/>
          <w:lang w:val="en-AU"/>
        </w:rPr>
        <w:t xml:space="preserve">, titled "REVIEW OF SPTNP APPOINTMENT AT KPPBC ABC", provides in-depth insight into the factors that can influence errors in SPTNP determination by Customs.  In this context, the ten learning organization enablers identified by the study can be linked to smooth exports. </w:t>
      </w:r>
    </w:p>
    <w:p w14:paraId="2C2AFE9D" w14:textId="77777777" w:rsidR="00C56994" w:rsidRPr="00C56994" w:rsidRDefault="00C56994" w:rsidP="00C56994">
      <w:pPr>
        <w:spacing w:after="0" w:line="240" w:lineRule="auto"/>
        <w:ind w:firstLine="720"/>
        <w:jc w:val="both"/>
        <w:rPr>
          <w:rFonts w:ascii="Times New Roman" w:eastAsia="Times New Roman" w:hAnsi="Times New Roman"/>
          <w:bCs/>
          <w:sz w:val="24"/>
          <w:lang w:val="en-AU"/>
        </w:rPr>
      </w:pPr>
      <w:r w:rsidRPr="00C56994">
        <w:rPr>
          <w:rFonts w:ascii="Times New Roman" w:eastAsia="Times New Roman" w:hAnsi="Times New Roman"/>
          <w:bCs/>
          <w:sz w:val="24"/>
          <w:lang w:val="en-AU"/>
        </w:rPr>
        <w:t xml:space="preserve">These factors include environmental scanning, performance gap, attention to performance measurement, experimental mindset, climate of openness, continuing education, operational diversity, multiple enablers, leadership involvement, and systems perspective. One of the factors highlighted in this study is the environmental scanning imperative. Customs, as a supervisory </w:t>
      </w:r>
      <w:r w:rsidRPr="00C56994">
        <w:rPr>
          <w:rFonts w:ascii="Times New Roman" w:eastAsia="Times New Roman" w:hAnsi="Times New Roman"/>
          <w:bCs/>
          <w:sz w:val="24"/>
          <w:lang w:val="en-AU"/>
        </w:rPr>
        <w:lastRenderedPageBreak/>
        <w:t>agency for export activities, needs to effectively conduct environmental scanning to identify potential errors in the determination of SPTNP. Environmental scanning includes an in-depth understanding of international trade regulations and policies, changes in customs regulations, and global market dynamics. Customs' inability to conduct a good environmental scan could potentially result in inadvertent SPTNP determinations, which in turn could hamper the smooth flow of exports. By improving environmental scanning, Customs can become more responsive to changes in the trading environment and reduce the risk of errors in customs documents.</w:t>
      </w:r>
    </w:p>
    <w:p w14:paraId="08768695" w14:textId="77777777" w:rsidR="00C56994" w:rsidRPr="00C56994" w:rsidRDefault="00C56994" w:rsidP="00C56994">
      <w:pPr>
        <w:spacing w:after="0" w:line="240" w:lineRule="auto"/>
        <w:ind w:firstLine="720"/>
        <w:jc w:val="both"/>
        <w:rPr>
          <w:rFonts w:ascii="Times New Roman" w:eastAsia="Times New Roman" w:hAnsi="Times New Roman"/>
          <w:bCs/>
          <w:sz w:val="24"/>
          <w:lang w:val="en-AU"/>
        </w:rPr>
      </w:pPr>
      <w:r w:rsidRPr="00C56994">
        <w:rPr>
          <w:rFonts w:ascii="Times New Roman" w:eastAsia="Times New Roman" w:hAnsi="Times New Roman"/>
          <w:bCs/>
          <w:sz w:val="24"/>
          <w:lang w:val="en-AU"/>
        </w:rPr>
        <w:t>Furthermore, the performance gap factor becomes relevant in the context of customs document processing. Errors in the determination of SPTNP can occur if there is a gap between expectations and actual performance. Therefore, Customs needs to ensure that the customs document processing process, including the determination of SPTNP, is in accordance with established performance standards. Improved alignment between expectations and performance can help reduce inaccuracies in SPTNP determinations and improve efficiency in the overall export process.</w:t>
      </w:r>
    </w:p>
    <w:p w14:paraId="4615C8C9" w14:textId="77777777" w:rsidR="00C56994" w:rsidRPr="00C56994" w:rsidRDefault="00C56994" w:rsidP="00C56994">
      <w:pPr>
        <w:spacing w:after="0" w:line="240" w:lineRule="auto"/>
        <w:ind w:firstLine="720"/>
        <w:jc w:val="both"/>
        <w:rPr>
          <w:rFonts w:ascii="Times New Roman" w:eastAsia="Times New Roman" w:hAnsi="Times New Roman"/>
          <w:bCs/>
          <w:sz w:val="24"/>
          <w:lang w:val="en-AU"/>
        </w:rPr>
      </w:pPr>
      <w:r w:rsidRPr="00C56994">
        <w:rPr>
          <w:rFonts w:ascii="Times New Roman" w:eastAsia="Times New Roman" w:hAnsi="Times New Roman"/>
          <w:bCs/>
          <w:sz w:val="24"/>
          <w:lang w:val="en-AU"/>
        </w:rPr>
        <w:t>The concern for measurement factor also has a significant impact on smooth exports. In the context of SPTNP determinations, Customs needs to have clear metrics and performance indicators to evaluate the accuracy and effectiveness of their processes. Rigorous performance monitoring can help detect errors faster and prevent inadvertence in customs documents. Therefore, proper attention to performance measurement can help Customs ensure the sustainability and smooth running of exports.</w:t>
      </w:r>
    </w:p>
    <w:p w14:paraId="4CC4ABDF" w14:textId="77777777" w:rsidR="00C56994" w:rsidRPr="00C56994" w:rsidRDefault="00C56994" w:rsidP="00C56994">
      <w:pPr>
        <w:spacing w:after="0" w:line="240" w:lineRule="auto"/>
        <w:ind w:firstLine="720"/>
        <w:jc w:val="both"/>
        <w:rPr>
          <w:rFonts w:ascii="Times New Roman" w:eastAsia="Times New Roman" w:hAnsi="Times New Roman"/>
          <w:bCs/>
          <w:sz w:val="24"/>
          <w:lang w:val="en-AU"/>
        </w:rPr>
      </w:pPr>
      <w:r w:rsidRPr="00C56994">
        <w:rPr>
          <w:rFonts w:ascii="Times New Roman" w:eastAsia="Times New Roman" w:hAnsi="Times New Roman"/>
          <w:bCs/>
          <w:sz w:val="24"/>
          <w:lang w:val="en-AU"/>
        </w:rPr>
        <w:t>An experimental mindset is a relevant factor in the context of customs document handling. Customs needs to have a mindset that is open to innovation and change in the SPTNP determination process. The use of new technologies, the implementation of automation systems, and increased efficiency through experimental approaches can help reduce the risk of errors. Customs that have an experimental mindset can more easily adapt to changes in global market demands and international trade regulations.</w:t>
      </w:r>
    </w:p>
    <w:p w14:paraId="30027696" w14:textId="77777777" w:rsidR="00C56994" w:rsidRPr="00C56994" w:rsidRDefault="00C56994" w:rsidP="00C56994">
      <w:pPr>
        <w:spacing w:after="0" w:line="240" w:lineRule="auto"/>
        <w:ind w:firstLine="720"/>
        <w:jc w:val="both"/>
        <w:rPr>
          <w:rFonts w:ascii="Times New Roman" w:eastAsia="Times New Roman" w:hAnsi="Times New Roman"/>
          <w:bCs/>
          <w:sz w:val="24"/>
          <w:lang w:val="en-AU"/>
        </w:rPr>
      </w:pPr>
      <w:r w:rsidRPr="00C56994">
        <w:rPr>
          <w:rFonts w:ascii="Times New Roman" w:eastAsia="Times New Roman" w:hAnsi="Times New Roman"/>
          <w:bCs/>
          <w:sz w:val="24"/>
          <w:lang w:val="en-AU"/>
        </w:rPr>
        <w:t>A climate of openness is also an important factor in ensuring smooth exports. Customs needs to create a climate of openness that supports open communication between the various parties involved in the customs process. Effective communication between Customs, exporters and international trade partners can help identify potential errors early on and ensure that customs documents are processed correctly. By creating a climate of openness, Customs can build strong relationships with stakeholders and enhance collaboration in maintaining smooth exports.</w:t>
      </w:r>
    </w:p>
    <w:p w14:paraId="698C1389" w14:textId="77777777" w:rsidR="00C56994" w:rsidRPr="00C56994" w:rsidRDefault="00C56994" w:rsidP="00C56994">
      <w:pPr>
        <w:spacing w:after="0" w:line="240" w:lineRule="auto"/>
        <w:ind w:firstLine="720"/>
        <w:jc w:val="both"/>
        <w:rPr>
          <w:rFonts w:ascii="Times New Roman" w:eastAsia="Times New Roman" w:hAnsi="Times New Roman"/>
          <w:bCs/>
          <w:sz w:val="24"/>
          <w:lang w:val="en-AU"/>
        </w:rPr>
      </w:pPr>
      <w:r w:rsidRPr="00C56994">
        <w:rPr>
          <w:rFonts w:ascii="Times New Roman" w:eastAsia="Times New Roman" w:hAnsi="Times New Roman"/>
          <w:bCs/>
          <w:sz w:val="24"/>
          <w:lang w:val="en-AU"/>
        </w:rPr>
        <w:t>Continuous education is a key factor in dealing with the complexity of customs regulations and changes in international trade policies. Continuous education will help improve the competence and expertise of Customs personnel, which in turn will have a positive impact on the smooth flow of exports.</w:t>
      </w:r>
    </w:p>
    <w:p w14:paraId="3DD64DB4" w14:textId="77777777" w:rsidR="00C56994" w:rsidRPr="00C56994" w:rsidRDefault="00C56994" w:rsidP="00C56994">
      <w:pPr>
        <w:spacing w:after="0" w:line="240" w:lineRule="auto"/>
        <w:ind w:firstLine="720"/>
        <w:jc w:val="both"/>
        <w:rPr>
          <w:rFonts w:ascii="Times New Roman" w:eastAsia="Times New Roman" w:hAnsi="Times New Roman"/>
          <w:bCs/>
          <w:sz w:val="24"/>
          <w:lang w:val="en-AU"/>
        </w:rPr>
      </w:pPr>
      <w:r w:rsidRPr="00C56994">
        <w:rPr>
          <w:rFonts w:ascii="Times New Roman" w:eastAsia="Times New Roman" w:hAnsi="Times New Roman"/>
          <w:bCs/>
          <w:sz w:val="24"/>
          <w:lang w:val="en-AU"/>
        </w:rPr>
        <w:t>Operational variety reflects the importance of flexibility in responding to different situations in the customs process. Each export transaction has unique characteristics, and Customs needs to have operational diversity to adapt to different needs and complexities. By understanding and accommodating operational diversity, Customs can minimize the risk of errors and ensure smooth exports without compromising regulatory compliance.</w:t>
      </w:r>
    </w:p>
    <w:p w14:paraId="616FD18C" w14:textId="77777777" w:rsidR="00C56994" w:rsidRPr="00C56994" w:rsidRDefault="00C56994" w:rsidP="00C56994">
      <w:pPr>
        <w:spacing w:after="0" w:line="240" w:lineRule="auto"/>
        <w:jc w:val="both"/>
        <w:rPr>
          <w:rFonts w:ascii="Times New Roman" w:eastAsia="Times New Roman" w:hAnsi="Times New Roman"/>
          <w:bCs/>
          <w:sz w:val="24"/>
          <w:lang w:val="en-AU"/>
        </w:rPr>
      </w:pPr>
      <w:r w:rsidRPr="00C56994">
        <w:rPr>
          <w:rFonts w:ascii="Times New Roman" w:eastAsia="Times New Roman" w:hAnsi="Times New Roman"/>
          <w:bCs/>
          <w:sz w:val="24"/>
          <w:lang w:val="en-AU"/>
        </w:rPr>
        <w:t>Multiple advocates are factors that reflect the importance of collaboration between various parties involved in the export process. In the context of SPTNP determination, multiple advocates may include cooperation between Customs, customs offices, and other relevant agencies. Close collaboration and mutual support between the various parties will help identify and address errors more effectively, thereby optimizing the smooth flow of exports.</w:t>
      </w:r>
    </w:p>
    <w:p w14:paraId="19C6DBED" w14:textId="77777777" w:rsidR="00C56994" w:rsidRPr="00C56994" w:rsidRDefault="00C56994" w:rsidP="00C56994">
      <w:pPr>
        <w:spacing w:after="0" w:line="240" w:lineRule="auto"/>
        <w:ind w:firstLine="720"/>
        <w:jc w:val="both"/>
        <w:rPr>
          <w:rFonts w:ascii="Times New Roman" w:eastAsia="Times New Roman" w:hAnsi="Times New Roman"/>
          <w:bCs/>
          <w:sz w:val="24"/>
          <w:lang w:val="en-AU"/>
        </w:rPr>
      </w:pPr>
      <w:r w:rsidRPr="00C56994">
        <w:rPr>
          <w:rFonts w:ascii="Times New Roman" w:eastAsia="Times New Roman" w:hAnsi="Times New Roman"/>
          <w:bCs/>
          <w:sz w:val="24"/>
          <w:lang w:val="en-AU"/>
        </w:rPr>
        <w:lastRenderedPageBreak/>
        <w:t>Engaged leadership is a decisive factor in creating a culture of compliance and high performance in Customs. Customs leaders need to be actively involved in supporting compliance with customs regulations and ensuring that the entire organization prioritizes integrity and accuracy in SPTNP determinations. Leadership engagement also creates an environment where employees feel supported to innovate and improve their work processes, thereby supporting smooth exports.</w:t>
      </w:r>
    </w:p>
    <w:p w14:paraId="7CEFD46F" w14:textId="77777777" w:rsidR="00C56994" w:rsidRPr="00C56994" w:rsidRDefault="00C56994" w:rsidP="00C56994">
      <w:pPr>
        <w:spacing w:after="0" w:line="240" w:lineRule="auto"/>
        <w:ind w:firstLine="720"/>
        <w:jc w:val="both"/>
        <w:rPr>
          <w:rFonts w:ascii="Times New Roman" w:eastAsia="Times New Roman" w:hAnsi="Times New Roman"/>
          <w:bCs/>
          <w:sz w:val="24"/>
          <w:lang w:val="en-AU"/>
        </w:rPr>
      </w:pPr>
      <w:r w:rsidRPr="00C56994">
        <w:rPr>
          <w:rFonts w:ascii="Times New Roman" w:eastAsia="Times New Roman" w:hAnsi="Times New Roman"/>
          <w:bCs/>
          <w:sz w:val="24"/>
          <w:lang w:val="en-AU"/>
        </w:rPr>
        <w:t>Finally, the systems perspective is a determining factor in viewing the SPTNP determination process as part of a larger system. Customs needs to understand how each step in the customs process is interrelated and impacts the overall smooth running of exports. By having a systems perspective, Customs can identify and address discrepancies or errors in one stage of the process that can affect the entire supply chain.</w:t>
      </w:r>
      <w:r w:rsidRPr="00C56994">
        <w:rPr>
          <w:rFonts w:ascii="Times New Roman" w:eastAsia="Times New Roman" w:hAnsi="Times New Roman"/>
          <w:bCs/>
          <w:sz w:val="24"/>
          <w:vertAlign w:val="superscript"/>
          <w:lang w:val="en-AU"/>
        </w:rPr>
        <w:footnoteReference w:id="13"/>
      </w:r>
    </w:p>
    <w:p w14:paraId="17B58F27" w14:textId="77777777" w:rsidR="00C56994" w:rsidRPr="00C56994" w:rsidRDefault="00C56994" w:rsidP="00C56994">
      <w:pPr>
        <w:spacing w:after="0" w:line="240" w:lineRule="auto"/>
        <w:ind w:firstLine="360"/>
        <w:jc w:val="both"/>
        <w:rPr>
          <w:rFonts w:ascii="Times New Roman" w:eastAsia="Times New Roman" w:hAnsi="Times New Roman"/>
          <w:bCs/>
          <w:sz w:val="24"/>
          <w:lang w:val="en-AU"/>
        </w:rPr>
      </w:pPr>
      <w:r w:rsidRPr="00C56994">
        <w:rPr>
          <w:rFonts w:ascii="Times New Roman" w:eastAsia="Times New Roman" w:hAnsi="Times New Roman"/>
          <w:bCs/>
          <w:sz w:val="24"/>
          <w:lang w:val="en-AU"/>
        </w:rPr>
        <w:t xml:space="preserve">Overall, the ten learning organization enablers identified by Indra </w:t>
      </w:r>
      <w:proofErr w:type="spellStart"/>
      <w:r w:rsidRPr="00C56994">
        <w:rPr>
          <w:rFonts w:ascii="Times New Roman" w:eastAsia="Times New Roman" w:hAnsi="Times New Roman"/>
          <w:bCs/>
          <w:sz w:val="24"/>
          <w:lang w:val="en-AU"/>
        </w:rPr>
        <w:t>Asmadewa</w:t>
      </w:r>
      <w:proofErr w:type="spellEnd"/>
      <w:r w:rsidRPr="00C56994">
        <w:rPr>
          <w:rFonts w:ascii="Times New Roman" w:eastAsia="Times New Roman" w:hAnsi="Times New Roman"/>
          <w:bCs/>
          <w:sz w:val="24"/>
          <w:lang w:val="en-AU"/>
        </w:rPr>
        <w:t xml:space="preserve"> and Renny </w:t>
      </w:r>
      <w:proofErr w:type="spellStart"/>
      <w:r w:rsidRPr="00C56994">
        <w:rPr>
          <w:rFonts w:ascii="Times New Roman" w:eastAsia="Times New Roman" w:hAnsi="Times New Roman"/>
          <w:bCs/>
          <w:sz w:val="24"/>
          <w:lang w:val="en-AU"/>
        </w:rPr>
        <w:t>Sukmono's</w:t>
      </w:r>
      <w:proofErr w:type="spellEnd"/>
      <w:r w:rsidRPr="00C56994">
        <w:rPr>
          <w:rFonts w:ascii="Times New Roman" w:eastAsia="Times New Roman" w:hAnsi="Times New Roman"/>
          <w:bCs/>
          <w:sz w:val="24"/>
          <w:lang w:val="en-AU"/>
        </w:rPr>
        <w:t xml:space="preserve"> research have direct implications for smooth exports. In improving the SPTNP determination process and reducing customs document mishaps, Customs needs to pay attention to and implement measures that support a deep understanding of regulations, the application of technology and innovation, cross-agency cooperation, and a strong culture of compliance. Thus, Customs can play a more effective role in supporting smooth exports and maintaining the integrity of the international trading system.</w:t>
      </w:r>
    </w:p>
    <w:p w14:paraId="2B418324" w14:textId="77777777" w:rsidR="00C56994" w:rsidRPr="00C56994" w:rsidRDefault="00C56994" w:rsidP="00C56994">
      <w:pPr>
        <w:spacing w:after="0" w:line="240" w:lineRule="auto"/>
        <w:jc w:val="both"/>
        <w:rPr>
          <w:rFonts w:ascii="Times New Roman" w:eastAsia="Times New Roman" w:hAnsi="Times New Roman"/>
          <w:b/>
          <w:bCs/>
          <w:sz w:val="24"/>
          <w:lang w:val="en-AU"/>
        </w:rPr>
      </w:pPr>
      <w:r w:rsidRPr="00C56994">
        <w:rPr>
          <w:rFonts w:ascii="Times New Roman" w:eastAsia="Times New Roman" w:hAnsi="Times New Roman"/>
          <w:b/>
          <w:bCs/>
          <w:sz w:val="24"/>
          <w:lang w:val="en-AU"/>
        </w:rPr>
        <w:t>Legal Implications and Impact on Exporter Reputation in the Context of Customs Documents</w:t>
      </w:r>
    </w:p>
    <w:p w14:paraId="0B50C9DB" w14:textId="77777777" w:rsidR="00C56994" w:rsidRPr="00C56994" w:rsidRDefault="00C56994" w:rsidP="00C56994">
      <w:pPr>
        <w:spacing w:after="0" w:line="240" w:lineRule="auto"/>
        <w:ind w:firstLine="720"/>
        <w:jc w:val="both"/>
        <w:rPr>
          <w:rFonts w:ascii="Times New Roman" w:eastAsia="Times New Roman" w:hAnsi="Times New Roman"/>
          <w:bCs/>
          <w:sz w:val="24"/>
          <w:lang w:val="en-AU"/>
        </w:rPr>
      </w:pPr>
      <w:r w:rsidRPr="00C56994">
        <w:rPr>
          <w:rFonts w:ascii="Times New Roman" w:eastAsia="Times New Roman" w:hAnsi="Times New Roman"/>
          <w:bCs/>
          <w:sz w:val="24"/>
          <w:lang w:val="en-AU"/>
        </w:rPr>
        <w:t>Export success is used as a measure of a country's industrial competitiveness and results in better economic growth.</w:t>
      </w:r>
      <w:r w:rsidRPr="00C56994">
        <w:rPr>
          <w:rFonts w:ascii="Times New Roman" w:eastAsia="Times New Roman" w:hAnsi="Times New Roman"/>
          <w:bCs/>
          <w:sz w:val="24"/>
          <w:vertAlign w:val="superscript"/>
          <w:lang w:val="en-AU"/>
        </w:rPr>
        <w:footnoteReference w:id="14"/>
      </w:r>
      <w:r w:rsidRPr="00C56994">
        <w:rPr>
          <w:rFonts w:ascii="Times New Roman" w:eastAsia="Times New Roman" w:hAnsi="Times New Roman"/>
          <w:bCs/>
          <w:sz w:val="24"/>
          <w:lang w:val="en-AU"/>
        </w:rPr>
        <w:t xml:space="preserve">  In an international trade environment, exporters are responsible for the completeness of customs documents related to the export process. Export success is not only determined by product quality and operational sustainability, but also by a deep understanding of the exporter's obligations in ensuring the completeness and accuracy of customs documents. One document that has a significant impact is the Customs Receipt Notification Letter (SPTNP). An exporter's mishandling of customs documents, such as SPTNP, can have serious legal and reputational implications.</w:t>
      </w:r>
    </w:p>
    <w:p w14:paraId="355C9EDE" w14:textId="77777777" w:rsidR="00C56994" w:rsidRPr="00C56994" w:rsidRDefault="00C56994" w:rsidP="00C56994">
      <w:pPr>
        <w:spacing w:after="0" w:line="240" w:lineRule="auto"/>
        <w:ind w:firstLine="720"/>
        <w:jc w:val="both"/>
        <w:rPr>
          <w:rFonts w:ascii="Times New Roman" w:eastAsia="Times New Roman" w:hAnsi="Times New Roman"/>
          <w:bCs/>
          <w:sz w:val="24"/>
          <w:lang w:val="en-AU"/>
        </w:rPr>
      </w:pPr>
      <w:r w:rsidRPr="00C56994">
        <w:rPr>
          <w:rFonts w:ascii="Times New Roman" w:eastAsia="Times New Roman" w:hAnsi="Times New Roman"/>
          <w:bCs/>
          <w:sz w:val="24"/>
          <w:lang w:val="en-AU"/>
        </w:rPr>
        <w:t>Exporters have the responsibility to compile, present and complete customs documents in accordance with the requirements set by Customs and other related institutions. Exporters must carry out work quickly and accurately, especially in handling export documents for the smooth flow of shipping goods so that the goods can be sent according to the schedule desired by the sender of the goods.</w:t>
      </w:r>
      <w:r w:rsidRPr="00C56994">
        <w:rPr>
          <w:rFonts w:ascii="Times New Roman" w:eastAsia="Times New Roman" w:hAnsi="Times New Roman"/>
          <w:bCs/>
          <w:sz w:val="24"/>
          <w:vertAlign w:val="superscript"/>
          <w:lang w:val="en-AU"/>
        </w:rPr>
        <w:footnoteReference w:id="15"/>
      </w:r>
      <w:r w:rsidRPr="00C56994">
        <w:rPr>
          <w:rFonts w:ascii="Times New Roman" w:eastAsia="Times New Roman" w:hAnsi="Times New Roman"/>
          <w:bCs/>
          <w:sz w:val="24"/>
          <w:lang w:val="en-AU"/>
        </w:rPr>
        <w:t xml:space="preserve">  </w:t>
      </w:r>
    </w:p>
    <w:p w14:paraId="3D4768FD" w14:textId="77777777" w:rsidR="00C56994" w:rsidRPr="00C56994" w:rsidRDefault="00C56994" w:rsidP="00C56994">
      <w:pPr>
        <w:spacing w:after="0" w:line="240" w:lineRule="auto"/>
        <w:ind w:firstLine="720"/>
        <w:jc w:val="both"/>
        <w:rPr>
          <w:rFonts w:ascii="Times New Roman" w:eastAsia="Times New Roman" w:hAnsi="Times New Roman"/>
          <w:bCs/>
          <w:sz w:val="24"/>
          <w:lang w:val="en-AU"/>
        </w:rPr>
      </w:pPr>
      <w:r w:rsidRPr="00C56994">
        <w:rPr>
          <w:rFonts w:ascii="Times New Roman" w:eastAsia="Times New Roman" w:hAnsi="Times New Roman"/>
          <w:bCs/>
          <w:sz w:val="24"/>
          <w:lang w:val="en-AU"/>
        </w:rPr>
        <w:t xml:space="preserve">This involves aspects such as commercial invoices, bills of lading, certificates of origin, and other supporting documents. The completeness and accuracy of these documents is not just an administrative necessity, but has significant legal implications. Failure to fulfill these obligations can result in administrative sanctions, fines, or even suspension of export licenses. </w:t>
      </w:r>
    </w:p>
    <w:p w14:paraId="7793908B" w14:textId="77777777" w:rsidR="00C56994" w:rsidRPr="00C56994" w:rsidRDefault="00C56994" w:rsidP="00C56994">
      <w:pPr>
        <w:spacing w:after="0" w:line="240" w:lineRule="auto"/>
        <w:jc w:val="both"/>
        <w:rPr>
          <w:rFonts w:ascii="Times New Roman" w:eastAsia="Times New Roman" w:hAnsi="Times New Roman"/>
          <w:bCs/>
          <w:sz w:val="24"/>
          <w:lang w:val="en-AU"/>
        </w:rPr>
      </w:pPr>
      <w:r w:rsidRPr="00C56994">
        <w:rPr>
          <w:rFonts w:ascii="Times New Roman" w:eastAsia="Times New Roman" w:hAnsi="Times New Roman"/>
          <w:bCs/>
          <w:sz w:val="24"/>
          <w:lang w:val="en-AU"/>
        </w:rPr>
        <w:t xml:space="preserve">The sustainability of an exporter's operations and relationship with the authorities, particularly Customs, is heavily influenced by compliance with customs regulations. Good cooperation with authorities can provide benefits, such as faster access to customs processes, in-depth understanding of policy changes, and reduced potential legal conflicts. Therefore, exporters have not only a legal </w:t>
      </w:r>
      <w:r w:rsidRPr="00C56994">
        <w:rPr>
          <w:rFonts w:ascii="Times New Roman" w:eastAsia="Times New Roman" w:hAnsi="Times New Roman"/>
          <w:bCs/>
          <w:sz w:val="24"/>
          <w:lang w:val="en-AU"/>
        </w:rPr>
        <w:lastRenderedPageBreak/>
        <w:t>obligation, but also a strong business interest in ensuring compliance with applicable customs procedures and regulations.</w:t>
      </w:r>
    </w:p>
    <w:p w14:paraId="731D0E24" w14:textId="77777777" w:rsidR="00C56994" w:rsidRPr="00C56994" w:rsidRDefault="00C56994" w:rsidP="00800B41">
      <w:pPr>
        <w:spacing w:after="0" w:line="240" w:lineRule="auto"/>
        <w:ind w:firstLine="720"/>
        <w:jc w:val="both"/>
        <w:rPr>
          <w:rFonts w:ascii="Times New Roman" w:eastAsia="Times New Roman" w:hAnsi="Times New Roman"/>
          <w:bCs/>
          <w:sz w:val="24"/>
          <w:lang w:val="en-AU"/>
        </w:rPr>
      </w:pPr>
      <w:r w:rsidRPr="00C56994">
        <w:rPr>
          <w:rFonts w:ascii="Times New Roman" w:eastAsia="Times New Roman" w:hAnsi="Times New Roman"/>
          <w:bCs/>
          <w:sz w:val="24"/>
          <w:lang w:val="en-AU"/>
        </w:rPr>
        <w:t>One of the most significant impacts of customs document mishandling by Customs on exporters is related to corporate reputation. A company's reputation has a high strategic value in the context of global business, and mishaps in the customs process can substantially harm the company's image. Non-compliance with customs regulations can be interpreted as a lack of professionalism and risk management, or even as an indicator of more serious legal violations. The impact is not limited to customer losses, but also includes the perception of investors, financial institutions and other stakeholders.</w:t>
      </w:r>
    </w:p>
    <w:p w14:paraId="3CB47FC7" w14:textId="77777777" w:rsidR="00C56994" w:rsidRPr="00C56994" w:rsidRDefault="00C56994" w:rsidP="00800B41">
      <w:pPr>
        <w:spacing w:after="0" w:line="240" w:lineRule="auto"/>
        <w:ind w:firstLine="720"/>
        <w:jc w:val="both"/>
        <w:rPr>
          <w:rFonts w:ascii="Times New Roman" w:eastAsia="Times New Roman" w:hAnsi="Times New Roman"/>
          <w:bCs/>
          <w:sz w:val="24"/>
          <w:lang w:val="en-AU"/>
        </w:rPr>
      </w:pPr>
      <w:r w:rsidRPr="00C56994">
        <w:rPr>
          <w:rFonts w:ascii="Times New Roman" w:eastAsia="Times New Roman" w:hAnsi="Times New Roman"/>
          <w:bCs/>
          <w:sz w:val="24"/>
          <w:lang w:val="en-AU"/>
        </w:rPr>
        <w:t>An analysis of the impact on corporate reputation needs to consider the way in which non-compliance with customs regulations may be understood by the business and consumer communities. Errors in customs documents are not only perceived as an administrative offense, but also as an indicator of a failure to understand a critical aspect of international business. As a result, customer confidence in the exporter may be shaken, triggering discomfort and uncertainty that may affect the decision to continue cooperation in the future.</w:t>
      </w:r>
    </w:p>
    <w:p w14:paraId="7396C324" w14:textId="77777777" w:rsidR="00C56994" w:rsidRPr="00C56994" w:rsidRDefault="00C56994" w:rsidP="00800B41">
      <w:pPr>
        <w:spacing w:after="0" w:line="240" w:lineRule="auto"/>
        <w:ind w:firstLine="720"/>
        <w:jc w:val="both"/>
        <w:rPr>
          <w:rFonts w:ascii="Times New Roman" w:eastAsia="Times New Roman" w:hAnsi="Times New Roman"/>
          <w:bCs/>
          <w:sz w:val="24"/>
          <w:lang w:val="en-AU"/>
        </w:rPr>
      </w:pPr>
      <w:r w:rsidRPr="00C56994">
        <w:rPr>
          <w:rFonts w:ascii="Times New Roman" w:eastAsia="Times New Roman" w:hAnsi="Times New Roman"/>
          <w:bCs/>
          <w:sz w:val="24"/>
          <w:lang w:val="en-AU"/>
        </w:rPr>
        <w:t>Customer trust is a core element in international business relationships. Exporters are the source of customer confidence in product quality, compliance with delivery terms, and transaction integrity. Errors in customs documents can create obstacles or delays in exports, causing customers to experience inconvenience and doubt the exporter's reliability. The impact is not only limited to losing customers, but also potentially affects relationships with other stakeholders, including investors and financial institutions.</w:t>
      </w:r>
    </w:p>
    <w:p w14:paraId="79C931B6" w14:textId="77777777" w:rsidR="00C56994" w:rsidRPr="00C56994" w:rsidRDefault="00C56994" w:rsidP="00800B41">
      <w:pPr>
        <w:spacing w:after="0" w:line="240" w:lineRule="auto"/>
        <w:ind w:firstLine="720"/>
        <w:jc w:val="both"/>
        <w:rPr>
          <w:rFonts w:ascii="Times New Roman" w:eastAsia="Times New Roman" w:hAnsi="Times New Roman"/>
          <w:bCs/>
          <w:sz w:val="24"/>
          <w:lang w:val="en-AU"/>
        </w:rPr>
      </w:pPr>
      <w:r w:rsidRPr="00C56994">
        <w:rPr>
          <w:rFonts w:ascii="Times New Roman" w:eastAsia="Times New Roman" w:hAnsi="Times New Roman"/>
          <w:bCs/>
          <w:sz w:val="24"/>
          <w:lang w:val="en-AU"/>
        </w:rPr>
        <w:t xml:space="preserve">In order to address the legal impact of customs document mishaps, exporters need to adopt a holistic approach. This involves an in-depth understanding of customs requirements and regulations, investment in training and team development, and the implementation of an effective risk management system. By doing so, they can ensure compliance, maintain customer confidence, minimize reputational risk, and ensure smooth operations in a competitive global market. If the commodity to be shipped is stopped by a higher authority, the applicable principle is that the conditions set by the exporter cannot violate the conditions of the higher authority or the principle of </w:t>
      </w:r>
      <w:r w:rsidRPr="00C56994">
        <w:rPr>
          <w:rFonts w:ascii="Times New Roman" w:eastAsia="Times New Roman" w:hAnsi="Times New Roman"/>
          <w:bCs/>
          <w:i/>
          <w:iCs/>
          <w:sz w:val="24"/>
          <w:lang w:val="en-AU"/>
        </w:rPr>
        <w:t xml:space="preserve">lex superior derogate </w:t>
      </w:r>
      <w:proofErr w:type="spellStart"/>
      <w:r w:rsidRPr="00C56994">
        <w:rPr>
          <w:rFonts w:ascii="Times New Roman" w:eastAsia="Times New Roman" w:hAnsi="Times New Roman"/>
          <w:bCs/>
          <w:i/>
          <w:iCs/>
          <w:sz w:val="24"/>
          <w:lang w:val="en-AU"/>
        </w:rPr>
        <w:t>legi</w:t>
      </w:r>
      <w:proofErr w:type="spellEnd"/>
      <w:r w:rsidRPr="00C56994">
        <w:rPr>
          <w:rFonts w:ascii="Times New Roman" w:eastAsia="Times New Roman" w:hAnsi="Times New Roman"/>
          <w:bCs/>
          <w:i/>
          <w:iCs/>
          <w:sz w:val="24"/>
          <w:lang w:val="en-AU"/>
        </w:rPr>
        <w:t xml:space="preserve"> inferior</w:t>
      </w:r>
      <w:r w:rsidRPr="00C56994">
        <w:rPr>
          <w:rFonts w:ascii="Times New Roman" w:eastAsia="Times New Roman" w:hAnsi="Times New Roman"/>
          <w:bCs/>
          <w:sz w:val="24"/>
          <w:lang w:val="en-AU"/>
        </w:rPr>
        <w:t>, i.e. Customs.</w:t>
      </w:r>
      <w:r w:rsidRPr="00C56994">
        <w:rPr>
          <w:rFonts w:ascii="Times New Roman" w:eastAsia="Times New Roman" w:hAnsi="Times New Roman"/>
          <w:bCs/>
          <w:sz w:val="24"/>
          <w:vertAlign w:val="superscript"/>
          <w:lang w:val="en-AU"/>
        </w:rPr>
        <w:footnoteReference w:id="16"/>
      </w:r>
      <w:r w:rsidRPr="00C56994">
        <w:rPr>
          <w:rFonts w:ascii="Times New Roman" w:eastAsia="Times New Roman" w:hAnsi="Times New Roman"/>
          <w:bCs/>
          <w:sz w:val="24"/>
          <w:lang w:val="en-AU"/>
        </w:rPr>
        <w:t xml:space="preserve">  </w:t>
      </w:r>
    </w:p>
    <w:p w14:paraId="36851A37" w14:textId="77777777" w:rsidR="00C56994" w:rsidRPr="00C56994" w:rsidRDefault="00C56994" w:rsidP="00800B41">
      <w:pPr>
        <w:spacing w:after="0" w:line="240" w:lineRule="auto"/>
        <w:jc w:val="both"/>
        <w:rPr>
          <w:rFonts w:ascii="Times New Roman" w:eastAsia="Times New Roman" w:hAnsi="Times New Roman"/>
          <w:b/>
          <w:bCs/>
          <w:sz w:val="24"/>
          <w:lang w:val="en-AU"/>
        </w:rPr>
      </w:pPr>
      <w:r w:rsidRPr="00C56994">
        <w:rPr>
          <w:rFonts w:ascii="Times New Roman" w:eastAsia="Times New Roman" w:hAnsi="Times New Roman"/>
          <w:b/>
          <w:bCs/>
          <w:sz w:val="24"/>
          <w:lang w:val="en-AU"/>
        </w:rPr>
        <w:t>Mechanism of Legal Liability of Customs Parties in Cases of Accidental Customs Documents According to PMK 274 / PMK.04 / 2014</w:t>
      </w:r>
    </w:p>
    <w:p w14:paraId="2B4B76A4" w14:textId="77777777" w:rsidR="00C56994" w:rsidRPr="00C56994" w:rsidRDefault="00C56994" w:rsidP="00800B41">
      <w:pPr>
        <w:spacing w:after="0" w:line="240" w:lineRule="auto"/>
        <w:ind w:firstLine="720"/>
        <w:jc w:val="both"/>
        <w:rPr>
          <w:rFonts w:ascii="Times New Roman" w:eastAsia="Times New Roman" w:hAnsi="Times New Roman"/>
          <w:bCs/>
          <w:sz w:val="24"/>
          <w:lang w:val="en-AU"/>
        </w:rPr>
      </w:pPr>
      <w:r w:rsidRPr="00C56994">
        <w:rPr>
          <w:rFonts w:ascii="Times New Roman" w:eastAsia="Times New Roman" w:hAnsi="Times New Roman"/>
          <w:bCs/>
          <w:sz w:val="24"/>
          <w:lang w:val="en-AU"/>
        </w:rPr>
        <w:t>Legal liability is a very important aspect in maintaining integrity and fairness in a country's customs system. In the Indonesian context, the Minister of Finance through PMK 274/PMK.04/2014</w:t>
      </w:r>
      <w:r w:rsidRPr="00C56994">
        <w:rPr>
          <w:rFonts w:ascii="Times New Roman" w:eastAsia="Times New Roman" w:hAnsi="Times New Roman"/>
          <w:bCs/>
          <w:sz w:val="24"/>
          <w:vertAlign w:val="superscript"/>
          <w:lang w:val="en-AU"/>
        </w:rPr>
        <w:footnoteReference w:id="17"/>
      </w:r>
      <w:r w:rsidRPr="00C56994">
        <w:rPr>
          <w:rFonts w:ascii="Times New Roman" w:eastAsia="Times New Roman" w:hAnsi="Times New Roman"/>
          <w:bCs/>
          <w:sz w:val="24"/>
          <w:lang w:val="en-AU"/>
        </w:rPr>
        <w:t xml:space="preserve"> regulates the legal liability mechanism applicable to Customs in cases of inadvertent customs documents. Essentially, this legal liability focuses on the return (restitution) of export duties to the rightful party, which covers a number of situations that may give rise to an overpayment of export duties. An in-depth investigation into how the right to restitution is granted, who is entitled to receive it, and the effectiveness of the granting of the right is important to ensure justice for the victims, in this case exporters.</w:t>
      </w:r>
      <w:r w:rsidRPr="00C56994">
        <w:rPr>
          <w:rFonts w:ascii="Times New Roman" w:eastAsia="Times New Roman" w:hAnsi="Times New Roman"/>
          <w:bCs/>
          <w:sz w:val="24"/>
          <w:vertAlign w:val="superscript"/>
          <w:lang w:val="en-AU"/>
        </w:rPr>
        <w:footnoteReference w:id="18"/>
      </w:r>
      <w:r w:rsidRPr="00C56994">
        <w:rPr>
          <w:rFonts w:ascii="Times New Roman" w:eastAsia="Times New Roman" w:hAnsi="Times New Roman"/>
          <w:bCs/>
          <w:sz w:val="24"/>
          <w:lang w:val="en-AU"/>
        </w:rPr>
        <w:t xml:space="preserve"> This mechanism is implemented as a measure to </w:t>
      </w:r>
      <w:r w:rsidRPr="00C56994">
        <w:rPr>
          <w:rFonts w:ascii="Times New Roman" w:eastAsia="Times New Roman" w:hAnsi="Times New Roman"/>
          <w:bCs/>
          <w:sz w:val="24"/>
          <w:lang w:val="en-AU"/>
        </w:rPr>
        <w:lastRenderedPageBreak/>
        <w:t>maintain fairness and provide legal protection to parties affected by inadvertent customs documents. Some of the situations that can trigger a refund of export duty include cancellation of export of goods, administrative errors, wrong determination by Customs officials, re-determination by the Director General, objection decisions, and Tax Court decisions.</w:t>
      </w:r>
    </w:p>
    <w:p w14:paraId="09133012" w14:textId="77777777" w:rsidR="00C56994" w:rsidRPr="00C56994" w:rsidRDefault="00C56994" w:rsidP="00C56994">
      <w:pPr>
        <w:spacing w:after="0" w:line="240" w:lineRule="auto"/>
        <w:jc w:val="both"/>
        <w:rPr>
          <w:rFonts w:ascii="Times New Roman" w:eastAsia="Times New Roman" w:hAnsi="Times New Roman"/>
          <w:bCs/>
          <w:sz w:val="24"/>
          <w:lang w:val="en-AU"/>
        </w:rPr>
      </w:pPr>
      <w:r w:rsidRPr="00C56994">
        <w:rPr>
          <w:rFonts w:ascii="Times New Roman" w:eastAsia="Times New Roman" w:hAnsi="Times New Roman"/>
          <w:bCs/>
          <w:sz w:val="24"/>
          <w:lang w:val="en-AU"/>
        </w:rPr>
        <w:t>One of the important aspects regulated by PMK 274/PMK.04/2014 is the mechanism for the refund (restitution) of export duty in the case of cancellation of export of goods or non-export. In this situation, the entitled party may apply for a refund of the export duty paid. Export cancellation can occur for a variety of reasons, ranging from changes in business decisions to logistical or technical constraints. With this provision, parties affected by export cancellation can submit a claim for restitution in accordance with the applicable provisions.</w:t>
      </w:r>
    </w:p>
    <w:p w14:paraId="4027E8BF" w14:textId="77777777" w:rsidR="00C56994" w:rsidRPr="00C56994" w:rsidRDefault="00C56994" w:rsidP="00800B41">
      <w:pPr>
        <w:spacing w:after="0" w:line="240" w:lineRule="auto"/>
        <w:ind w:firstLine="720"/>
        <w:jc w:val="both"/>
        <w:rPr>
          <w:rFonts w:ascii="Times New Roman" w:eastAsia="Times New Roman" w:hAnsi="Times New Roman"/>
          <w:bCs/>
          <w:sz w:val="24"/>
          <w:lang w:val="en-AU"/>
        </w:rPr>
      </w:pPr>
      <w:r w:rsidRPr="00C56994">
        <w:rPr>
          <w:rFonts w:ascii="Times New Roman" w:eastAsia="Times New Roman" w:hAnsi="Times New Roman"/>
          <w:bCs/>
          <w:sz w:val="24"/>
          <w:lang w:val="en-AU"/>
        </w:rPr>
        <w:t>An overpayment of export duty can also occur due to an administrative error, either made by the exporter or by the Customs. PMK 274/PMK.04/2014 provides a mechanism for the refund of export duty in this situation, so that administrative or procedural errors do not burden the party paying the export duty. In this context, legal liability through restitution provides protection to the rights of parties who have inadvertently made overpayments due to administrative errors in the customs process.</w:t>
      </w:r>
    </w:p>
    <w:p w14:paraId="5618C8CB" w14:textId="77777777" w:rsidR="00C56994" w:rsidRPr="00C56994" w:rsidRDefault="00C56994" w:rsidP="00800B41">
      <w:pPr>
        <w:spacing w:after="0" w:line="240" w:lineRule="auto"/>
        <w:ind w:firstLine="720"/>
        <w:jc w:val="both"/>
        <w:rPr>
          <w:rFonts w:ascii="Times New Roman" w:eastAsia="Times New Roman" w:hAnsi="Times New Roman"/>
          <w:bCs/>
          <w:sz w:val="24"/>
          <w:lang w:val="en-AU"/>
        </w:rPr>
      </w:pPr>
      <w:r w:rsidRPr="00C56994">
        <w:rPr>
          <w:rFonts w:ascii="Times New Roman" w:eastAsia="Times New Roman" w:hAnsi="Times New Roman"/>
          <w:bCs/>
          <w:sz w:val="24"/>
          <w:lang w:val="en-AU"/>
        </w:rPr>
        <w:t>Another situation accommodated by PMK 274/PMK.04/2014 is the overpayment of export duty caused by the determination of Customs and Excise Officials. If there is an error or discrepancy in the determination of export duty, the aggrieved party may apply for restitution. This reflects an aspect of legal responsibility that is responsive to errors that may occur in the assessment and determination of duties by authorized officials.</w:t>
      </w:r>
    </w:p>
    <w:p w14:paraId="0FDBF2AF" w14:textId="77777777" w:rsidR="00C56994" w:rsidRPr="00C56994" w:rsidRDefault="00C56994" w:rsidP="00C56994">
      <w:pPr>
        <w:spacing w:after="0" w:line="240" w:lineRule="auto"/>
        <w:jc w:val="both"/>
        <w:rPr>
          <w:rFonts w:ascii="Times New Roman" w:eastAsia="Times New Roman" w:hAnsi="Times New Roman"/>
          <w:bCs/>
          <w:sz w:val="24"/>
          <w:lang w:val="en-AU"/>
        </w:rPr>
      </w:pPr>
      <w:r w:rsidRPr="00C56994">
        <w:rPr>
          <w:rFonts w:ascii="Times New Roman" w:eastAsia="Times New Roman" w:hAnsi="Times New Roman"/>
          <w:bCs/>
          <w:sz w:val="24"/>
          <w:lang w:val="en-AU"/>
        </w:rPr>
        <w:t>The Director General of Customs and Excise also has the authority to re-determine the amount of export duty if there are errors or mistakes that affect the amount. MoF Regulation 274/PMK.04/2014 provides the legal basis to apply for restitution in situations of overpayment related to the Director General's re-determination decision. This mechanism aims to provide justice to parties who have paid more export duty than they should due to revisions or adjustments by the Director General.</w:t>
      </w:r>
    </w:p>
    <w:p w14:paraId="03F9DC60" w14:textId="77777777" w:rsidR="00C56994" w:rsidRPr="00C56994" w:rsidRDefault="00C56994" w:rsidP="00800B41">
      <w:pPr>
        <w:spacing w:after="0" w:line="240" w:lineRule="auto"/>
        <w:ind w:firstLine="720"/>
        <w:jc w:val="both"/>
        <w:rPr>
          <w:rFonts w:ascii="Times New Roman" w:eastAsia="Times New Roman" w:hAnsi="Times New Roman"/>
          <w:bCs/>
          <w:sz w:val="24"/>
          <w:lang w:val="en-AU"/>
        </w:rPr>
      </w:pPr>
      <w:r w:rsidRPr="00C56994">
        <w:rPr>
          <w:rFonts w:ascii="Times New Roman" w:eastAsia="Times New Roman" w:hAnsi="Times New Roman"/>
          <w:bCs/>
          <w:sz w:val="24"/>
          <w:lang w:val="en-AU"/>
        </w:rPr>
        <w:t>The Tax Court has a significant role in resolving tax disputes, including disputes related to export duties. MoF Regulation 274/PMK.04/2014 accommodates overpayments of export duties related to Tax Court decisions. The winning party in this tax dispute is entitled to restitution of the overpaid export duty. This mechanism reflects the importance of the judiciary in providing justice and legal certainty in tax disputes, including those related to export duties.</w:t>
      </w:r>
    </w:p>
    <w:p w14:paraId="2387F637" w14:textId="77777777" w:rsidR="00C56994" w:rsidRPr="00C56994" w:rsidRDefault="00C56994" w:rsidP="00C56994">
      <w:pPr>
        <w:spacing w:after="0" w:line="240" w:lineRule="auto"/>
        <w:jc w:val="both"/>
        <w:rPr>
          <w:rFonts w:ascii="Times New Roman" w:eastAsia="Times New Roman" w:hAnsi="Times New Roman"/>
          <w:bCs/>
          <w:sz w:val="24"/>
          <w:lang w:val="en-AU"/>
        </w:rPr>
      </w:pPr>
      <w:r w:rsidRPr="00C56994">
        <w:rPr>
          <w:rFonts w:ascii="Times New Roman" w:eastAsia="Times New Roman" w:hAnsi="Times New Roman"/>
          <w:bCs/>
          <w:sz w:val="24"/>
          <w:lang w:val="en-AU"/>
        </w:rPr>
        <w:t>In the face of situations where customs document mishaps occur, PMK 274/PMK.04/2014 provides a clear legal basis for engaging the restitution mechanism as a form of legal liability on the part of Customs. This mechanism is designed to provide protection to parties who may be affected by the overpayment of export duties due to inadvertent customs documents. As such, legal accountability is a necessary foundation for maintaining fairness, legal certainty and integrity in Indonesia's customs system.</w:t>
      </w:r>
    </w:p>
    <w:p w14:paraId="15AAF731" w14:textId="77777777" w:rsidR="00D615F2" w:rsidRPr="00C56994" w:rsidRDefault="00D615F2">
      <w:pPr>
        <w:spacing w:after="0" w:line="240" w:lineRule="auto"/>
        <w:jc w:val="both"/>
        <w:rPr>
          <w:rFonts w:ascii="Times New Roman" w:eastAsia="Times New Roman" w:hAnsi="Times New Roman"/>
          <w:bCs/>
          <w:sz w:val="24"/>
          <w:lang w:val="nl-NL"/>
        </w:rPr>
      </w:pPr>
    </w:p>
    <w:p w14:paraId="014AFC6E" w14:textId="77777777" w:rsidR="00C56994" w:rsidRDefault="00C56994">
      <w:pPr>
        <w:spacing w:after="0" w:line="240" w:lineRule="auto"/>
        <w:jc w:val="both"/>
        <w:rPr>
          <w:rFonts w:ascii="Times New Roman" w:eastAsia="Times New Roman" w:hAnsi="Times New Roman"/>
          <w:b/>
          <w:sz w:val="24"/>
          <w:lang w:val="nl-NL"/>
        </w:rPr>
      </w:pPr>
    </w:p>
    <w:p w14:paraId="38A60C30" w14:textId="77777777" w:rsidR="00800B41" w:rsidRDefault="00800B41">
      <w:pPr>
        <w:spacing w:after="0" w:line="240" w:lineRule="auto"/>
        <w:jc w:val="both"/>
        <w:rPr>
          <w:rFonts w:ascii="Times New Roman" w:eastAsia="Times New Roman" w:hAnsi="Times New Roman"/>
          <w:b/>
          <w:sz w:val="24"/>
          <w:lang w:val="nl-NL"/>
        </w:rPr>
      </w:pPr>
    </w:p>
    <w:p w14:paraId="14366123" w14:textId="77777777" w:rsidR="005D7455" w:rsidRDefault="005D7455">
      <w:pPr>
        <w:spacing w:after="0" w:line="240" w:lineRule="auto"/>
        <w:jc w:val="both"/>
        <w:rPr>
          <w:rFonts w:ascii="Times New Roman" w:eastAsia="Times New Roman" w:hAnsi="Times New Roman"/>
          <w:b/>
          <w:sz w:val="24"/>
          <w:lang w:val="nl-NL"/>
        </w:rPr>
      </w:pPr>
    </w:p>
    <w:p w14:paraId="01973127" w14:textId="77777777" w:rsidR="005D7455" w:rsidRDefault="005D7455">
      <w:pPr>
        <w:spacing w:after="0" w:line="240" w:lineRule="auto"/>
        <w:jc w:val="both"/>
        <w:rPr>
          <w:rFonts w:ascii="Times New Roman" w:eastAsia="Times New Roman" w:hAnsi="Times New Roman"/>
          <w:b/>
          <w:sz w:val="24"/>
          <w:lang w:val="nl-NL"/>
        </w:rPr>
      </w:pPr>
    </w:p>
    <w:p w14:paraId="1F69637D" w14:textId="77777777" w:rsidR="005D7455" w:rsidRDefault="005D7455">
      <w:pPr>
        <w:spacing w:after="0" w:line="240" w:lineRule="auto"/>
        <w:jc w:val="both"/>
        <w:rPr>
          <w:rFonts w:ascii="Times New Roman" w:eastAsia="Times New Roman" w:hAnsi="Times New Roman"/>
          <w:b/>
          <w:sz w:val="24"/>
          <w:lang w:val="nl-NL"/>
        </w:rPr>
      </w:pPr>
    </w:p>
    <w:p w14:paraId="75CD6B2C" w14:textId="77777777" w:rsidR="005D7455" w:rsidRDefault="005D7455">
      <w:pPr>
        <w:spacing w:after="0" w:line="240" w:lineRule="auto"/>
        <w:jc w:val="both"/>
        <w:rPr>
          <w:rFonts w:ascii="Times New Roman" w:eastAsia="Times New Roman" w:hAnsi="Times New Roman"/>
          <w:b/>
          <w:sz w:val="24"/>
          <w:lang w:val="nl-NL"/>
        </w:rPr>
      </w:pPr>
    </w:p>
    <w:p w14:paraId="6D4BC259" w14:textId="77777777" w:rsidR="00800B41" w:rsidRDefault="00800B41">
      <w:pPr>
        <w:spacing w:after="0" w:line="240" w:lineRule="auto"/>
        <w:jc w:val="both"/>
        <w:rPr>
          <w:rFonts w:ascii="Times New Roman" w:eastAsia="Times New Roman" w:hAnsi="Times New Roman"/>
          <w:b/>
          <w:sz w:val="24"/>
          <w:lang w:val="nl-NL"/>
        </w:rPr>
      </w:pPr>
    </w:p>
    <w:p w14:paraId="75C094E5" w14:textId="06155197" w:rsidR="00D615F2" w:rsidRDefault="00800B41">
      <w:pPr>
        <w:spacing w:after="0" w:line="240" w:lineRule="auto"/>
        <w:jc w:val="both"/>
        <w:rPr>
          <w:rFonts w:ascii="Times New Roman" w:eastAsia="Times New Roman" w:hAnsi="Times New Roman"/>
          <w:b/>
          <w:sz w:val="24"/>
          <w:lang w:val="nl-NL"/>
        </w:rPr>
      </w:pPr>
      <w:r>
        <w:rPr>
          <w:rFonts w:ascii="Times New Roman" w:eastAsia="Times New Roman" w:hAnsi="Times New Roman"/>
          <w:b/>
          <w:sz w:val="24"/>
          <w:lang w:val="nl-NL"/>
        </w:rPr>
        <w:lastRenderedPageBreak/>
        <w:t>CONCLUSION</w:t>
      </w:r>
    </w:p>
    <w:p w14:paraId="6093AB1D" w14:textId="77777777" w:rsidR="00800B41" w:rsidRPr="00800B41" w:rsidRDefault="00800B41" w:rsidP="00800B41">
      <w:pPr>
        <w:spacing w:after="0" w:line="240" w:lineRule="auto"/>
        <w:ind w:firstLine="720"/>
        <w:jc w:val="both"/>
        <w:rPr>
          <w:rFonts w:ascii="Times New Roman" w:eastAsia="Times New Roman" w:hAnsi="Times New Roman"/>
          <w:sz w:val="24"/>
          <w:lang w:val="en-GB"/>
        </w:rPr>
      </w:pPr>
      <w:r w:rsidRPr="00800B41">
        <w:rPr>
          <w:rFonts w:ascii="Times New Roman" w:eastAsia="Times New Roman" w:hAnsi="Times New Roman"/>
          <w:sz w:val="24"/>
          <w:lang w:val="en-GB"/>
        </w:rPr>
        <w:t>The legal liability of Customs in the case of inadvertent customs documents, PMK 274/PMK.04/2014 provides a clear and comprehensive foundation. The export duty restitution mechanism is an important instrument that protects the rights of parties who may be affected by the overpayment of export duty due to such inadvertence. The opportunity to apply for restitution is provided in a variety of situations, ranging from the cancellation of export of goods, administrative errors, to determination errors by Customs officials.</w:t>
      </w:r>
    </w:p>
    <w:p w14:paraId="1C185174" w14:textId="77777777" w:rsidR="00800B41" w:rsidRPr="00800B41" w:rsidRDefault="00800B41" w:rsidP="00800B41">
      <w:pPr>
        <w:spacing w:after="0" w:line="240" w:lineRule="auto"/>
        <w:ind w:firstLine="720"/>
        <w:jc w:val="both"/>
        <w:rPr>
          <w:rFonts w:ascii="Times New Roman" w:eastAsia="Times New Roman" w:hAnsi="Times New Roman"/>
          <w:sz w:val="24"/>
          <w:lang w:val="en-GB"/>
        </w:rPr>
      </w:pPr>
      <w:r w:rsidRPr="00800B41">
        <w:rPr>
          <w:rFonts w:ascii="Times New Roman" w:eastAsia="Times New Roman" w:hAnsi="Times New Roman"/>
          <w:sz w:val="24"/>
          <w:lang w:val="en-GB"/>
        </w:rPr>
        <w:t xml:space="preserve">The existence of a restitution mechanism provides flexibility and responsiveness to various events that may occur in the customs process. Eligible parties may apply for restitution in situations where the payment of export duty is not what it should be, whether as a result of administrative errors, </w:t>
      </w:r>
      <w:proofErr w:type="spellStart"/>
      <w:r w:rsidRPr="00800B41">
        <w:rPr>
          <w:rFonts w:ascii="Times New Roman" w:eastAsia="Times New Roman" w:hAnsi="Times New Roman"/>
          <w:sz w:val="24"/>
          <w:lang w:val="en-GB"/>
        </w:rPr>
        <w:t>misdeterminations</w:t>
      </w:r>
      <w:proofErr w:type="spellEnd"/>
      <w:r w:rsidRPr="00800B41">
        <w:rPr>
          <w:rFonts w:ascii="Times New Roman" w:eastAsia="Times New Roman" w:hAnsi="Times New Roman"/>
          <w:sz w:val="24"/>
          <w:lang w:val="en-GB"/>
        </w:rPr>
        <w:t>, or changes in business decisions. This reflects the Indonesian government's commitment to creating a customs system that is fair, transparent, and provides adequate legal protection.</w:t>
      </w:r>
    </w:p>
    <w:p w14:paraId="0ADF62A7" w14:textId="77777777" w:rsidR="00D615F2" w:rsidRDefault="00D615F2">
      <w:pPr>
        <w:spacing w:after="0" w:line="240" w:lineRule="auto"/>
        <w:jc w:val="both"/>
        <w:rPr>
          <w:rFonts w:ascii="Times New Roman" w:eastAsia="Times New Roman" w:hAnsi="Times New Roman"/>
          <w:sz w:val="24"/>
          <w:lang w:val="nl-NL"/>
        </w:rPr>
      </w:pPr>
    </w:p>
    <w:p w14:paraId="71785926" w14:textId="77777777" w:rsidR="00800B41" w:rsidRDefault="00800B41" w:rsidP="00800B41">
      <w:pPr>
        <w:widowControl w:val="0"/>
        <w:autoSpaceDE w:val="0"/>
        <w:autoSpaceDN w:val="0"/>
        <w:adjustRightInd w:val="0"/>
        <w:spacing w:after="0" w:line="240" w:lineRule="auto"/>
        <w:ind w:left="993" w:right="88" w:hanging="993"/>
        <w:jc w:val="both"/>
        <w:rPr>
          <w:rFonts w:ascii="Times New Roman" w:hAnsi="Times New Roman"/>
          <w:b/>
          <w:color w:val="000000"/>
        </w:rPr>
      </w:pPr>
      <w:r>
        <w:rPr>
          <w:rFonts w:ascii="Times New Roman" w:hAnsi="Times New Roman"/>
          <w:b/>
          <w:color w:val="000000"/>
        </w:rPr>
        <w:t>REFERENCES</w:t>
      </w:r>
    </w:p>
    <w:p w14:paraId="3100F45A" w14:textId="77777777" w:rsidR="00800B41" w:rsidRPr="00581C92" w:rsidRDefault="00800B41" w:rsidP="00800B41">
      <w:pPr>
        <w:pStyle w:val="Bibliography"/>
        <w:spacing w:after="0" w:line="240" w:lineRule="auto"/>
        <w:ind w:left="709" w:hanging="709"/>
        <w:jc w:val="both"/>
        <w:rPr>
          <w:rFonts w:ascii="Times New Roman" w:hAnsi="Times New Roman"/>
          <w:bCs/>
          <w:color w:val="000000"/>
        </w:rPr>
      </w:pPr>
      <w:r w:rsidRPr="00581C92">
        <w:rPr>
          <w:rFonts w:ascii="Times New Roman" w:hAnsi="Times New Roman"/>
          <w:bCs/>
          <w:color w:val="000000"/>
        </w:rPr>
        <w:t xml:space="preserve">Fitriani, </w:t>
      </w:r>
      <w:proofErr w:type="spellStart"/>
      <w:r w:rsidRPr="00581C92">
        <w:rPr>
          <w:rFonts w:ascii="Times New Roman" w:hAnsi="Times New Roman"/>
          <w:bCs/>
          <w:color w:val="000000"/>
        </w:rPr>
        <w:t>Tjilen</w:t>
      </w:r>
      <w:proofErr w:type="spellEnd"/>
      <w:r w:rsidRPr="00581C92">
        <w:rPr>
          <w:rFonts w:ascii="Times New Roman" w:hAnsi="Times New Roman"/>
          <w:bCs/>
          <w:color w:val="000000"/>
        </w:rPr>
        <w:t xml:space="preserve">, A. P., &amp; </w:t>
      </w:r>
      <w:proofErr w:type="spellStart"/>
      <w:r w:rsidRPr="00581C92">
        <w:rPr>
          <w:rFonts w:ascii="Times New Roman" w:hAnsi="Times New Roman"/>
          <w:bCs/>
          <w:color w:val="000000"/>
        </w:rPr>
        <w:t>Lekatompessy</w:t>
      </w:r>
      <w:proofErr w:type="spellEnd"/>
      <w:r w:rsidRPr="00581C92">
        <w:rPr>
          <w:rFonts w:ascii="Times New Roman" w:hAnsi="Times New Roman"/>
          <w:bCs/>
          <w:color w:val="000000"/>
        </w:rPr>
        <w:t>, R. L. (2021). Border Area Security Policy in Geopolitical and Geostrategic Perspectives. Proceedings of the International Joined Conference on Social Science (ICSS 2021), 419–426. </w:t>
      </w:r>
      <w:hyperlink r:id="rId10" w:history="1">
        <w:r w:rsidRPr="00581C92">
          <w:rPr>
            <w:rStyle w:val="Hyperlink"/>
            <w:rFonts w:ascii="Times New Roman" w:hAnsi="Times New Roman"/>
            <w:bCs/>
          </w:rPr>
          <w:t>https://doi.org/https://doi.org/10.2991/assehr.k.211130.076</w:t>
        </w:r>
      </w:hyperlink>
    </w:p>
    <w:p w14:paraId="0CAAE9C1" w14:textId="77777777" w:rsidR="00800B41" w:rsidRDefault="00800B41" w:rsidP="00800B41">
      <w:pPr>
        <w:pStyle w:val="Bibliography"/>
        <w:spacing w:after="0" w:line="240" w:lineRule="auto"/>
        <w:ind w:left="709" w:hanging="709"/>
        <w:jc w:val="both"/>
        <w:rPr>
          <w:rFonts w:ascii="Times New Roman" w:hAnsi="Times New Roman"/>
        </w:rPr>
      </w:pPr>
      <w:r>
        <w:rPr>
          <w:b/>
          <w:color w:val="000000"/>
        </w:rPr>
        <w:fldChar w:fldCharType="begin"/>
      </w:r>
      <w:r>
        <w:rPr>
          <w:b/>
          <w:color w:val="000000"/>
        </w:rPr>
        <w:instrText xml:space="preserve"> ADDIN ZOTERO_BIBL {"uncited":[],"omitted":[],"custom":[]} CSL_BIBLIOGRAPHY </w:instrText>
      </w:r>
      <w:r>
        <w:rPr>
          <w:b/>
          <w:color w:val="000000"/>
        </w:rPr>
        <w:fldChar w:fldCharType="separate"/>
      </w:r>
      <w:r w:rsidRPr="00E428B8">
        <w:rPr>
          <w:rFonts w:ascii="Times New Roman" w:hAnsi="Times New Roman"/>
        </w:rPr>
        <w:t xml:space="preserve">Flamitha, R. Tria, Fadlan Fadlan, Christiani Prasetiasari, and Erniyanti Erniyanti. “Analisis Yuridis Pengguna Jasa Ekspedisi Terhadap Barang Kiriman Yang Tidak Dapat Dikeluarkan Petugas Bea Dan Cukai Di Free Trade Zone.” </w:t>
      </w:r>
      <w:r w:rsidRPr="00E428B8">
        <w:rPr>
          <w:rFonts w:ascii="Times New Roman" w:hAnsi="Times New Roman"/>
          <w:i/>
          <w:iCs/>
        </w:rPr>
        <w:t>Jurnal Studi Multidisiplin Ilmu</w:t>
      </w:r>
      <w:r w:rsidRPr="00E428B8">
        <w:rPr>
          <w:rFonts w:ascii="Times New Roman" w:hAnsi="Times New Roman"/>
        </w:rPr>
        <w:t xml:space="preserve"> 1, no. 2 (November 2, 2023): 69–77. https://doi.org/10.35912/jasmi.v1i2.2523</w:t>
      </w:r>
      <w:r>
        <w:rPr>
          <w:rFonts w:ascii="Times New Roman" w:hAnsi="Times New Roman"/>
        </w:rPr>
        <w:t xml:space="preserve">. </w:t>
      </w:r>
    </w:p>
    <w:p w14:paraId="13D6486A" w14:textId="77777777" w:rsidR="00800B41" w:rsidRPr="004F3131" w:rsidRDefault="00800B41" w:rsidP="00800B41">
      <w:pPr>
        <w:spacing w:after="0"/>
        <w:ind w:left="709" w:hanging="709"/>
        <w:jc w:val="both"/>
        <w:rPr>
          <w:rFonts w:ascii="Times New Roman" w:hAnsi="Times New Roman"/>
        </w:rPr>
      </w:pPr>
      <w:r w:rsidRPr="004F3131">
        <w:rPr>
          <w:rFonts w:ascii="Times New Roman" w:hAnsi="Times New Roman"/>
        </w:rPr>
        <w:t>Gaduena, A., Caboverde, C. E., &amp; Flaminiano, J. P. (2022). Telework potential in the Philippines. Economic and Labour Relations Review, 33(2), 434–454. </w:t>
      </w:r>
      <w:hyperlink r:id="rId11" w:history="1">
        <w:r w:rsidRPr="004F3131">
          <w:rPr>
            <w:rStyle w:val="Hyperlink"/>
            <w:rFonts w:ascii="Times New Roman" w:hAnsi="Times New Roman"/>
          </w:rPr>
          <w:t>https://doi.org/10.1177/10353046221075103/FORMAT/EPUB</w:t>
        </w:r>
      </w:hyperlink>
    </w:p>
    <w:p w14:paraId="1EA4BFEF" w14:textId="77777777" w:rsidR="00800B41" w:rsidRPr="00E428B8" w:rsidRDefault="00800B41" w:rsidP="00800B41">
      <w:pPr>
        <w:pStyle w:val="Bibliography"/>
        <w:spacing w:after="0" w:line="240" w:lineRule="auto"/>
        <w:ind w:left="709" w:hanging="709"/>
        <w:jc w:val="both"/>
        <w:rPr>
          <w:rFonts w:ascii="Times New Roman" w:hAnsi="Times New Roman"/>
        </w:rPr>
      </w:pPr>
      <w:r w:rsidRPr="00E428B8">
        <w:rPr>
          <w:rFonts w:ascii="Times New Roman" w:hAnsi="Times New Roman"/>
        </w:rPr>
        <w:t xml:space="preserve">Haqiqi, Fauzan, Mira Santika, and Yusmalina. “ANALISIS PENGARUH REALISASI PENERIMAAN BEA MASUK TERHADAP TARGET PENERIMAAN BEA MASUK (PADA KANTOR PENGAWASAN DAN PELAYANAN BEA CUKAI TIPE MADYA B TANJUNG BALAI KARIMUN PERIODE 2017-2019).” </w:t>
      </w:r>
      <w:r w:rsidRPr="00E428B8">
        <w:rPr>
          <w:rFonts w:ascii="Times New Roman" w:hAnsi="Times New Roman"/>
          <w:i/>
          <w:iCs/>
        </w:rPr>
        <w:t>JURNAL CAFETARIA</w:t>
      </w:r>
      <w:r w:rsidRPr="00E428B8">
        <w:rPr>
          <w:rFonts w:ascii="Times New Roman" w:hAnsi="Times New Roman"/>
        </w:rPr>
        <w:t xml:space="preserve"> 2, no. 1 (January 30, 2021): 48–61. https://doi.org/10.51742/akuntansi.v2i1.282.</w:t>
      </w:r>
    </w:p>
    <w:p w14:paraId="3163FADC" w14:textId="77777777" w:rsidR="00800B41" w:rsidRPr="00E428B8" w:rsidRDefault="00800B41" w:rsidP="00800B41">
      <w:pPr>
        <w:pStyle w:val="Bibliography"/>
        <w:spacing w:after="0" w:line="240" w:lineRule="auto"/>
        <w:ind w:left="709" w:hanging="709"/>
        <w:jc w:val="both"/>
        <w:rPr>
          <w:rFonts w:ascii="Times New Roman" w:hAnsi="Times New Roman"/>
        </w:rPr>
      </w:pPr>
      <w:r w:rsidRPr="00E428B8">
        <w:rPr>
          <w:rFonts w:ascii="Times New Roman" w:hAnsi="Times New Roman"/>
        </w:rPr>
        <w:t>“In Search of Ummah Welfare Model: The Revitalisation of Sharia Economic Law in Indonesia | Hariyanto | Sriwijaya Law Review.” Accessed January 15, 2024. http://journal.fh.unsri.ac.id/index.php/sriwijayalawreview/article/view/1080.</w:t>
      </w:r>
    </w:p>
    <w:p w14:paraId="639B84E3" w14:textId="77777777" w:rsidR="00800B41" w:rsidRPr="00E428B8" w:rsidRDefault="00800B41" w:rsidP="00800B41">
      <w:pPr>
        <w:pStyle w:val="Bibliography"/>
        <w:spacing w:after="0" w:line="240" w:lineRule="auto"/>
        <w:ind w:left="709" w:hanging="709"/>
        <w:jc w:val="both"/>
        <w:rPr>
          <w:rFonts w:ascii="Times New Roman" w:hAnsi="Times New Roman"/>
        </w:rPr>
      </w:pPr>
      <w:r w:rsidRPr="00E428B8">
        <w:rPr>
          <w:rFonts w:ascii="Times New Roman" w:hAnsi="Times New Roman"/>
        </w:rPr>
        <w:t xml:space="preserve">Jati, Kumara. “Edukasi Manfaat Keterbukaan Informasi Publik Data Perdagangan.” </w:t>
      </w:r>
      <w:r w:rsidRPr="00E428B8">
        <w:rPr>
          <w:rFonts w:ascii="Times New Roman" w:hAnsi="Times New Roman"/>
          <w:i/>
          <w:iCs/>
        </w:rPr>
        <w:t>Prosiding Seminar Nasional ADPI Mengabdi Untuk Negeri</w:t>
      </w:r>
      <w:r w:rsidRPr="00E428B8">
        <w:rPr>
          <w:rFonts w:ascii="Times New Roman" w:hAnsi="Times New Roman"/>
        </w:rPr>
        <w:t xml:space="preserve"> 3, no. 2 (March 30, 2023): 1–12. https://doi.org/10.47841/semnasadpi.v3i2.63.</w:t>
      </w:r>
    </w:p>
    <w:p w14:paraId="6045F6CB" w14:textId="77777777" w:rsidR="00800B41" w:rsidRPr="00E428B8" w:rsidRDefault="00800B41" w:rsidP="00800B41">
      <w:pPr>
        <w:pStyle w:val="Bibliography"/>
        <w:spacing w:after="0" w:line="240" w:lineRule="auto"/>
        <w:ind w:left="709" w:hanging="709"/>
        <w:jc w:val="both"/>
        <w:rPr>
          <w:rFonts w:ascii="Times New Roman" w:hAnsi="Times New Roman"/>
        </w:rPr>
      </w:pPr>
      <w:r w:rsidRPr="00E428B8">
        <w:rPr>
          <w:rFonts w:ascii="Times New Roman" w:hAnsi="Times New Roman"/>
        </w:rPr>
        <w:t xml:space="preserve">Kinski, Natasya, Ahmad Albar Tanjung, and Sukardi. “Analisis Pengaruh Ekspor Dan Impor Terhadap Pertumbuhan Ekonomi Di Indonesia Tahun 2018 – 2022.” </w:t>
      </w:r>
      <w:r w:rsidRPr="00E428B8">
        <w:rPr>
          <w:rFonts w:ascii="Times New Roman" w:hAnsi="Times New Roman"/>
          <w:i/>
          <w:iCs/>
        </w:rPr>
        <w:t>Ganaya : Jurnal Ilmu Sosial Dan Humaniora</w:t>
      </w:r>
      <w:r w:rsidRPr="00E428B8">
        <w:rPr>
          <w:rFonts w:ascii="Times New Roman" w:hAnsi="Times New Roman"/>
        </w:rPr>
        <w:t xml:space="preserve"> 6, no. 3 (July 2, 2023): 568–78. https://doi.org/10.37329/ganaya.v6i3.2498.</w:t>
      </w:r>
    </w:p>
    <w:p w14:paraId="7719AD06" w14:textId="77777777" w:rsidR="00800B41" w:rsidRDefault="00800B41" w:rsidP="00800B41">
      <w:pPr>
        <w:pStyle w:val="Bibliography"/>
        <w:spacing w:after="0" w:line="240" w:lineRule="auto"/>
        <w:ind w:left="709" w:hanging="709"/>
        <w:jc w:val="both"/>
        <w:rPr>
          <w:rFonts w:ascii="Times New Roman" w:hAnsi="Times New Roman"/>
        </w:rPr>
      </w:pPr>
      <w:r w:rsidRPr="004F3131">
        <w:rPr>
          <w:rFonts w:ascii="Times New Roman" w:hAnsi="Times New Roman"/>
        </w:rPr>
        <w:t>Marín-Idárraga, D. A., Hurtado González, J. M., &amp; Cabello Medina, C. (2022). Factors affecting the effect of exploitation and exploration on performance: A meta-analysis. BRQ Business Research Quarterly, 25(4), 312–336. </w:t>
      </w:r>
      <w:hyperlink r:id="rId12" w:history="1">
        <w:r w:rsidRPr="004F3131">
          <w:rPr>
            <w:rStyle w:val="Hyperlink"/>
            <w:rFonts w:ascii="Times New Roman" w:hAnsi="Times New Roman"/>
          </w:rPr>
          <w:t>https://doi.org/10.1177/2340944420972707</w:t>
        </w:r>
      </w:hyperlink>
    </w:p>
    <w:p w14:paraId="2F0FB2DF" w14:textId="77777777" w:rsidR="00800B41" w:rsidRPr="00E428B8" w:rsidRDefault="00800B41" w:rsidP="00800B41">
      <w:pPr>
        <w:pStyle w:val="Bibliography"/>
        <w:spacing w:after="0" w:line="240" w:lineRule="auto"/>
        <w:ind w:left="709" w:hanging="709"/>
        <w:jc w:val="both"/>
        <w:rPr>
          <w:rFonts w:ascii="Times New Roman" w:hAnsi="Times New Roman"/>
        </w:rPr>
      </w:pPr>
      <w:r w:rsidRPr="00E428B8">
        <w:rPr>
          <w:rFonts w:ascii="Times New Roman" w:hAnsi="Times New Roman"/>
        </w:rPr>
        <w:t xml:space="preserve">Melayu, Hasrul Mahyuzar, M Anshar, and Bambang Irawadi. “Analisis Peranan Pejabat Pemeriksa Dokumen Ekspor Dalam Pencapaian Penerimaan Negara Dibidang Ekspor Pada Kantor Pengawasan dan Pelayanan Bea dan Cukai Tipe Madya Pabean Belawan.” . </w:t>
      </w:r>
      <w:r w:rsidRPr="00E428B8">
        <w:rPr>
          <w:rFonts w:ascii="Times New Roman" w:hAnsi="Times New Roman"/>
          <w:i/>
          <w:iCs/>
        </w:rPr>
        <w:t>. Juni</w:t>
      </w:r>
      <w:r w:rsidRPr="00E428B8">
        <w:rPr>
          <w:rFonts w:ascii="Times New Roman" w:hAnsi="Times New Roman"/>
        </w:rPr>
        <w:t xml:space="preserve"> 2, no. 1 (2023).</w:t>
      </w:r>
    </w:p>
    <w:p w14:paraId="084DD9E0" w14:textId="77777777" w:rsidR="00800B41" w:rsidRPr="00E428B8" w:rsidRDefault="00800B41" w:rsidP="00800B41">
      <w:pPr>
        <w:pStyle w:val="Bibliography"/>
        <w:spacing w:after="0" w:line="240" w:lineRule="auto"/>
        <w:ind w:left="709" w:hanging="709"/>
        <w:jc w:val="both"/>
        <w:rPr>
          <w:rFonts w:ascii="Times New Roman" w:hAnsi="Times New Roman"/>
        </w:rPr>
      </w:pPr>
      <w:r w:rsidRPr="00E428B8">
        <w:rPr>
          <w:rFonts w:ascii="Times New Roman" w:hAnsi="Times New Roman"/>
        </w:rPr>
        <w:t>Muljadi, A J, Khansa Khairunnisa, and Lira Agusinta. “KINERJA KARYAWAN DALAM PENANGANAN DOKUMEN EKSPOR FREIGHT FORWARDING” 3, no. 3 (2017).</w:t>
      </w:r>
    </w:p>
    <w:p w14:paraId="2DAC1714" w14:textId="77777777" w:rsidR="00800B41" w:rsidRPr="00E428B8" w:rsidRDefault="00800B41" w:rsidP="00800B41">
      <w:pPr>
        <w:pStyle w:val="Bibliography"/>
        <w:spacing w:after="0" w:line="240" w:lineRule="auto"/>
        <w:ind w:left="709" w:hanging="709"/>
        <w:jc w:val="both"/>
        <w:rPr>
          <w:rFonts w:ascii="Times New Roman" w:hAnsi="Times New Roman"/>
        </w:rPr>
      </w:pPr>
      <w:r w:rsidRPr="00E428B8">
        <w:rPr>
          <w:rFonts w:ascii="Times New Roman" w:hAnsi="Times New Roman"/>
        </w:rPr>
        <w:lastRenderedPageBreak/>
        <w:t xml:space="preserve">Nurfatmala, Siti Camila Nurpadillah, Rihaadatul Aisy Adawiyyah, and Rasidah Novita Sar. “PERAN PENTING PERDAGANGAN INTERNASIONAL TERHADAP EKSPOR DI INDONESIA.” </w:t>
      </w:r>
      <w:r w:rsidRPr="00E428B8">
        <w:rPr>
          <w:rFonts w:ascii="Times New Roman" w:hAnsi="Times New Roman"/>
          <w:i/>
          <w:iCs/>
        </w:rPr>
        <w:t>November 2023</w:t>
      </w:r>
      <w:r w:rsidRPr="00E428B8">
        <w:rPr>
          <w:rFonts w:ascii="Times New Roman" w:hAnsi="Times New Roman"/>
        </w:rPr>
        <w:t xml:space="preserve"> 1, no. 2 (n.d.). https://jurnalistiqomah.org/index.php/jemb/article/view/178/174.</w:t>
      </w:r>
    </w:p>
    <w:p w14:paraId="3DFE36A7" w14:textId="77777777" w:rsidR="00800B41" w:rsidRPr="00E428B8" w:rsidRDefault="00800B41" w:rsidP="00800B41">
      <w:pPr>
        <w:pStyle w:val="Bibliography"/>
        <w:spacing w:after="0" w:line="240" w:lineRule="auto"/>
        <w:ind w:left="709" w:hanging="709"/>
        <w:jc w:val="both"/>
        <w:rPr>
          <w:rFonts w:ascii="Times New Roman" w:hAnsi="Times New Roman"/>
        </w:rPr>
      </w:pPr>
      <w:r w:rsidRPr="00E428B8">
        <w:rPr>
          <w:rFonts w:ascii="Times New Roman" w:hAnsi="Times New Roman"/>
        </w:rPr>
        <w:t>“Peraturan Menteri Keuangan Nomor 274/PMK.04/2014 Tahun 2014 Tentang Pengembalian Bea Masuk, Bea Keluar, Sanksi Administrasi Berupa Denda,Dan/ Atau Bunga Dalam Rangka Kepabeanan.” Accessed January 15, 2024. https://peraturan.bpk.go.id/Details/122279/pmk-no-274pmk042014.</w:t>
      </w:r>
    </w:p>
    <w:p w14:paraId="5C837D15" w14:textId="77777777" w:rsidR="00800B41" w:rsidRPr="00E428B8" w:rsidRDefault="00800B41" w:rsidP="00800B41">
      <w:pPr>
        <w:pStyle w:val="Bibliography"/>
        <w:spacing w:after="0" w:line="240" w:lineRule="auto"/>
        <w:ind w:left="709" w:hanging="709"/>
        <w:jc w:val="both"/>
        <w:rPr>
          <w:rFonts w:ascii="Times New Roman" w:hAnsi="Times New Roman"/>
        </w:rPr>
      </w:pPr>
      <w:r w:rsidRPr="00E428B8">
        <w:rPr>
          <w:rFonts w:ascii="Times New Roman" w:hAnsi="Times New Roman"/>
        </w:rPr>
        <w:t>“Perkembangan Ekspor Terhadap Dampak Pengangguran Di Provinsi Bali | REMIK: Riset Dan E-Jurnal Manajemen Informatika Komputer.” Accessed January 15, 2024. https://polgan.ac.id/jurnal/index.php/remik/article/view/12026.</w:t>
      </w:r>
    </w:p>
    <w:p w14:paraId="3B62755B" w14:textId="77777777" w:rsidR="00800B41" w:rsidRPr="00E428B8" w:rsidRDefault="00800B41" w:rsidP="00800B41">
      <w:pPr>
        <w:pStyle w:val="Bibliography"/>
        <w:spacing w:after="0" w:line="240" w:lineRule="auto"/>
        <w:ind w:left="709" w:hanging="709"/>
        <w:jc w:val="both"/>
        <w:rPr>
          <w:rFonts w:ascii="Times New Roman" w:hAnsi="Times New Roman"/>
        </w:rPr>
      </w:pPr>
      <w:r w:rsidRPr="00E428B8">
        <w:rPr>
          <w:rFonts w:ascii="Times New Roman" w:hAnsi="Times New Roman"/>
        </w:rPr>
        <w:t>Pramono, Renjiro Azhar, Gustina Alfa Trisnapradika, Bagaskara Bayu Adhy, Ganis Fatimah, Diaz Prawesty, Hendra Sutrisno, and Ricky Primayuda Putra. “PENYULUHAN PENINGKATAN EKSPOR BATIK MENUJU PASAR GLOBAL BERKELANJUTAN DI KAMPUNG REJOMULYO” 4, no. 2 (2023).</w:t>
      </w:r>
    </w:p>
    <w:p w14:paraId="4B3CFF05" w14:textId="77777777" w:rsidR="00800B41" w:rsidRPr="00E428B8" w:rsidRDefault="00800B41" w:rsidP="00800B41">
      <w:pPr>
        <w:pStyle w:val="Bibliography"/>
        <w:spacing w:after="0" w:line="240" w:lineRule="auto"/>
        <w:ind w:left="709" w:hanging="709"/>
        <w:jc w:val="both"/>
        <w:rPr>
          <w:rFonts w:ascii="Times New Roman" w:hAnsi="Times New Roman"/>
        </w:rPr>
      </w:pPr>
      <w:r w:rsidRPr="00E428B8">
        <w:rPr>
          <w:rFonts w:ascii="Times New Roman" w:hAnsi="Times New Roman"/>
        </w:rPr>
        <w:t xml:space="preserve">Putra, Krisna Dwipayana Dira, I. Nyoman Sukandia, and I. Made Aditya Mantara Putra. “Tinjauan Yuridis Agreement And Responsibility (Perjanjian Dan Tanggung Jawab) Industri Ekspor Kargo Dalam Pengangkutan Melalui Laut.” </w:t>
      </w:r>
      <w:r w:rsidRPr="00E428B8">
        <w:rPr>
          <w:rFonts w:ascii="Times New Roman" w:hAnsi="Times New Roman"/>
          <w:i/>
          <w:iCs/>
        </w:rPr>
        <w:t>Jurnal Preferensi Hukum</w:t>
      </w:r>
      <w:r w:rsidRPr="00E428B8">
        <w:rPr>
          <w:rFonts w:ascii="Times New Roman" w:hAnsi="Times New Roman"/>
        </w:rPr>
        <w:t xml:space="preserve"> 4, no. 2 (June 14, 2023): 171–76. https://doi.org/10.55637/jph.4.2.7144.171-176.</w:t>
      </w:r>
    </w:p>
    <w:p w14:paraId="7E105048" w14:textId="77777777" w:rsidR="00800B41" w:rsidRPr="00E428B8" w:rsidRDefault="00800B41" w:rsidP="00800B41">
      <w:pPr>
        <w:pStyle w:val="Bibliography"/>
        <w:spacing w:after="0" w:line="240" w:lineRule="auto"/>
        <w:ind w:left="709" w:hanging="709"/>
        <w:jc w:val="both"/>
        <w:rPr>
          <w:rFonts w:ascii="Times New Roman" w:hAnsi="Times New Roman"/>
        </w:rPr>
      </w:pPr>
      <w:r w:rsidRPr="00E428B8">
        <w:rPr>
          <w:rFonts w:ascii="Times New Roman" w:hAnsi="Times New Roman"/>
        </w:rPr>
        <w:t xml:space="preserve">Rifa’i, Iman Jalaludin, Ady Purwoto, Marina Ramadhani, Muksalmina, Muhammad Taufik Rusydi, Nasruddin Khalil Harahap, Ibnu Mardiyanto, et al. </w:t>
      </w:r>
      <w:r w:rsidRPr="00E428B8">
        <w:rPr>
          <w:rFonts w:ascii="Times New Roman" w:hAnsi="Times New Roman"/>
          <w:i/>
          <w:iCs/>
        </w:rPr>
        <w:t>Metodologi Penelitian Hukum</w:t>
      </w:r>
      <w:r w:rsidRPr="00E428B8">
        <w:rPr>
          <w:rFonts w:ascii="Times New Roman" w:hAnsi="Times New Roman"/>
        </w:rPr>
        <w:t>. Sada Kurnia Pustaka, 2023.</w:t>
      </w:r>
    </w:p>
    <w:p w14:paraId="52E4E8D2" w14:textId="77777777" w:rsidR="00800B41" w:rsidRPr="00E428B8" w:rsidRDefault="00800B41" w:rsidP="00800B41">
      <w:pPr>
        <w:pStyle w:val="Bibliography"/>
        <w:spacing w:after="0" w:line="240" w:lineRule="auto"/>
        <w:ind w:left="709" w:hanging="709"/>
        <w:jc w:val="both"/>
        <w:rPr>
          <w:rFonts w:ascii="Times New Roman" w:hAnsi="Times New Roman"/>
        </w:rPr>
      </w:pPr>
      <w:r w:rsidRPr="00E428B8">
        <w:rPr>
          <w:rFonts w:ascii="Times New Roman" w:hAnsi="Times New Roman"/>
        </w:rPr>
        <w:t xml:space="preserve">Riza, Khairul. “Hak Restitusi Bagi Korban Perdagangan Orang: Sebuah Langkah Penting Menuju Keadilan Di Indonesia.” </w:t>
      </w:r>
      <w:r w:rsidRPr="00E428B8">
        <w:rPr>
          <w:rFonts w:ascii="Times New Roman" w:hAnsi="Times New Roman"/>
          <w:i/>
          <w:iCs/>
        </w:rPr>
        <w:t>Kajian Ilmiah Hukum Dan Kenegaraan</w:t>
      </w:r>
      <w:r w:rsidRPr="00E428B8">
        <w:rPr>
          <w:rFonts w:ascii="Times New Roman" w:hAnsi="Times New Roman"/>
        </w:rPr>
        <w:t xml:space="preserve"> 2, no. 1 (August 28, 2023): 37–44. https://doi.org/10.35912/kihan.v2i1.2359.</w:t>
      </w:r>
    </w:p>
    <w:p w14:paraId="32C49423" w14:textId="77777777" w:rsidR="00800B41" w:rsidRPr="00E428B8" w:rsidRDefault="00800B41" w:rsidP="00800B41">
      <w:pPr>
        <w:pStyle w:val="Bibliography"/>
        <w:spacing w:after="0" w:line="240" w:lineRule="auto"/>
        <w:ind w:left="709" w:hanging="709"/>
        <w:jc w:val="both"/>
        <w:rPr>
          <w:rFonts w:ascii="Times New Roman" w:hAnsi="Times New Roman"/>
        </w:rPr>
      </w:pPr>
      <w:r w:rsidRPr="00E428B8">
        <w:rPr>
          <w:rFonts w:ascii="Times New Roman" w:hAnsi="Times New Roman"/>
        </w:rPr>
        <w:t>Sa’beng, Israyuddin. “PERAN DIREKTORAT JENDERAL BEA DAN CUKAI SULBAGSEL DALAM MENGAWASI PENYELUNDUPAN NARKOBA” 3, no. 1 (2021).</w:t>
      </w:r>
    </w:p>
    <w:p w14:paraId="3A73C002" w14:textId="77777777" w:rsidR="00800B41" w:rsidRPr="00E428B8" w:rsidRDefault="00800B41" w:rsidP="00800B41">
      <w:pPr>
        <w:pStyle w:val="Bibliography"/>
        <w:spacing w:after="0" w:line="240" w:lineRule="auto"/>
        <w:ind w:left="709" w:hanging="709"/>
        <w:jc w:val="both"/>
        <w:rPr>
          <w:rFonts w:ascii="Times New Roman" w:hAnsi="Times New Roman"/>
        </w:rPr>
      </w:pPr>
      <w:r w:rsidRPr="00E428B8">
        <w:rPr>
          <w:rFonts w:ascii="Times New Roman" w:hAnsi="Times New Roman"/>
        </w:rPr>
        <w:t>Syafi’i, Muhammad, Lela Nurlaela Wati, and Rini Yayuk Priyati. “PENGARUH FASILITAS KEPABEANAN TERHADAP NILAI EKSPOR DAN KINERJA KEUANGAN PERUSAHAAN,” 2023.</w:t>
      </w:r>
    </w:p>
    <w:p w14:paraId="0599D689" w14:textId="77777777" w:rsidR="00800B41" w:rsidRPr="00E428B8" w:rsidRDefault="00800B41" w:rsidP="00800B41">
      <w:pPr>
        <w:pStyle w:val="Bibliography"/>
        <w:spacing w:after="0" w:line="240" w:lineRule="auto"/>
        <w:ind w:left="709" w:hanging="709"/>
        <w:jc w:val="both"/>
        <w:rPr>
          <w:rFonts w:ascii="Times New Roman" w:hAnsi="Times New Roman"/>
        </w:rPr>
      </w:pPr>
      <w:r w:rsidRPr="00E428B8">
        <w:rPr>
          <w:rFonts w:ascii="Times New Roman" w:hAnsi="Times New Roman"/>
        </w:rPr>
        <w:t xml:space="preserve">Yusuf, Dara Qurratu Aini. “Perlindungan Konsumen Terhadap Klausula Eksonerasi Dalam Perjanjian Baku Perusahaan Jasa Pengiriman Barang (Studi Pada Perusahaan Pengiriman Barang Di Kota Binjai PT. JNE).” </w:t>
      </w:r>
      <w:r w:rsidRPr="00E428B8">
        <w:rPr>
          <w:rFonts w:ascii="Times New Roman" w:hAnsi="Times New Roman"/>
          <w:i/>
          <w:iCs/>
        </w:rPr>
        <w:t>Iuris Studia: Jurnal Kajian Hukum</w:t>
      </w:r>
      <w:r w:rsidRPr="00E428B8">
        <w:rPr>
          <w:rFonts w:ascii="Times New Roman" w:hAnsi="Times New Roman"/>
        </w:rPr>
        <w:t xml:space="preserve"> 3, no. 2 (August 6, 2022): 203–13. https://doi.org/10.55357/is.v3i2.249.</w:t>
      </w:r>
    </w:p>
    <w:p w14:paraId="79C7F605" w14:textId="77777777" w:rsidR="00800B41" w:rsidRPr="00E428B8" w:rsidRDefault="00800B41" w:rsidP="00800B41">
      <w:pPr>
        <w:widowControl w:val="0"/>
        <w:autoSpaceDE w:val="0"/>
        <w:autoSpaceDN w:val="0"/>
        <w:adjustRightInd w:val="0"/>
        <w:spacing w:after="0" w:line="240" w:lineRule="auto"/>
        <w:ind w:left="709" w:right="88" w:hanging="709"/>
        <w:jc w:val="both"/>
        <w:rPr>
          <w:rFonts w:ascii="Times New Roman" w:hAnsi="Times New Roman"/>
          <w:b/>
          <w:color w:val="000000"/>
        </w:rPr>
      </w:pPr>
      <w:r>
        <w:rPr>
          <w:rFonts w:ascii="Times New Roman" w:hAnsi="Times New Roman"/>
          <w:b/>
          <w:color w:val="000000"/>
        </w:rPr>
        <w:fldChar w:fldCharType="end"/>
      </w:r>
    </w:p>
    <w:p w14:paraId="2B479D33" w14:textId="77777777" w:rsidR="00D615F2" w:rsidRDefault="00D615F2">
      <w:pPr>
        <w:pStyle w:val="BodyText"/>
        <w:jc w:val="both"/>
        <w:rPr>
          <w:lang w:val="en-US"/>
        </w:rPr>
      </w:pPr>
    </w:p>
    <w:sectPr w:rsidR="00D615F2">
      <w:footerReference w:type="default" r:id="rId13"/>
      <w:type w:val="continuous"/>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249D0" w14:textId="77777777" w:rsidR="003F73AE" w:rsidRDefault="003F73AE">
      <w:pPr>
        <w:spacing w:after="0" w:line="240" w:lineRule="auto"/>
      </w:pPr>
      <w:r>
        <w:separator/>
      </w:r>
    </w:p>
  </w:endnote>
  <w:endnote w:type="continuationSeparator" w:id="0">
    <w:p w14:paraId="441B02A5" w14:textId="77777777" w:rsidR="003F73AE" w:rsidRDefault="003F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915EC" w14:textId="77777777" w:rsidR="00D615F2" w:rsidRDefault="00D615F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95861" w14:textId="77777777" w:rsidR="003F73AE" w:rsidRDefault="003F73AE">
      <w:pPr>
        <w:spacing w:after="0" w:line="240" w:lineRule="auto"/>
      </w:pPr>
      <w:r>
        <w:separator/>
      </w:r>
    </w:p>
  </w:footnote>
  <w:footnote w:type="continuationSeparator" w:id="0">
    <w:p w14:paraId="39184468" w14:textId="77777777" w:rsidR="003F73AE" w:rsidRDefault="003F73AE">
      <w:pPr>
        <w:spacing w:after="0" w:line="240" w:lineRule="auto"/>
      </w:pPr>
      <w:r>
        <w:continuationSeparator/>
      </w:r>
    </w:p>
  </w:footnote>
  <w:footnote w:id="1">
    <w:p w14:paraId="63F52712" w14:textId="77777777" w:rsidR="00C56994" w:rsidRPr="00982158" w:rsidRDefault="00C56994" w:rsidP="00C56994">
      <w:pPr>
        <w:pStyle w:val="FootnoteText"/>
        <w:jc w:val="both"/>
      </w:pPr>
      <w:r>
        <w:rPr>
          <w:rStyle w:val="FootnoteReference"/>
        </w:rPr>
        <w:footnoteRef/>
      </w:r>
      <w:r>
        <w:t xml:space="preserve"> </w:t>
      </w:r>
      <w:r w:rsidRPr="00982158">
        <w:rPr>
          <w:sz w:val="18"/>
          <w:szCs w:val="18"/>
        </w:rPr>
        <w:fldChar w:fldCharType="begin"/>
      </w:r>
      <w:r w:rsidRPr="00982158">
        <w:rPr>
          <w:sz w:val="18"/>
          <w:szCs w:val="18"/>
        </w:rPr>
        <w:instrText xml:space="preserve"> ADDIN ZOTERO_ITEM CSL_CITATION {"citationID":"H9YSi7aR","properties":{"formattedCitation":"Israyuddin Sa\\uc0\\u8217{}beng, \\uc0\\u8220{}PERAN DIREKTORAT JENDERAL BEA DAN CUKAI SULBAGSEL DALAM MENGAWASI PENYELUNDUPAN NARKOBA\\uc0\\u8221{} 3, no. 1 (2021).","plainCitation":"Israyuddin Sa’beng, “PERAN DIREKTORAT JENDERAL BEA DAN CUKAI SULBAGSEL DALAM MENGAWASI PENYELUNDUPAN NARKOBA” 3, no. 1 (2021).","noteIndex":1},"citationItems":[{"id":41,"uris":["http://zotero.org/users/local/oyRLcVte/items/PLTYEVR2"],"itemData":{"id":41,"type":"article-journal","abstract":"This study aims to determine (1) the role of the Directorate General of Customs and Excise of South Sulawesi in conducting supervision to prevent drug smuggling (2) the procedures applied by the Directorate General of Customs and Excise of South Sulawesi as a customs agency in supervising drug smuggling (3) obstacles faced by Directorate General of Customs and Excise of South Sulawesi in dealing with drug smuggling. To achieve these objectives, the researchers used data collection techniques through observation, interviews and documentation. The research method used is descriptive qualitative analysis. The results of the study indicate that (1) the Directorate General of Customs and Excise of South Sulawesi has a vital role in supervising Indonesian customs, especially the South Sulawesi region, from drug smuggling cases. Based on Customs Law Number 17 of 2006, the Directorate General of Customs and Excise of South Sulawesi through the field of Investigation and Enforcement assigns this task to the Narcotics and Prohibited Goods section to supervise, take action against smugglers, and confiscate smuggled goods as evidence to be submitted to parties. the authorities. In carrying out its duties, the Directorate General of Customs and Excise of South Sulawesi cooperates with other agencies such as the National Police and the National Narcotics Agency (BNN). (2) The Directorate General of Customs and Excise of South Sulawesi, in supervising and preventing drug smuggling, carries out several enforcement activities, including: Pre-Enforcement Research, Determination of Enforcement Schemes and Enforcement Operations. (3) In carrying out its duties, the Directorate General of Customs and Excise also has several obstacles, namely the lack of personnel to realize each task, in order to be more optimal, the existence of Law Enforcement Officials who cheat, and if the location of investigation and prosecution enters Prone Areas or areas where the people are also participate in supporting drug smuggling activities.","issue":"1","language":"id","source":"Zotero","title":"PERAN DIREKTORAT JENDERAL BEA DAN CUKAI SULBAGSEL DALAM MENGAWASI PENYELUNDUPAN NARKOBA","volume":"3","author":[{"family":"Sa’beng","given":"Israyuddin"}],"issued":{"date-parts":[["2021"]]}}}],"schema":"https://github.com/citation-style-language/schema/raw/master/csl-citation.json"} </w:instrText>
      </w:r>
      <w:r w:rsidRPr="00982158">
        <w:rPr>
          <w:sz w:val="18"/>
          <w:szCs w:val="18"/>
        </w:rPr>
        <w:fldChar w:fldCharType="separate"/>
      </w:r>
      <w:r w:rsidRPr="00982158">
        <w:rPr>
          <w:sz w:val="18"/>
          <w:szCs w:val="22"/>
        </w:rPr>
        <w:t>Israyuddin Sa’beng, “PERAN DIREKTORAT JENDERAL BEA DAN CUKAI SULBAGSEL DALAM MENGAWASI PENYELUNDUPAN NARKOBA” 3, no. 1 (2021).</w:t>
      </w:r>
      <w:r w:rsidRPr="00982158">
        <w:rPr>
          <w:sz w:val="18"/>
          <w:szCs w:val="18"/>
        </w:rPr>
        <w:fldChar w:fldCharType="end"/>
      </w:r>
    </w:p>
  </w:footnote>
  <w:footnote w:id="2">
    <w:p w14:paraId="4EE8C431" w14:textId="77777777" w:rsidR="00C56994" w:rsidRPr="009875C4" w:rsidRDefault="00C56994" w:rsidP="00C56994">
      <w:pPr>
        <w:pStyle w:val="FootnoteText"/>
        <w:rPr>
          <w:sz w:val="18"/>
          <w:szCs w:val="18"/>
        </w:rPr>
      </w:pPr>
      <w:r w:rsidRPr="009875C4">
        <w:rPr>
          <w:rStyle w:val="FootnoteReference"/>
          <w:sz w:val="18"/>
          <w:szCs w:val="18"/>
        </w:rPr>
        <w:footnoteRef/>
      </w:r>
      <w:r w:rsidRPr="009875C4">
        <w:rPr>
          <w:sz w:val="18"/>
          <w:szCs w:val="18"/>
        </w:rPr>
        <w:t xml:space="preserve"> </w:t>
      </w:r>
      <w:r w:rsidRPr="009875C4">
        <w:rPr>
          <w:sz w:val="18"/>
          <w:szCs w:val="18"/>
        </w:rPr>
        <w:fldChar w:fldCharType="begin"/>
      </w:r>
      <w:r w:rsidRPr="009875C4">
        <w:rPr>
          <w:sz w:val="18"/>
          <w:szCs w:val="18"/>
        </w:rPr>
        <w:instrText xml:space="preserve"> ADDIN ZOTERO_ITEM CSL_CITATION {"citationID":"hw2IFKNN","properties":{"formattedCitation":"Renjiro Azhar Pramono et al., \\uc0\\u8220{}PENYULUHAN PENINGKATAN EKSPOR BATIK MENUJU PASAR GLOBAL BERKELANJUTAN DI KAMPUNG REJOMULYO\\uc0\\u8221{} 4, no. 2 (2023): Page. 213.","plainCitation":"Renjiro Azhar Pramono et al., “PENYULUHAN PENINGKATAN EKSPOR BATIK MENUJU PASAR GLOBAL BERKELANJUTAN DI KAMPUNG REJOMULYO” 4, no. 2 (2023): Page. 213.","noteIndex":2},"citationItems":[{"id":55,"uris":["http://zotero.org/users/local/oyRLcVte/items/K56DYSQ8"],"itemData":{"id":55,"type":"article-journal","abstract":"Semarangan Batik, as a typical Semarang cultural product, has the potential to gain wider popularity and appreciation. To support this goal, we collaborate with the Customs and Excise Agency to develop and market batik products from Rejomulyo Village to a sustainable global market. This service focuses on important aspects in the field of community service, such as training for batik shop owners, improving production processes, applying the principles of Appropriate Technology (TTG), designs that follow trends, and technology dissemination strategies. Strong collaboration between batik shop owners and the Customs and Excise Agency forms a pattern that can sustainably advance the local creative industry. The results of this activity had a positive impact on all participants and batik shop owners who attended. 77% of participants understood and understood the steps in carrying out export activities, the regulations governing export activities, as well as the opening of new potential opportunities for MSMEs in Rejomulyo Village.","issue":"2","language":"id","source":"Zotero","title":"PENYULUHAN PENINGKATAN EKSPOR BATIK MENUJU PASAR GLOBAL BERKELANJUTAN DI KAMPUNG REJOMULYO","volume":"4","author":[{"family":"Pramono","given":"Renjiro Azhar"},{"family":"Trisnapradika","given":"Gustina Alfa"},{"family":"Adhy","given":"Bagaskara Bayu"},{"family":"Fatimah","given":"Ganis"},{"family":"Prawesty","given":"Diaz"},{"family":"Sutrisno","given":"Hendra"},{"family":"Putra","given":"Ricky Primayuda"}],"issued":{"date-parts":[["2023"]]}},"locator":"Page. 213","label":"page"}],"schema":"https://github.com/citation-style-language/schema/raw/master/csl-citation.json"} </w:instrText>
      </w:r>
      <w:r w:rsidRPr="009875C4">
        <w:rPr>
          <w:sz w:val="18"/>
          <w:szCs w:val="18"/>
        </w:rPr>
        <w:fldChar w:fldCharType="separate"/>
      </w:r>
      <w:r w:rsidRPr="009875C4">
        <w:rPr>
          <w:sz w:val="18"/>
          <w:szCs w:val="22"/>
        </w:rPr>
        <w:t>Renjiro Azhar Pramono et al., “PENYULUHAN PENINGKATAN EKSPOR BATIK MENUJU PASAR GLOBAL BERKELANJUTAN DI KAMPUNG REJOMULYO” 4, no. 2 (2023): Page. 213.</w:t>
      </w:r>
      <w:r w:rsidRPr="009875C4">
        <w:rPr>
          <w:sz w:val="18"/>
          <w:szCs w:val="18"/>
        </w:rPr>
        <w:fldChar w:fldCharType="end"/>
      </w:r>
    </w:p>
  </w:footnote>
  <w:footnote w:id="3">
    <w:p w14:paraId="1AF93A60" w14:textId="77777777" w:rsidR="00C56994" w:rsidRPr="00982158" w:rsidRDefault="00C56994" w:rsidP="00C56994">
      <w:pPr>
        <w:pStyle w:val="FootnoteText"/>
      </w:pPr>
      <w:r w:rsidRPr="009875C4">
        <w:rPr>
          <w:rStyle w:val="FootnoteReference"/>
          <w:sz w:val="18"/>
          <w:szCs w:val="18"/>
        </w:rPr>
        <w:footnoteRef/>
      </w:r>
      <w:r w:rsidRPr="009875C4">
        <w:rPr>
          <w:sz w:val="18"/>
          <w:szCs w:val="18"/>
        </w:rPr>
        <w:t xml:space="preserve"> </w:t>
      </w:r>
      <w:r w:rsidRPr="009875C4">
        <w:rPr>
          <w:sz w:val="18"/>
          <w:szCs w:val="18"/>
        </w:rPr>
        <w:fldChar w:fldCharType="begin"/>
      </w:r>
      <w:r w:rsidRPr="009875C4">
        <w:rPr>
          <w:sz w:val="18"/>
          <w:szCs w:val="18"/>
        </w:rPr>
        <w:instrText xml:space="preserve"> ADDIN ZOTERO_ITEM CSL_CITATION {"citationID":"tQWuGOWQ","properties":{"formattedCitation":"Iman Jalaludin Rifa\\uc0\\u8217{}i et al., {\\i{}Metodologi Penelitian Hukum} (Sada Kurnia Pustaka, 2023), Page. 7.","plainCitation":"Iman Jalaludin Rifa’i et al., Metodologi Penelitian Hukum (Sada Kurnia Pustaka, 2023), Page. 7.","noteIndex":3},"citationItems":[{"id":105,"uris":["http://zotero.org/users/local/oyRLcVte/items/BPQRU3GP"],"itemData":{"id":105,"type":"book","abstract":"Metode Penelitian Hukum merupakan sebuah ikhtiar untuk mencari kebenaran hukum terhadap permasalahan di dalam hukum. Penelitian hukum merupakan kegiatan untuk menemukan aturan hukum, norma-norma hukum, atau doktrin-doktrin hukum, dengan tujuan untuk menjawab permasalahan hukum yang dihadapi. Hal ini konsisten dengan karakteristik ilmu hukum yang bersifat preskriptif. Berbeda dengan penelitian dalam bidang ilmu pengetahuan yang bersifat deskriptif, yang bertujuan untuk menghasilkan argumen, teori, atau konsep baru sebagai pedoman dalam menyelesaikan masalah yang dihadapi. Besar harapan buku ini dapat menjadi bahan bacaan dan referensi bagi mahasiswa Fakultas Hukum dan Program Pascasarjana, pengajar Metode Penelitian Hukum serta peneliti hukum. Sehingga buku ini dapat memberikan kontribusi pada pengembangan ilmu pengetahuan di bidang akademisi sehingga menjadi buku yang signifikan. Untuk memudahkan pembaca dalam memahaminya, penulis menyusun buku ini dalam beberapa bagian bab.Buku ini terdiri dari tiga belas bab, Pertama Pengertian dan Ruang Lingkup Penelitian Hukum, Kedua Konsep dasar dan Karakteristik Penelitian Hukum, Ketiga Perumusan Masalah dan Hipotesis Penelitian Hukum, Keempat Kajian Pustaka dan Kerangka Teoritis Penelitian Hukum, Kelima Jenis-jenis penelitian Hukum, Keenam Strategi dan Metode Penelitian Hukum, Ketujuh Etika Penelitian Hukum, Kedelapan Penulisan Proposal dan Laporan Penelitian Hukum, Kesembilan Penelitian Hukum Komparatif, Kesepuluh Penelitian Socio Legal, Kesebelas Penelitian Hukum Normatif, Keduabelas Penelitian Hukum Empiris, Ketigabelas, Pengembangan Metode Penelitian Hukum untuk Penelitian masa depan.","ISBN":"9786230931505","language":"id","note":"Google-Books-ID: 6OO8EAAAQBAJ","number-of-pages":"181","publisher":"Sada Kurnia Pustaka","source":"Google Books","title":"Metodologi Penelitian Hukum","author":[{"family":"Rifa’i","given":"Iman Jalaludin"},{"family":"Purwoto","given":"Ady"},{"family":"Ramadhani","given":"Marina"},{"family":"Muksalmina","given":""},{"family":"Rusydi","given":"Muhammad Taufik"},{"family":"Harahap","given":"Nasruddin Khalil"},{"family":"Mardiyanto","given":"Ibnu"},{"family":"Churniawan","given":"Erifendi"},{"family":"Junaedi","given":"Mahfudz"},{"family":"Agustiwi","given":"Asri"},{"family":"Saragih","given":"Geofani Milthree"},{"family":"Bariah","given":"Chairul"},{"family":"Surasa","given":"Ais"}],"issued":{"date-parts":[["2023",5,3]]}},"locator":"Page. 7","label":"page"}],"schema":"https://github.com/citation-style-language/schema/raw/master/csl-citation.json"} </w:instrText>
      </w:r>
      <w:r w:rsidRPr="009875C4">
        <w:rPr>
          <w:sz w:val="18"/>
          <w:szCs w:val="18"/>
        </w:rPr>
        <w:fldChar w:fldCharType="separate"/>
      </w:r>
      <w:r w:rsidRPr="009875C4">
        <w:rPr>
          <w:sz w:val="18"/>
          <w:szCs w:val="22"/>
        </w:rPr>
        <w:t xml:space="preserve">Iman Jalaludin Rifa’i et al., </w:t>
      </w:r>
      <w:r w:rsidRPr="009875C4">
        <w:rPr>
          <w:i/>
          <w:iCs/>
          <w:sz w:val="18"/>
          <w:szCs w:val="22"/>
        </w:rPr>
        <w:t>Metodologi Penelitian Hukum</w:t>
      </w:r>
      <w:r w:rsidRPr="009875C4">
        <w:rPr>
          <w:sz w:val="18"/>
          <w:szCs w:val="22"/>
        </w:rPr>
        <w:t xml:space="preserve"> (Sada Kurnia Pustaka, 2023), Page. 7.</w:t>
      </w:r>
      <w:r w:rsidRPr="009875C4">
        <w:rPr>
          <w:sz w:val="18"/>
          <w:szCs w:val="18"/>
        </w:rPr>
        <w:fldChar w:fldCharType="end"/>
      </w:r>
    </w:p>
  </w:footnote>
  <w:footnote w:id="4">
    <w:p w14:paraId="31FD5D52" w14:textId="77777777" w:rsidR="00C56994" w:rsidRPr="00E31A63" w:rsidRDefault="00C56994" w:rsidP="00C56994">
      <w:pPr>
        <w:pStyle w:val="FootnoteText"/>
        <w:jc w:val="both"/>
        <w:rPr>
          <w:sz w:val="18"/>
          <w:szCs w:val="18"/>
        </w:rPr>
      </w:pPr>
      <w:r>
        <w:rPr>
          <w:rStyle w:val="FootnoteReference"/>
        </w:rPr>
        <w:footnoteRef/>
      </w:r>
      <w:r w:rsidRPr="00E31A63">
        <w:rPr>
          <w:sz w:val="18"/>
          <w:szCs w:val="18"/>
        </w:rPr>
        <w:t xml:space="preserve"> </w:t>
      </w:r>
      <w:r w:rsidRPr="00E31A63">
        <w:rPr>
          <w:sz w:val="18"/>
          <w:szCs w:val="18"/>
        </w:rPr>
        <w:fldChar w:fldCharType="begin"/>
      </w:r>
      <w:r w:rsidRPr="00E31A63">
        <w:rPr>
          <w:sz w:val="18"/>
          <w:szCs w:val="18"/>
        </w:rPr>
        <w:instrText xml:space="preserve"> ADDIN ZOTERO_ITEM CSL_CITATION {"citationID":"BbR0RNiS","properties":{"formattedCitation":"Nurfatmala et al., \\uc0\\u8220{}PERAN PENTING PERDAGANGAN INTERNASIONAL TERHADAP EKSPOR DI INDONESIA,\\uc0\\u8221{} {\\i{}November 2023} 1, no. 2 (n.d.), https://jurnalistiqomah.org/index.php/jemb/article/view/178/174.","plainCitation":"Nurfatmala et al., “PERAN PENTING PERDAGANGAN INTERNASIONAL TERHADAP EKSPOR DI INDONESIA,” November 2023 1, no. 2 (n.d.), https://jurnalistiqomah.org/index.php/jemb/article/view/178/174.","noteIndex":4},"citationItems":[{"id":65,"uris":["http://zotero.org/users/local/oyRLcVte/items/EL9HFGQD"],"itemData":{"id":65,"type":"article-journal","abstract":"Perdagangan  internasional  merupakan  kegiatan  pertukaran  yang  dilakukan  suatu  negara  dengan negara lain berdasarkan legalitas perjanjian timbal balik. Selain itu, perdagangan internasional juga memfasilitasi  tingkat  industrialisasi  yang  lebih  tinggi,  perkembangan  transportasi,  globalisasi,  dan kehadiran  perusahaan  multinasional.  Oleh  karena  itu,  tidak  dapat  dipungkiri  bahwa  perdagangan internasional merupakan salah satu aspek yang mempunyai dampak signifikan terhadap pertumbuhan perekonomian  suatu  negara.  Penelitian  ini  bertujuan  untuk  mengetahui  peran  penting  perdagangan internasional terhadap ekspor di Indonesia. Dalam penelitian ini, metode yang penulis gunakan adalah metode penelitian deskrptif kualiatif. Metode penelitian deskriptif kualitatif diartikan sebagai metode yang fokus pada pengamatan yang mendalam. Oleh karenanya, kegunaan metode kualitatif ini dalam penelitian  dapat  menghasikan  kajian  atau  suatu  fenomena  yang  lebih  kompherensif.  Secara  umum perdagangan internasional diartikan sebagai kegiatan impor dan ekspor antar negara. Perdagangan internasional, seperti impor dan ekspor, bisa menjadi mesin pertumbuhan ekonomi. Keuntungan nyata dari  perdagangan  Internasional  dapat  mencakup  peningkatan  pendapatan  pemerintah,  cadangan devisa, negosiasi dan peningkatan permintaan tenaga kerja. Perdagangan internasional di Indonesia sendiri  memegang  peranan  yang  sangat  penting  dalam  proses  pembangunan  baik  secara  langsung maupun tidak langsung. Perdagangan internasional menguntungkan perekonomian nasional, Namun dalam proses ini kita selalu menemui dinamika realistis yang tidak dapat dicapai, yakni upaya-upaya yang   menghambat   proses   perdagangan   internasional.   Masalah   terbesar   dalam   perdagangan internasional adalah hambatan bea cukai dan non-tarif yang ditetapkan oleh negara itu sendiri.Secara umum   perdagangan   internasional   diartikan   sebagai   kegiatan   impor   dan   ekspor   antar   negara. Perdagangan  internasional,  seperti  impor  dan  ekspor,  bisa  menjadi  mesin  pertumbuhan  ekonomi. Keuntungan   nyata   dari   perdagangan   Internasional   dapat   mencakup   peningkatan   pendapatan pemerintah,  cadangan  devisa,  negosiasi  dan  peningkatan  permintaan  tenaga  kerja.  Perdagangan internasional   di    Indonesia    sendiri    memegang    peranan    yang    sangat    penting    dalam   proses pembangunan baik secara langsung maupun tidak langsung.Kata kunci:Perdagangan, Ekspor, Pertumbuhan","container-title":"November 2023","issue":"2","journalAbbreviation":"Jurnal Ekonomi Manajemen Dan Bisnis","title":"PERAN PENTING PERDAGANGAN INTERNASIONAL TERHADAP EKSPOR DI INDONESIA","URL":"https://jurnalistiqomah.org/index.php/jemb/article/view/178/174","volume":"1","author":[{"literal":"Nurfatmala"},{"literal":"Siti Camila Nurpadillah"},{"literal":"Rihaadatul Aisy Adawiyyah"},{"literal":"Rasidah Novita Sar"}]}}],"schema":"https://github.com/citation-style-language/schema/raw/master/csl-citation.json"} </w:instrText>
      </w:r>
      <w:r w:rsidRPr="00E31A63">
        <w:rPr>
          <w:sz w:val="18"/>
          <w:szCs w:val="18"/>
        </w:rPr>
        <w:fldChar w:fldCharType="separate"/>
      </w:r>
      <w:r w:rsidRPr="00E31A63">
        <w:rPr>
          <w:sz w:val="18"/>
          <w:szCs w:val="22"/>
        </w:rPr>
        <w:t xml:space="preserve">Nurfatmala et al., “PERAN PENTING PERDAGANGAN INTERNASIONAL TERHADAP EKSPOR DI INDONESIA,” </w:t>
      </w:r>
      <w:r w:rsidRPr="00E31A63">
        <w:rPr>
          <w:i/>
          <w:iCs/>
          <w:sz w:val="18"/>
          <w:szCs w:val="22"/>
        </w:rPr>
        <w:t>November 2023</w:t>
      </w:r>
      <w:r w:rsidRPr="00E31A63">
        <w:rPr>
          <w:sz w:val="18"/>
          <w:szCs w:val="22"/>
        </w:rPr>
        <w:t xml:space="preserve"> 1, no. 2 (n.d.), https://jurnalistiqomah.org/index.php/jemb/article/view/178/174.</w:t>
      </w:r>
      <w:r w:rsidRPr="00E31A63">
        <w:rPr>
          <w:sz w:val="18"/>
          <w:szCs w:val="18"/>
        </w:rPr>
        <w:fldChar w:fldCharType="end"/>
      </w:r>
    </w:p>
  </w:footnote>
  <w:footnote w:id="5">
    <w:p w14:paraId="5FF1D540" w14:textId="77777777" w:rsidR="00C56994" w:rsidRPr="00982158" w:rsidRDefault="00C56994" w:rsidP="00C56994">
      <w:pPr>
        <w:pStyle w:val="FootnoteText"/>
        <w:jc w:val="both"/>
      </w:pPr>
      <w:r w:rsidRPr="00E31A63">
        <w:rPr>
          <w:rStyle w:val="FootnoteReference"/>
          <w:sz w:val="18"/>
          <w:szCs w:val="18"/>
        </w:rPr>
        <w:footnoteRef/>
      </w:r>
      <w:r w:rsidRPr="00E31A63">
        <w:rPr>
          <w:sz w:val="18"/>
          <w:szCs w:val="18"/>
        </w:rPr>
        <w:t xml:space="preserve"> </w:t>
      </w:r>
      <w:r w:rsidRPr="00E31A63">
        <w:rPr>
          <w:sz w:val="18"/>
          <w:szCs w:val="18"/>
        </w:rPr>
        <w:fldChar w:fldCharType="begin"/>
      </w:r>
      <w:r w:rsidRPr="00E31A63">
        <w:rPr>
          <w:sz w:val="18"/>
          <w:szCs w:val="18"/>
        </w:rPr>
        <w:instrText xml:space="preserve"> ADDIN ZOTERO_ITEM CSL_CITATION {"citationID":"LdTLPvgh","properties":{"formattedCitation":"Muhammad Syafi\\uc0\\u8217{}i, Lela Nurlaela Wati, and Rini Yayuk Priyati, \\uc0\\u8220{}PENGARUH FASILITAS KEPABEANAN TERHADAP NILAI EKSPOR DAN KINERJA KEUANGAN PERUSAHAAN,\\uc0\\u8221{} 2023, Page. 66.","plainCitation":"Muhammad Syafi’i, Lela Nurlaela Wati, and Rini Yayuk Priyati, “PENGARUH FASILITAS KEPABEANAN TERHADAP NILAI EKSPOR DAN KINERJA KEUANGAN PERUSAHAAN,” 2023, Page. 66.","noteIndex":5},"citationItems":[{"id":76,"uris":["http://zotero.org/users/local/oyRLcVte/items/EDBLEITL"],"itemData":{"id":76,"type":"article-journal","abstract":"The purpose of this research is to obtain empirical evidence of the direct effect of customs facilities on export and financial performance, the effect of export value on financial performance, and the indirect effect of customs facilities on financial performance through export. The variables used consist of independent variables (bonded zone facilities, import facilities for export purposes, and export value), dependent variable (export value and financial performance), and intervening variable (export value). Manufacturing companies that are listed on the Indonesia Stock Exchange and carry out export and import activities in a sustainable manner in the period 2017 to 2020 will be the research population. The sample tested is 33 companies, with test data in the form of panel data. In this study, the panel data model was selected and it was concluded that the estimation of the Generalized Least Square Model was better than the other models. From the test results, there is evidence that customs facilities have a significant positive effect on export and financial performance, while export value has a significant negative effect on financial performance. To test the indirect effect of customs facilities on financial performance, Sobel test analysis is used. Based on the Sobel test results, there is evidence that customs facilities have a significant negative indirect effect on financial performance. The results of the test on the direct effect of customs facilities on exports and financial performance support the theory of international trade, while the effect of exports on financial performance and the indirect effect of customs facilities on financial performance state the opposite results.","language":"id","source":"Zotero","title":"PENGARUH FASILITAS KEPABEANAN TERHADAP NILAI EKSPOR DAN KINERJA KEUANGAN PERUSAHAAN","author":[{"family":"Syafi’i","given":"Muhammad"},{"family":"Wati","given":"Lela Nurlaela"},{"family":"Priyati","given":"Rini Yayuk"}],"issued":{"date-parts":[["2023"]]}},"locator":"Page. 66","label":"page"}],"schema":"https://github.com/citation-style-language/schema/raw/master/csl-citation.json"} </w:instrText>
      </w:r>
      <w:r w:rsidRPr="00E31A63">
        <w:rPr>
          <w:sz w:val="18"/>
          <w:szCs w:val="18"/>
        </w:rPr>
        <w:fldChar w:fldCharType="separate"/>
      </w:r>
      <w:r w:rsidRPr="00E31A63">
        <w:rPr>
          <w:sz w:val="18"/>
          <w:szCs w:val="22"/>
        </w:rPr>
        <w:t>Muhammad Syafi’i, Lela Nurlaela Wati, and Rini Yayuk Priyati, “PENGARUH FASILITAS KEPABEANAN TERHADAP NILAI EKSPOR DAN KINERJA KEUANGAN PERUSAHAAN,” 2023, Page. 66.</w:t>
      </w:r>
      <w:r w:rsidRPr="00E31A63">
        <w:rPr>
          <w:sz w:val="18"/>
          <w:szCs w:val="18"/>
        </w:rPr>
        <w:fldChar w:fldCharType="end"/>
      </w:r>
    </w:p>
  </w:footnote>
  <w:footnote w:id="6">
    <w:p w14:paraId="5B8ED682" w14:textId="77777777" w:rsidR="00C56994" w:rsidRPr="00E31A63" w:rsidRDefault="00C56994" w:rsidP="00C56994">
      <w:pPr>
        <w:pStyle w:val="FootnoteText"/>
        <w:jc w:val="both"/>
        <w:rPr>
          <w:sz w:val="18"/>
          <w:szCs w:val="18"/>
        </w:rPr>
      </w:pPr>
      <w:r w:rsidRPr="00E31A63">
        <w:rPr>
          <w:rStyle w:val="FootnoteReference"/>
          <w:sz w:val="18"/>
          <w:szCs w:val="18"/>
        </w:rPr>
        <w:footnoteRef/>
      </w:r>
      <w:r w:rsidRPr="00E31A63">
        <w:rPr>
          <w:sz w:val="18"/>
          <w:szCs w:val="18"/>
        </w:rPr>
        <w:t xml:space="preserve"> </w:t>
      </w:r>
      <w:r w:rsidRPr="00E31A63">
        <w:rPr>
          <w:sz w:val="18"/>
          <w:szCs w:val="18"/>
        </w:rPr>
        <w:fldChar w:fldCharType="begin"/>
      </w:r>
      <w:r w:rsidRPr="00E31A63">
        <w:rPr>
          <w:sz w:val="18"/>
          <w:szCs w:val="18"/>
        </w:rPr>
        <w:instrText xml:space="preserve"> ADDIN ZOTERO_ITEM CSL_CITATION {"citationID":"N0q3pAgm","properties":{"formattedCitation":"\\uc0\\u8220{}In Search of Ummah Welfare Model: The Revitalisation of Sharia Economic Law in Indonesia | Hariyanto | Sriwijaya Law Review,\\uc0\\u8221{} Page. 245, accessed January 15, 2024, http://journal.fh.unsri.ac.id/index.php/sriwijayalawreview/article/view/1080.","plainCitation":"“In Search of Ummah Welfare Model: The Revitalisation of Sharia Economic Law in Indonesia | Hariyanto | Sriwijaya Law Review,” Page. 245, accessed January 15, 2024, http://journal.fh.unsri.ac.id/index.php/sriwijayalawreview/article/view/1080.","noteIndex":6},"citationItems":[{"id":130,"uris":["http://zotero.org/users/local/oyRLcVte/items/I3CDWIYY"],"itemData":{"id":130,"type":"webpage","title":"In Search of Ummah Welfare Model: The Revitalisation of Sharia Economic Law in Indonesia | Hariyanto | Sriwijaya Law Review","URL":"http://journal.fh.unsri.ac.id/index.php/sriwijayalawreview/article/view/1080","accessed":{"date-parts":[["2024",1,15]]}},"locator":"Page. 245","label":"page"}],"schema":"https://github.com/citation-style-language/schema/raw/master/csl-citation.json"} </w:instrText>
      </w:r>
      <w:r w:rsidRPr="00E31A63">
        <w:rPr>
          <w:sz w:val="18"/>
          <w:szCs w:val="18"/>
        </w:rPr>
        <w:fldChar w:fldCharType="separate"/>
      </w:r>
      <w:r w:rsidRPr="00E31A63">
        <w:rPr>
          <w:sz w:val="18"/>
          <w:szCs w:val="22"/>
        </w:rPr>
        <w:t>“In Search of Ummah Welfare Model: The Revitalisation of Sharia Economic Law in Indonesia | Hariyanto | Sriwijaya Law Review,” Page. 245, accessed January 15, 2024,http://journal.fh.unsri.ac.id/index.php/sriwijayalawreview/article/view/1080.</w:t>
      </w:r>
      <w:r w:rsidRPr="00E31A63">
        <w:rPr>
          <w:sz w:val="18"/>
          <w:szCs w:val="18"/>
        </w:rPr>
        <w:fldChar w:fldCharType="end"/>
      </w:r>
    </w:p>
  </w:footnote>
  <w:footnote w:id="7">
    <w:p w14:paraId="11C82666" w14:textId="77777777" w:rsidR="00C56994" w:rsidRPr="00E31A63" w:rsidRDefault="00C56994" w:rsidP="00C56994">
      <w:pPr>
        <w:pStyle w:val="FootnoteText"/>
        <w:jc w:val="both"/>
      </w:pPr>
      <w:r w:rsidRPr="00E31A63">
        <w:rPr>
          <w:rStyle w:val="FootnoteReference"/>
          <w:sz w:val="18"/>
          <w:szCs w:val="18"/>
        </w:rPr>
        <w:footnoteRef/>
      </w:r>
      <w:r w:rsidRPr="00E31A63">
        <w:rPr>
          <w:sz w:val="18"/>
          <w:szCs w:val="18"/>
        </w:rPr>
        <w:t xml:space="preserve"> </w:t>
      </w:r>
      <w:r w:rsidRPr="00E31A63">
        <w:rPr>
          <w:sz w:val="18"/>
          <w:szCs w:val="18"/>
        </w:rPr>
        <w:fldChar w:fldCharType="begin"/>
      </w:r>
      <w:r w:rsidRPr="00E31A63">
        <w:rPr>
          <w:sz w:val="18"/>
          <w:szCs w:val="18"/>
        </w:rPr>
        <w:instrText xml:space="preserve"> ADDIN ZOTERO_ITEM CSL_CITATION {"citationID":"ot6MaluP","properties":{"formattedCitation":"Krisna Dwipayana Dira Putra, I. Nyoman Sukandia, and I. Made Aditya Mantara Putra, \\uc0\\u8220{}Tinjauan Yuridis Agreement And Responsibility (Perjanjian Dan Tanggung Jawab) Industri Ekspor Kargo Dalam Pengangkutan Melalui Laut,\\uc0\\u8221{} {\\i{}Jurnal Preferensi Hukum} 4, no. 2 (June 14, 2023): 171\\uc0\\u8211{}76, https://doi.org/10.55637/jph.4.2.7144.171-176.","plainCitation":"Krisna Dwipayana Dira Putra, I. Nyoman Sukandia, and I. Made Aditya Mantara Putra, “Tinjauan Yuridis Agreement And Responsibility (Perjanjian Dan Tanggung Jawab) Industri Ekspor Kargo Dalam Pengangkutan Melalui Laut,” Jurnal Preferensi Hukum 4, no. 2 (June 14, 2023): 171–76, https://doi.org/10.55637/jph.4.2.7144.171-176.","noteIndex":7},"citationItems":[{"id":115,"uris":["http://zotero.org/users/local/oyRLcVte/items/2B5ZGH7W"],"itemData":{"id":115,"type":"article-journal","abstract":"Pengangkutan melalui laut merupakan suatu kegiatan perpindahan barang atau penumpang dari suatu tempat ke tempat lainnya dengan menggunakan angkutan laut dan melalui jalur perairan. Dalam kegiatan pengangkutan ini tentu adanya perjanjian dan tanggung jawab yang harus diketahui oleh para pengguna jasanya. Adapun rumusan masalah yaitu: 1) Bagaimana pengaturan hukum mengenai pengangkutan barang melalui laut menurut Hukum Pengangkutan? 2) Bagaimana kedudukan perusahaan cargo dalam memberikan pertanggungjawaban atas kerusakan atau kehilangan barang dalam kegiatan pengangkutan melalui laut? Pada penelitian ini, peneliti menggunakan metode penelitian hukum normatif dengan jenis pendekatan perundang-undangan yang berhubungan dengan isu yang dibahas. Hasil penelitian ini menunjukan hukum pengangkutan barang melalui laut pada dasarnya berlandaskan Kitab Undang-Undang Hukum Dagang (KUHD) dan Kitab Undang-Undang Hukum Perdata (KUHPer), karena semakin berkembangnya pengangkutan maka harus diperlukan upaya hukum untuk melindungi suatu kepentingan dari pihak yang terlibat. Dan dalam tanggung jawab, perusahaan pengangkutan harus bertanggung jawab penuh dari barang atau penumpang yang diangkutnya, sesuai dengan ketentuan yang berlaku.","container-title":"Jurnal Preferensi Hukum","DOI":"10.55637/jph.4.2.7144.171-176","ISSN":"2809-9656","issue":"2","language":"en","license":"Copyright (c) 2023 Jurnal Preferensi Hukum","note":"number: 2","page":"171-176","source":"www.ejournal.warmadewa.ac.id","title":"Tinjauan Yuridis Agreement And Responsibility (Perjanjian Dan Tanggung Jawab) Industri Ekspor Kargo Dalam Pengangkutan Melalui Laut","volume":"4","author":[{"family":"Putra","given":"Krisna Dwipayana Dira"},{"family":"Sukandia","given":"I. Nyoman"},{"family":"Putra","given":"I. Made Aditya Mantara"}],"issued":{"date-parts":[["2023",6,14]]}}}],"schema":"https://github.com/citation-style-language/schema/raw/master/csl-citation.json"} </w:instrText>
      </w:r>
      <w:r w:rsidRPr="00E31A63">
        <w:rPr>
          <w:sz w:val="18"/>
          <w:szCs w:val="18"/>
        </w:rPr>
        <w:fldChar w:fldCharType="separate"/>
      </w:r>
      <w:r w:rsidRPr="00E31A63">
        <w:rPr>
          <w:sz w:val="18"/>
          <w:szCs w:val="22"/>
        </w:rPr>
        <w:t xml:space="preserve">Krisna Dwipayana Dira Putra, I. Nyoman Sukandia, and I. Made Aditya Mantara Putra, “Tinjauan Yuridis Agreement And Responsibility (Perjanjian Dan Tanggung Jawab) Industri Ekspor Kargo Dalam Pengangkutan Melalui Laut,” </w:t>
      </w:r>
      <w:r w:rsidRPr="00E31A63">
        <w:rPr>
          <w:i/>
          <w:iCs/>
          <w:sz w:val="18"/>
          <w:szCs w:val="22"/>
        </w:rPr>
        <w:t>Jurnal Preferensi Hukum</w:t>
      </w:r>
      <w:r w:rsidRPr="00E31A63">
        <w:rPr>
          <w:sz w:val="18"/>
          <w:szCs w:val="22"/>
        </w:rPr>
        <w:t xml:space="preserve"> 4, no. 2 (June 14, 2023): 171-76,https://doi.org/10.55637/jph.4.2.7144.171-176.</w:t>
      </w:r>
      <w:r w:rsidRPr="00E31A63">
        <w:rPr>
          <w:sz w:val="18"/>
          <w:szCs w:val="18"/>
        </w:rPr>
        <w:fldChar w:fldCharType="end"/>
      </w:r>
    </w:p>
  </w:footnote>
  <w:footnote w:id="8">
    <w:p w14:paraId="4675E37B" w14:textId="77777777" w:rsidR="00C56994" w:rsidRPr="00E31A63" w:rsidRDefault="00C56994" w:rsidP="00C56994">
      <w:pPr>
        <w:pStyle w:val="FootnoteText"/>
        <w:jc w:val="both"/>
        <w:rPr>
          <w:sz w:val="18"/>
          <w:szCs w:val="18"/>
        </w:rPr>
      </w:pPr>
      <w:r>
        <w:rPr>
          <w:rStyle w:val="FootnoteReference"/>
        </w:rPr>
        <w:footnoteRef/>
      </w:r>
      <w:r>
        <w:t xml:space="preserve"> </w:t>
      </w:r>
      <w:r w:rsidRPr="00E31A63">
        <w:rPr>
          <w:sz w:val="18"/>
          <w:szCs w:val="18"/>
        </w:rPr>
        <w:fldChar w:fldCharType="begin"/>
      </w:r>
      <w:r w:rsidRPr="00E31A63">
        <w:rPr>
          <w:sz w:val="18"/>
          <w:szCs w:val="18"/>
        </w:rPr>
        <w:instrText xml:space="preserve"> ADDIN ZOTERO_ITEM CSL_CITATION {"citationID":"2GzijMnC","properties":{"formattedCitation":"Kumara Jati, \\uc0\\u8220{}Edukasi Manfaat Keterbukaan Informasi Publik Data Perdagangan,\\uc0\\u8221{} {\\i{}Prosiding Seminar Nasional ADPI Mengabdi Untuk Negeri} 3, no. 2 (March 30, 2023): Page 5, https://doi.org/10.47841/semnasadpi.v3i2.63.","plainCitation":"Kumara Jati, “Edukasi Manfaat Keterbukaan Informasi Publik Data Perdagangan,” Prosiding Seminar Nasional ADPI Mengabdi Untuk Negeri 3, no. 2 (March 30, 2023): Page 5, https://doi.org/10.47841/semnasadpi.v3i2.63.","noteIndex":8},"citationItems":[{"id":107,"uris":["http://zotero.org/users/local/oyRLcVte/items/FH6R5I9Y"],"itemData":{"id":107,"type":"article-journal","abstract":"Edukasi dari pemerintah kepada masyarakat diperlukan dalam rangka sosialisasi kebijakan yang telah dilakukan. Adanya kewajiban Badan Publik memberikan akses Keterbukaan Informasi Publik (KIP) dapat memberikan pengetahuan baru untuk bisa melihat peluang yang ada. Salah satu variabel penting dalam perekonomian yang diperlukan yaitu data perdagangan (Seperti Informasi Statistik dan Regulasi Perdagangan). Berdasarkan Studi Literatur terdapat beberapa regulasi yang mengatur tentang Keterbukaan Informasi Publik (KIP) Perdagangan, diantaranya yaitu: 1) Permendag Nomor 52/2022 tentang Pedoman Layanan Informasi Publik Pejabat Pengelola Informasi dan Dokumentasi di Lingkungan Kementerian Perdagangan, dan 2) Peraturan Pemerintah Nomor 61/2010 tentang Pelaksanaan UU Nomor 14 Tahun 2008 tentang Keterbukaan Informasi Publik. Terdapat data perdagangan yang strategis sudah diumumkan secara berkala dalam bentuk dokumen digital dan dokumen non-digital melalui Pengumuman Informasi Publik seperti: 1)laman Pejabat Pengelola Informasi dan Dokumentasi (PPID) dan laman resmi Kementerian Perdagangan, 2)media sosial PPID, 3)portal Satu Data Indonesia serta 4)Aplikasi berbasis Teknologi Informasi. Data perdagangan dalam negeri dan perdagangan luar negeri yang tersedia dari Badan Publik seperti Kementerian Perdagangan sangat berguna dalam rangka edukasi serta pengkajian/penelitian untuk dapat melihat kondisi dan situasi terkini serta memprediksi yang akan terjadi di masa yang akan datang. Apabila ada pihak yang menginginkan Data dan Dokumentasi tertentu kepada Badan Publik tetapi belum terdapat di Pengumuman Informasi Publik, maka para pihak bisa mengajukan permohonan secara tertulis melalui mekanisme yang ditentukan. Perlu adanya inovasi lebih lanjut dalam rangka memperluas jangkauan target internasional pengguna informasi publik terutama data perdagangan seperti menggunakan Bahasa Inggris dan data perdagangan internasional yang bisa bermanfaat bagi edukasi di Indonesia.","container-title":"Prosiding Seminar Nasional ADPI Mengabdi Untuk Negeri","DOI":"10.47841/semnasadpi.v3i2.63","ISSN":"2746-1246","issue":"2","language":"en","license":"Copyright (c) 2023 Prosiding Seminar Nasional ADPI Mengabdi Untuk Negeri","note":"number: 2","page":"1-12","source":"prosiding.adpi-indonesia.id","title":"Edukasi Manfaat Keterbukaan Informasi Publik Data Perdagangan","volume":"3","author":[{"family":"Jati","given":"Kumara"}],"issued":{"date-parts":[["2023",3,30]]}},"locator":"Page 5","label":"page"}],"schema":"https://github.com/citation-style-language/schema/raw/master/csl-citation.json"} </w:instrText>
      </w:r>
      <w:r w:rsidRPr="00E31A63">
        <w:rPr>
          <w:sz w:val="18"/>
          <w:szCs w:val="18"/>
        </w:rPr>
        <w:fldChar w:fldCharType="separate"/>
      </w:r>
      <w:r w:rsidRPr="00E31A63">
        <w:rPr>
          <w:sz w:val="18"/>
          <w:szCs w:val="22"/>
        </w:rPr>
        <w:t xml:space="preserve">Kumara Jati, “Edukasi Manfaat Keterbukaan Informasi Publik Data Perdagangan,” </w:t>
      </w:r>
      <w:r w:rsidRPr="00E31A63">
        <w:rPr>
          <w:i/>
          <w:iCs/>
          <w:sz w:val="18"/>
          <w:szCs w:val="22"/>
        </w:rPr>
        <w:t>Prosiding Seminar Nasional ADPI Mengabdi Untuk Negeri</w:t>
      </w:r>
      <w:r w:rsidRPr="00E31A63">
        <w:rPr>
          <w:sz w:val="18"/>
          <w:szCs w:val="22"/>
        </w:rPr>
        <w:t xml:space="preserve"> 3, no. 2 (March 30, 2023): Page 5, https://doi.org/10.47841/semnasadpi.v3i2.63.</w:t>
      </w:r>
      <w:r w:rsidRPr="00E31A63">
        <w:rPr>
          <w:sz w:val="18"/>
          <w:szCs w:val="18"/>
        </w:rPr>
        <w:fldChar w:fldCharType="end"/>
      </w:r>
    </w:p>
  </w:footnote>
  <w:footnote w:id="9">
    <w:p w14:paraId="33A4CA03" w14:textId="77777777" w:rsidR="00C56994" w:rsidRPr="00E31A63" w:rsidRDefault="00C56994" w:rsidP="00C56994">
      <w:pPr>
        <w:pStyle w:val="FootnoteText"/>
        <w:jc w:val="both"/>
        <w:rPr>
          <w:sz w:val="18"/>
          <w:szCs w:val="18"/>
        </w:rPr>
      </w:pPr>
      <w:r w:rsidRPr="00E31A63">
        <w:rPr>
          <w:rStyle w:val="FootnoteReference"/>
          <w:sz w:val="18"/>
          <w:szCs w:val="18"/>
        </w:rPr>
        <w:footnoteRef/>
      </w:r>
      <w:r w:rsidRPr="00E31A63">
        <w:rPr>
          <w:sz w:val="18"/>
          <w:szCs w:val="18"/>
        </w:rPr>
        <w:t xml:space="preserve"> </w:t>
      </w:r>
      <w:r w:rsidRPr="00E31A63">
        <w:rPr>
          <w:sz w:val="18"/>
          <w:szCs w:val="18"/>
        </w:rPr>
        <w:fldChar w:fldCharType="begin"/>
      </w:r>
      <w:r w:rsidRPr="00E31A63">
        <w:rPr>
          <w:sz w:val="18"/>
          <w:szCs w:val="18"/>
        </w:rPr>
        <w:instrText xml:space="preserve"> ADDIN ZOTERO_ITEM CSL_CITATION {"citationID":"65P9apDe","properties":{"formattedCitation":"Fauzan Haqiqi, Mira Santika, and Yusmalina, \\uc0\\u8220{}ANALISIS PENGARUH REALISASI PENERIMAAN BEA MASUK TERHADAP TARGET PENERIMAAN BEA MASUK (PADA KANTOR PENGAWASAN DAN PELAYANAN BEA CUKAI TIPE MADYA B TANJUNG BALAI KARIMUN PERIODE 2017-2019),\\uc0\\u8221{} {\\i{}JURNAL CAFETARIA} 2, no. 1 (January 30, 2021): Page 629, https://doi.org/10.51742/akuntansi.v2i1.282.","plainCitation":"Fauzan Haqiqi, Mira Santika, and Yusmalina, “ANALISIS PENGARUH REALISASI PENERIMAAN BEA MASUK TERHADAP TARGET PENERIMAAN BEA MASUK (PADA KANTOR PENGAWASAN DAN PELAYANAN BEA CUKAI TIPE MADYA B TANJUNG BALAI KARIMUN PERIODE 2017-2019),” JURNAL CAFETARIA 2, no. 1 (January 30, 2021): Page 629, https://doi.org/10.51742/akuntansi.v2i1.282.","noteIndex":9},"citationItems":[{"id":8,"uris":["http://zotero.org/users/local/oyRLcVte/items/HNDKA2GU"],"itemData":{"id":8,"type":"article-journal","abstract":"Penelitian ini dilakukan dengan menggunakan metode kuantitatif bertujuan untuk mengetahui realisasi penerimanaan bea masuk terhadap target penerimaan bea masuk Pada Kantor Pengawasan dan Pelayanan Bea dan Cukai Tipe Madya B Tanjung Balai Karimun Tahun 2017-2019. Variabel dependen dalam penelitian adalah target penerimaan bea masuk  sedangkan dalam  variabel independen penelitian ini adalah realisasi penerimaaan bea masuk.Populasi dalam penelitian ini adalah data laporan realisasi 3 tahun penerimaan bea masuk dan target penerimaan bea masuk tahun 2017-2019 yang berjumlah 36 data, dengan sampel berjumlah 33 data sampel penelitian. Adapun teknik analisis data yang digunakan dalam penelitian ini adalah analisis regresi linier sederhana, uji asumsi klasik (normalitas dan heteroskedastisitas), hipotesisuji t (uji signifikan secara parsial) dan uji koefisien determinasi R2.Hasil penelitian ini menunjukkan bahwa secara parsial variabel realisasi penerimaan bea masuk (X) mempunyai pengaruh yang tidak terlalu signifikan terhadap variabel target penerimaan bea masuk (Y) dimana diperoleh hasil uji t thitung 2,048 &gt; ttabel 2.039 yang demikian H0 ditolak dan Ha diterima.","container-title":"JURNAL CAFETARIA","DOI":"10.51742/akuntansi.v2i1.282","ISSN":"2721-0553","issue":"1","journalAbbreviation":"JC","page":"48-61","source":"DOI.org (Crossref)","title":"ANALISIS PENGARUH REALISASI PENERIMAAN BEA MASUK TERHADAP TARGET PENERIMAAN BEA MASUK (PADA KANTOR PENGAWASAN DAN PELAYANAN BEA CUKAI TIPE MADYA B TANJUNG BALAI KARIMUN PERIODE 2017-2019)","volume":"2","author":[{"family":"Haqiqi","given":"Fauzan"},{"family":"Santika","given":"Mira"},{"literal":"Yusmalina"}],"issued":{"date-parts":[["2021",1,30]]}},"locator":"Page 629","label":"page"}],"schema":"https://github.com/citation-style-language/schema/raw/master/csl-citation.json"} </w:instrText>
      </w:r>
      <w:r w:rsidRPr="00E31A63">
        <w:rPr>
          <w:sz w:val="18"/>
          <w:szCs w:val="18"/>
        </w:rPr>
        <w:fldChar w:fldCharType="separate"/>
      </w:r>
      <w:r w:rsidRPr="00E31A63">
        <w:rPr>
          <w:sz w:val="18"/>
          <w:szCs w:val="22"/>
        </w:rPr>
        <w:t xml:space="preserve">Fauzan Haqiqi, Mira Santika, and Yusmalina, “ANALISIS PENGARUH REALISASI PENERIMAAN BEA MASUK TERHADAP TARGET PENERIMAAN BEA MASUK (PADA KANTOR PENGAWASAN DAN PELAYANAN BEA CUKAI TIPE MADYA B TANJUNG BALAI KARIMUN PERIODE 2017-2019),” </w:t>
      </w:r>
      <w:r w:rsidRPr="00E31A63">
        <w:rPr>
          <w:i/>
          <w:iCs/>
          <w:sz w:val="18"/>
          <w:szCs w:val="22"/>
        </w:rPr>
        <w:t>JURNAL CAFETARIA</w:t>
      </w:r>
      <w:r w:rsidRPr="00E31A63">
        <w:rPr>
          <w:sz w:val="18"/>
          <w:szCs w:val="22"/>
        </w:rPr>
        <w:t xml:space="preserve"> 2, no. 1 (January 30, 2021): Page 629, https://doi.org/10.51742/akuntansi.v2i1.282.</w:t>
      </w:r>
      <w:r w:rsidRPr="00E31A63">
        <w:rPr>
          <w:sz w:val="18"/>
          <w:szCs w:val="18"/>
        </w:rPr>
        <w:fldChar w:fldCharType="end"/>
      </w:r>
    </w:p>
  </w:footnote>
  <w:footnote w:id="10">
    <w:p w14:paraId="53E6B73F" w14:textId="77777777" w:rsidR="00C56994" w:rsidRPr="00E31A63" w:rsidRDefault="00C56994" w:rsidP="00C56994">
      <w:pPr>
        <w:pStyle w:val="FootnoteText"/>
        <w:jc w:val="both"/>
      </w:pPr>
      <w:r w:rsidRPr="00E31A63">
        <w:rPr>
          <w:rStyle w:val="FootnoteReference"/>
          <w:sz w:val="18"/>
          <w:szCs w:val="18"/>
        </w:rPr>
        <w:footnoteRef/>
      </w:r>
      <w:r w:rsidRPr="00E31A63">
        <w:rPr>
          <w:sz w:val="18"/>
          <w:szCs w:val="18"/>
        </w:rPr>
        <w:t xml:space="preserve"> </w:t>
      </w:r>
      <w:r w:rsidRPr="00E31A63">
        <w:rPr>
          <w:sz w:val="18"/>
          <w:szCs w:val="18"/>
        </w:rPr>
        <w:fldChar w:fldCharType="begin"/>
      </w:r>
      <w:r w:rsidRPr="00E31A63">
        <w:rPr>
          <w:sz w:val="18"/>
          <w:szCs w:val="18"/>
        </w:rPr>
        <w:instrText xml:space="preserve"> ADDIN ZOTERO_ITEM CSL_CITATION {"citationID":"YFCib5jd","properties":{"formattedCitation":"Natasya Kinski, Ahmad Albar Tanjung, and Sukardi, \\uc0\\u8220{}Analisis Pengaruh Ekspor Dan Impor Terhadap Pertumbuhan Ekonomi Di Indonesia Tahun 2018 \\uc0\\u8211{} 2022,\\uc0\\u8221{} {\\i{}Ganaya\\uc0\\u8239{}: Jurnal Ilmu Sosial Dan Humaniora} 6, no. 3 (July 2, 2023): Page 570, https://doi.org/10.37329/ganaya.v6i3.2498.","plainCitation":"Natasya Kinski, Ahmad Albar Tanjung, and Sukardi, “Analisis Pengaruh Ekspor Dan Impor Terhadap Pertumbuhan Ekonomi Di Indonesia Tahun 2018 – 2022,” Ganaya : Jurnal Ilmu Sosial Dan Humaniora 6, no. 3 (July 2, 2023): Page 570, https://doi.org/10.37329/ganaya.v6i3.2498.","noteIndex":10},"citationItems":[{"id":113,"uris":["http://zotero.org/users/local/oyRLcVte/items/5YIBCDC3"],"itemData":{"id":113,"type":"article-journal","abstract":"This study aims to analyze the effect of exports and imports before and after the COVID-19 Pandemic. The decline in export-import activities due to the COVID-19 pandemic has hurt Indonesia, where exports in 2020 compared to 2019 have decreased by 2.68 percent. In addition there are war between Rusia and Ukraine which gives effect to our Intrenational trade. This research was conducted using a quantitative method with export, import and economic growth variables in Indonesia from 2018 to 2020 by using data panel regression methods. Data was obtained from various sources in the form of journals and books along with publication data from the Indonesian Central Bureau of Statistics.  The results of the study show economic growth affected by exports and import by 76.25%. Exports have a negative and significant effect on economic growth.  Meanwhile, imports have a positive and significant effect on economic growth. Exports and imports of goods and services during the pandemic era had a major impact on the Indonesia economy, proven by the 2.07% decline in gross domestic product in 2020. War Russia and Ukraine did not have a big impact because it benefited Indonesia in terms of oil exports to international markets, but the quality of goods and services needed to be improved in order to compete in international markets. And imports need to be controlled so that the balance of trade is not disrupted and the production of goods and services in Indonesia is still fulfilled.","container-title":"Ganaya : Jurnal Ilmu Sosial dan Humaniora","DOI":"10.37329/ganaya.v6i3.2498","ISSN":"2615-0913","issue":"3","language":"en","license":"Copyright (c) 2023 Natasya  Kinski, Ahmad Albar  Tanjung, Sukardi (Author)","note":"number: 3","page":"568-578","source":"jayapanguspress.penerbit.org","title":"Analisis Pengaruh Ekspor dan Impor Terhadap Pertumbuhan Ekonomi di Indonesia Tahun 2018 – 2022","volume":"6","author":[{"family":"Kinski","given":"Natasya"},{"family":"Tanjung","given":"Ahmad Albar"},{"family":"Sukardi","given":""}],"issued":{"date-parts":[["2023",7,2]]}},"locator":"Page 570","label":"page"}],"schema":"https://github.com/citation-style-language/schema/raw/master/csl-citation.json"} </w:instrText>
      </w:r>
      <w:r w:rsidRPr="00E31A63">
        <w:rPr>
          <w:sz w:val="18"/>
          <w:szCs w:val="18"/>
        </w:rPr>
        <w:fldChar w:fldCharType="separate"/>
      </w:r>
      <w:r w:rsidRPr="00E31A63">
        <w:rPr>
          <w:sz w:val="18"/>
          <w:szCs w:val="22"/>
        </w:rPr>
        <w:t xml:space="preserve">Natasya Kinski, Ahmad Albar Tanjung, and Sukardi, “Analisis Pengaruh Ekspor Dan Impor Terhadap Pertumbuhan Ekonomi Di Indonesia Tahun 2018 – 2022,” </w:t>
      </w:r>
      <w:r w:rsidRPr="00E31A63">
        <w:rPr>
          <w:i/>
          <w:iCs/>
          <w:sz w:val="18"/>
          <w:szCs w:val="22"/>
        </w:rPr>
        <w:t>Ganaya : Jurnal Ilmu Sosial Dan Humaniora</w:t>
      </w:r>
      <w:r w:rsidRPr="00E31A63">
        <w:rPr>
          <w:sz w:val="18"/>
          <w:szCs w:val="22"/>
        </w:rPr>
        <w:t xml:space="preserve"> 6, no. 3 (July 2, 2023): Page 570, https://doi.org/10.37329/ganaya.v6i3.2498.</w:t>
      </w:r>
      <w:r w:rsidRPr="00E31A63">
        <w:rPr>
          <w:sz w:val="18"/>
          <w:szCs w:val="18"/>
        </w:rPr>
        <w:fldChar w:fldCharType="end"/>
      </w:r>
    </w:p>
  </w:footnote>
  <w:footnote w:id="11">
    <w:p w14:paraId="5510C3C7" w14:textId="77777777" w:rsidR="00C56994" w:rsidRPr="00983C9F" w:rsidRDefault="00C56994" w:rsidP="00C56994">
      <w:pPr>
        <w:pStyle w:val="FootnoteText"/>
        <w:jc w:val="both"/>
      </w:pPr>
      <w:r w:rsidRPr="00983C9F">
        <w:rPr>
          <w:rStyle w:val="FootnoteReference"/>
          <w:sz w:val="18"/>
          <w:szCs w:val="18"/>
        </w:rPr>
        <w:footnoteRef/>
      </w:r>
      <w:r w:rsidRPr="00983C9F">
        <w:rPr>
          <w:sz w:val="18"/>
          <w:szCs w:val="18"/>
        </w:rPr>
        <w:t xml:space="preserve"> </w:t>
      </w:r>
      <w:r w:rsidRPr="00983C9F">
        <w:rPr>
          <w:sz w:val="18"/>
          <w:szCs w:val="18"/>
        </w:rPr>
        <w:fldChar w:fldCharType="begin"/>
      </w:r>
      <w:r w:rsidRPr="00983C9F">
        <w:rPr>
          <w:sz w:val="18"/>
          <w:szCs w:val="18"/>
        </w:rPr>
        <w:instrText xml:space="preserve"> ADDIN ZOTERO_ITEM CSL_CITATION {"citationID":"NTJBgmXo","properties":{"formattedCitation":"R. Tria Flamitha et al., \\uc0\\u8220{}Analisis Yuridis Pengguna Jasa Ekspedisi Terhadap Barang Kiriman Yang Tidak Dapat Dikeluarkan Petugas Bea Dan Cukai Di Free Trade Zone,\\uc0\\u8221{} {\\i{}Jurnal Studi Multidisiplin Ilmu} 1, no. 2 (November 2, 2023): Page 75, https://doi.org/10.35912/jasmi.v1i2.2523.","plainCitation":"R. Tria Flamitha et al., “Analisis Yuridis Pengguna Jasa Ekspedisi Terhadap Barang Kiriman Yang Tidak Dapat Dikeluarkan Petugas Bea Dan Cukai Di Free Trade Zone,” Jurnal Studi Multidisiplin Ilmu 1, no. 2 (November 2, 2023): Page 75, https://doi.org/10.35912/jasmi.v1i2.2523.","noteIndex":11},"citationItems":[{"id":117,"uris":["http://zotero.org/users/local/oyRLcVte/items/I7GJPHYU"],"itemData":{"id":117,"type":"article-journal","abstract":"Purpose: The aim of this research is to find out the legal regulations for users of expedition services for goods that cannot be released by customs and excise officers in the Free Trade Zone (FTZ) area, and how they are implemented, obstacle factors and efforts of users of expedition services for goods.\nResearch methodology: The research method for this thesis is normative juridical (legal research) through literature study with an empirical juridical approach (sociological juridical) through field studies aimed at gaining legal knowledge empirically.\nResults: The research results show that legal regulations for expedition service users in the case of goods that cannot be released by Customs and Excise officers in the Free Trade Zone (FTZ) area are regulated based on Article 16 of Law Number 17 of 2006 concerning Customs and also Article 20 paragraph ( 1) Regulation of the Minister of Finance of the Republic of Indonesia Number: 199 /PMK.Ol0/2019 concerning Customs, Excise and Tax Provisions for the Import of Shipped Goods, which regulates actions to detain shipped goods that do not pay the customs tariff and value as determined.\nLimitation: Implementation of expedition service users for goods that cannot be released by Customs and Excise officers in the Free Trade Zone (FTZ) area, as observed at PT. Batam Branch Logistics Trade Ambassador, demonstrated the complexity involving laws, procedures and economic challenges\nContribution: This research highlights the importance of understanding the legal regulations governing the detention of goods in the FTZ area and the challenges faced by users of expedition services in complying with these regulations.","container-title":"Jurnal Studi Multidisiplin Ilmu","DOI":"10.35912/jasmi.v1i2.2523","ISSN":"3026-7412","issue":"2","language":"en","license":"Copyright (c) 2023 Jurnal Studi Multidisiplin Ilmu","note":"number: 2","page":"69-77","source":"penerbitgoodwood.com","title":"Analisis Yuridis Pengguna Jasa Ekspedisi Terhadap Barang Kiriman yang Tidak Dapat Dikeluarkan Petugas Bea dan Cukai di Free Trade Zone","volume":"1","author":[{"family":"Flamitha","given":"R. Tria"},{"family":"Fadlan","given":"Fadlan"},{"family":"Prasetiasari","given":"Christiani"},{"family":"Erniyanti","given":"Erniyanti"}],"issued":{"date-parts":[["2023",11,2]]}},"locator":"Page 75","label":"page"}],"schema":"https://github.com/citation-style-language/schema/raw/master/csl-citation.json"} </w:instrText>
      </w:r>
      <w:r w:rsidRPr="00983C9F">
        <w:rPr>
          <w:sz w:val="18"/>
          <w:szCs w:val="18"/>
        </w:rPr>
        <w:fldChar w:fldCharType="separate"/>
      </w:r>
      <w:r w:rsidRPr="00983C9F">
        <w:rPr>
          <w:sz w:val="18"/>
          <w:szCs w:val="22"/>
        </w:rPr>
        <w:t xml:space="preserve">R. Tria Flamitha et al., “Analisis Yuridis Pengguna Jasa Ekspedisi Terhadap Barang Kiriman Yang Tidak Dapat Dikeluarkan Petugas Bea Dan Cukai Di Free Trade Zone,” </w:t>
      </w:r>
      <w:r w:rsidRPr="00983C9F">
        <w:rPr>
          <w:i/>
          <w:iCs/>
          <w:sz w:val="18"/>
          <w:szCs w:val="22"/>
        </w:rPr>
        <w:t>Jurnal Studi Multidisiplin Ilmu</w:t>
      </w:r>
      <w:r w:rsidRPr="00983C9F">
        <w:rPr>
          <w:sz w:val="18"/>
          <w:szCs w:val="22"/>
        </w:rPr>
        <w:t xml:space="preserve"> 1, no. 2 (November 2, 2023): Page 75, https://doi.org/10.35912/jasmi.v1i2.2523.</w:t>
      </w:r>
      <w:r w:rsidRPr="00983C9F">
        <w:rPr>
          <w:sz w:val="18"/>
          <w:szCs w:val="18"/>
        </w:rPr>
        <w:fldChar w:fldCharType="end"/>
      </w:r>
    </w:p>
  </w:footnote>
  <w:footnote w:id="12">
    <w:p w14:paraId="7F33859A" w14:textId="77777777" w:rsidR="00C56994" w:rsidRPr="00983C9F" w:rsidRDefault="00C56994" w:rsidP="00C56994">
      <w:pPr>
        <w:pStyle w:val="FootnoteText"/>
        <w:jc w:val="both"/>
      </w:pPr>
      <w:r w:rsidRPr="00983C9F">
        <w:rPr>
          <w:rStyle w:val="FootnoteReference"/>
          <w:sz w:val="18"/>
          <w:szCs w:val="18"/>
        </w:rPr>
        <w:footnoteRef/>
      </w:r>
      <w:r w:rsidRPr="00983C9F">
        <w:rPr>
          <w:sz w:val="18"/>
          <w:szCs w:val="18"/>
        </w:rPr>
        <w:t xml:space="preserve"> </w:t>
      </w:r>
      <w:r w:rsidRPr="00983C9F">
        <w:rPr>
          <w:sz w:val="18"/>
          <w:szCs w:val="18"/>
        </w:rPr>
        <w:fldChar w:fldCharType="begin"/>
      </w:r>
      <w:r w:rsidRPr="00983C9F">
        <w:rPr>
          <w:sz w:val="18"/>
          <w:szCs w:val="18"/>
        </w:rPr>
        <w:instrText xml:space="preserve"> ADDIN ZOTERO_ITEM CSL_CITATION {"citationID":"lQg44NbS","properties":{"formattedCitation":"Hasrul Mahyuzar Melayu, M Anshar, and Bambang Irawadi, \\uc0\\u8220{}Analisis Peranan Pejabat Pemeriksa Dokumen Ekspor Dalam Pencapaian Penerimaan Negara Dibidang Ekspor Pada Kantor Pengawasan dan Pelayanan Bea dan Cukai Tipe Madya Pabean Belawan,\\uc0\\u8221{} . {\\i{}. Juni} 2, no. 1 (2023): Page 155 and 156.","plainCitation":"Hasrul Mahyuzar Melayu, M Anshar, and Bambang Irawadi, “Analisis Peranan Pejabat Pemeriksa Dokumen Ekspor Dalam Pencapaian Penerimaan Negara Dibidang Ekspor Pada Kantor Pengawasan dan Pelayanan Bea dan Cukai Tipe Madya Pabean Belawan,” . . Juni 2, no. 1 (2023): Page 155 and 156.","noteIndex":12},"citationItems":[{"id":60,"uris":["http://zotero.org/users/local/oyRLcVte/items/JXHSUEGV"],"itemData":{"id":60,"type":"article-journal","abstract":"Penelitian ini menggunakan penelitian kualitatif dengan melakukan wawancara secara mendalam kepada para informan yang merupakan pejabat di lingkungan Pada Kantor Pengawasan dan Pelayanan Bea dan Cukai Tipe Madya Pabean Belawan. Peranan Pejabat Pemeriksa Dokumen Ekspor sangat penting Dalam Pencapaian Penerimaan Negara Dibidang Ekspor. Hasil dari penelitian ini menunjukkan bahwa Pejabat Pemeriksa Dokumen pengangkatannya sesuai dengan Keputusan Menteri Keuangan Republik Indonesia Nomor 557/KMK/.04/2002, dengan Jabatan Kepala Seksi atau Kepala Subseksi atau Jabatan Fungsional Pemeriksa Bea dan Cukai atau Pelaksana. Pejabat Pemeriksa Dokumen Ekspor juga melakukan penelitian dokumen ekspor, membuat dan menyerahkan Pemberitahuan Pemeriksaan Barang (PPB) beserta lampirannya kepada Pelaksana Pemeriksa Barang yang ditunjuk sampai dengan penyerahan PEB yang telah dicantumkan hasil pemeriksaan fisik dan kelengkapannya serta Nota Pelayanan Ekspor (NPE), melindungi pemasukan barang yang akan diekspor ke Kawasan Pabean dan/atau pemuatannya ke sarana pengangkut serta sudah bekerja sesuai dengan Undang-Undang Nomor 17 Tahun 2006, Peraturan Menteri Keuangan Nomor 145/PMK.04/2014, Peraturan Direktur Jenderal Bea dan Cukai Nomor PER34/BC/2016 dan Peraturan Direktur Jenderal Bea dan Cukai Nomor P-29/BC/2016. Kantor Pengawasan dan Pelayanan Bea dan Cukai Tipe Madya Pabean Belawan memainkan peranan yang sangat penting dalam usaha Pencapaian Penerimaan Negara Dibidang Ekspor melalui Pejabat Pemeriksa Dokumen.","container-title":". Juni","issue":"1","language":"id","source":"Zotero","title":"Analisis Peranan Pejabat Pemeriksa Dokumen Ekspor Dalam Pencapaian Penerimaan Negara Dibidang Ekspor Pada Kantor Pengawasan dan Pelayanan Bea dan Cukai Tipe Madya Pabean Belawan","volume":"2","author":[{"family":"Melayu","given":"Hasrul Mahyuzar"},{"family":"Anshar","given":"M"},{"family":"Irawadi","given":"Bambang"}],"issued":{"date-parts":[["2023"]]}},"locator":"Page 155 and 156","label":"page"}],"schema":"https://github.com/citation-style-language/schema/raw/master/csl-citation.json"} </w:instrText>
      </w:r>
      <w:r w:rsidRPr="00983C9F">
        <w:rPr>
          <w:sz w:val="18"/>
          <w:szCs w:val="18"/>
        </w:rPr>
        <w:fldChar w:fldCharType="separate"/>
      </w:r>
      <w:r w:rsidRPr="00983C9F">
        <w:rPr>
          <w:sz w:val="18"/>
          <w:szCs w:val="22"/>
        </w:rPr>
        <w:t>Hasrul Mahyuzar Melayu, M Anshar, and Bambang Irawadi, “Analisis Peranan Pejabat Pemeriksa Dokumen Ekspor Dalam Pencapaian Penerimaan Negara Dibidang Ekspor Pada Kantor Pengawasan dan Pelayanan Bea dan Cukai Tipe Madya Pabean Belawan,” . . Juni 2, no. 1 (2023): Page 155 and 156.</w:t>
      </w:r>
      <w:r w:rsidRPr="00983C9F">
        <w:rPr>
          <w:sz w:val="18"/>
          <w:szCs w:val="18"/>
        </w:rPr>
        <w:fldChar w:fldCharType="end"/>
      </w:r>
    </w:p>
  </w:footnote>
  <w:footnote w:id="13">
    <w:p w14:paraId="76995CC1" w14:textId="77777777" w:rsidR="00C56994" w:rsidRPr="00983C9F" w:rsidRDefault="00C56994" w:rsidP="00C56994">
      <w:pPr>
        <w:pStyle w:val="FootnoteText"/>
        <w:jc w:val="both"/>
      </w:pPr>
      <w:r w:rsidRPr="00983C9F">
        <w:rPr>
          <w:rStyle w:val="FootnoteReference"/>
          <w:sz w:val="18"/>
          <w:szCs w:val="18"/>
        </w:rPr>
        <w:footnoteRef/>
      </w:r>
      <w:r w:rsidRPr="00983C9F">
        <w:rPr>
          <w:sz w:val="18"/>
          <w:szCs w:val="18"/>
        </w:rPr>
        <w:t xml:space="preserve"> </w:t>
      </w:r>
      <w:r w:rsidRPr="00983C9F">
        <w:rPr>
          <w:sz w:val="18"/>
          <w:szCs w:val="18"/>
        </w:rPr>
        <w:fldChar w:fldCharType="begin"/>
      </w:r>
      <w:r w:rsidRPr="00983C9F">
        <w:rPr>
          <w:sz w:val="18"/>
          <w:szCs w:val="18"/>
        </w:rPr>
        <w:instrText xml:space="preserve"> ADDIN ZOTERO_ITEM CSL_CITATION {"citationID":"xlHXXEiK","properties":{"formattedCitation":"Melayu, Anshar, and Irawadi, \\uc0\\u8220{}Analisis Peranan Pejabat Pemeriksa Dokumen Ekspor Dalam Pencapaian Penerimaan Negara Dibidang Ekspor Pada Kantor Pengawasan dan Pelayanan Bea dan Cukai Tipe Madya Pabean Belawan.\\uc0\\u8221{}","plainCitation":"Melayu, Anshar, and Irawadi, “Analisis Peranan Pejabat Pemeriksa Dokumen Ekspor Dalam Pencapaian Penerimaan Negara Dibidang Ekspor Pada Kantor Pengawasan dan Pelayanan Bea dan Cukai Tipe Madya Pabean Belawan.”","noteIndex":13},"citationItems":[{"id":60,"uris":["http://zotero.org/users/local/oyRLcVte/items/JXHSUEGV"],"itemData":{"id":60,"type":"article-journal","abstract":"Penelitian ini menggunakan penelitian kualitatif dengan melakukan wawancara secara mendalam kepada para informan yang merupakan pejabat di lingkungan Pada Kantor Pengawasan dan Pelayanan Bea dan Cukai Tipe Madya Pabean Belawan. Peranan Pejabat Pemeriksa Dokumen Ekspor sangat penting Dalam Pencapaian Penerimaan Negara Dibidang Ekspor. Hasil dari penelitian ini menunjukkan bahwa Pejabat Pemeriksa Dokumen pengangkatannya sesuai dengan Keputusan Menteri Keuangan Republik Indonesia Nomor 557/KMK/.04/2002, dengan Jabatan Kepala Seksi atau Kepala Subseksi atau Jabatan Fungsional Pemeriksa Bea dan Cukai atau Pelaksana. Pejabat Pemeriksa Dokumen Ekspor juga melakukan penelitian dokumen ekspor, membuat dan menyerahkan Pemberitahuan Pemeriksaan Barang (PPB) beserta lampirannya kepada Pelaksana Pemeriksa Barang yang ditunjuk sampai dengan penyerahan PEB yang telah dicantumkan hasil pemeriksaan fisik dan kelengkapannya serta Nota Pelayanan Ekspor (NPE), melindungi pemasukan barang yang akan diekspor ke Kawasan Pabean dan/atau pemuatannya ke sarana pengangkut serta sudah bekerja sesuai dengan Undang-Undang Nomor 17 Tahun 2006, Peraturan Menteri Keuangan Nomor 145/PMK.04/2014, Peraturan Direktur Jenderal Bea dan Cukai Nomor PER34/BC/2016 dan Peraturan Direktur Jenderal Bea dan Cukai Nomor P-29/BC/2016. Kantor Pengawasan dan Pelayanan Bea dan Cukai Tipe Madya Pabean Belawan memainkan peranan yang sangat penting dalam usaha Pencapaian Penerimaan Negara Dibidang Ekspor melalui Pejabat Pemeriksa Dokumen.","container-title":". Juni","issue":"1","language":"id","source":"Zotero","title":"Analisis Peranan Pejabat Pemeriksa Dokumen Ekspor Dalam Pencapaian Penerimaan Negara Dibidang Ekspor Pada Kantor Pengawasan dan Pelayanan Bea dan Cukai Tipe Madya Pabean Belawan","volume":"2","author":[{"family":"Melayu","given":"Hasrul Mahyuzar"},{"family":"Anshar","given":"M"},{"family":"Irawadi","given":"Bambang"}],"issued":{"date-parts":[["2023"]]}}}],"schema":"https://github.com/citation-style-language/schema/raw/master/csl-citation.json"} </w:instrText>
      </w:r>
      <w:r w:rsidRPr="00983C9F">
        <w:rPr>
          <w:sz w:val="18"/>
          <w:szCs w:val="18"/>
        </w:rPr>
        <w:fldChar w:fldCharType="separate"/>
      </w:r>
      <w:r w:rsidRPr="00983C9F">
        <w:rPr>
          <w:sz w:val="18"/>
          <w:szCs w:val="22"/>
        </w:rPr>
        <w:t>Melayu, Anshar, and Irawadi, “Analisis Peranan Pejabat Pemeriksa Dokumen Ekspor Dalam Pencapaian Penerimaan Negara Dibidang Ekspor Pada Kantor Pengawasan dan Pelayanan Bea dan Cukai Tipe Madya Pabean Belawan.”</w:t>
      </w:r>
      <w:r w:rsidRPr="00983C9F">
        <w:rPr>
          <w:sz w:val="18"/>
          <w:szCs w:val="18"/>
        </w:rPr>
        <w:fldChar w:fldCharType="end"/>
      </w:r>
    </w:p>
  </w:footnote>
  <w:footnote w:id="14">
    <w:p w14:paraId="74884308" w14:textId="77777777" w:rsidR="00C56994" w:rsidRPr="00983C9F" w:rsidRDefault="00C56994" w:rsidP="00C56994">
      <w:pPr>
        <w:pStyle w:val="FootnoteText"/>
        <w:jc w:val="both"/>
        <w:rPr>
          <w:sz w:val="18"/>
          <w:szCs w:val="18"/>
        </w:rPr>
      </w:pPr>
      <w:r w:rsidRPr="00983C9F">
        <w:rPr>
          <w:rStyle w:val="FootnoteReference"/>
          <w:sz w:val="18"/>
          <w:szCs w:val="18"/>
        </w:rPr>
        <w:footnoteRef/>
      </w:r>
      <w:r w:rsidRPr="00983C9F">
        <w:rPr>
          <w:sz w:val="18"/>
          <w:szCs w:val="18"/>
        </w:rPr>
        <w:t xml:space="preserve"> </w:t>
      </w:r>
      <w:r w:rsidRPr="00983C9F">
        <w:rPr>
          <w:sz w:val="18"/>
          <w:szCs w:val="18"/>
        </w:rPr>
        <w:fldChar w:fldCharType="begin"/>
      </w:r>
      <w:r w:rsidRPr="00983C9F">
        <w:rPr>
          <w:sz w:val="18"/>
          <w:szCs w:val="18"/>
        </w:rPr>
        <w:instrText xml:space="preserve"> ADDIN ZOTERO_ITEM CSL_CITATION {"citationID":"QCbU3Bcz","properties":{"formattedCitation":"\\uc0\\u8220{}Perkembangan Ekspor Terhadap Dampak Pengangguran Di Provinsi Bali | REMIK: Riset Dan E-Jurnal Manajemen Informatika Komputer,\\uc0\\u8221{} Page 230, accessed January 15, 2024, https://polgan.ac.id/jurnal/index.php/remik/article/view/12026.","plainCitation":"“Perkembangan Ekspor Terhadap Dampak Pengangguran Di Provinsi Bali | REMIK: Riset Dan E-Jurnal Manajemen Informatika Komputer,” Page 230, accessed January 15, 2024, https://polgan.ac.id/jurnal/index.php/remik/article/view/12026.","noteIndex":14},"citationItems":[{"id":123,"uris":["http://zotero.org/users/local/oyRLcVte/items/LXDXQTPQ"],"itemData":{"id":123,"type":"webpage","title":"Perkembangan Ekspor terhadap Dampak Pengangguran di Provinsi Bali | REMIK: Riset dan E-Jurnal Manajemen Informatika Komputer","URL":"https://polgan.ac.id/jurnal/index.php/remik/article/view/12026","accessed":{"date-parts":[["2024",1,15]]}},"locator":"Page 230","label":"page"}],"schema":"https://github.com/citation-style-language/schema/raw/master/csl-citation.json"} </w:instrText>
      </w:r>
      <w:r w:rsidRPr="00983C9F">
        <w:rPr>
          <w:sz w:val="18"/>
          <w:szCs w:val="18"/>
        </w:rPr>
        <w:fldChar w:fldCharType="separate"/>
      </w:r>
      <w:r w:rsidRPr="00983C9F">
        <w:rPr>
          <w:sz w:val="18"/>
          <w:szCs w:val="18"/>
        </w:rPr>
        <w:t>“Perkembangan Ekspor Terhadap Dampak Pengangguran Di Provinsi Bali | REMIK: Riset Dan E-Jurnal Manajemen Informatika Komputer,” Page 230, accessed January 15, 2024, https://polgan.ac.id/jurnal/index.php/remik/article/view/12026.</w:t>
      </w:r>
      <w:r w:rsidRPr="00983C9F">
        <w:rPr>
          <w:sz w:val="18"/>
          <w:szCs w:val="18"/>
        </w:rPr>
        <w:fldChar w:fldCharType="end"/>
      </w:r>
    </w:p>
  </w:footnote>
  <w:footnote w:id="15">
    <w:p w14:paraId="2A8091E7" w14:textId="77777777" w:rsidR="00C56994" w:rsidRPr="00983C9F" w:rsidRDefault="00C56994" w:rsidP="00C56994">
      <w:pPr>
        <w:pStyle w:val="FootnoteText"/>
      </w:pPr>
      <w:r w:rsidRPr="00983C9F">
        <w:rPr>
          <w:rStyle w:val="FootnoteReference"/>
          <w:sz w:val="18"/>
          <w:szCs w:val="18"/>
        </w:rPr>
        <w:footnoteRef/>
      </w:r>
      <w:r w:rsidRPr="00983C9F">
        <w:rPr>
          <w:sz w:val="18"/>
          <w:szCs w:val="18"/>
        </w:rPr>
        <w:t xml:space="preserve"> </w:t>
      </w:r>
      <w:r w:rsidRPr="00983C9F">
        <w:rPr>
          <w:sz w:val="18"/>
          <w:szCs w:val="18"/>
        </w:rPr>
        <w:fldChar w:fldCharType="begin"/>
      </w:r>
      <w:r w:rsidRPr="00983C9F">
        <w:rPr>
          <w:sz w:val="18"/>
          <w:szCs w:val="18"/>
        </w:rPr>
        <w:instrText xml:space="preserve"> ADDIN ZOTERO_ITEM CSL_CITATION {"citationID":"NunCb7E2","properties":{"formattedCitation":"A J Muljadi, Khansa Khairunnisa, and Lira Agusinta, \\uc0\\u8220{}KINERJA KARYAWAN DALAM PENANGANAN DOKUMEN EKSPOR FREIGHT FORWARDING\\uc0\\u8221{} 3, no. 3 (2017): Page 317.","plainCitation":"A J Muljadi, Khansa Khairunnisa, and Lira Agusinta, “KINERJA KARYAWAN DALAM PENANGANAN DOKUMEN EKSPOR FREIGHT FORWARDING” 3, no. 3 (2017): Page 317.","noteIndex":15},"citationItems":[{"id":46,"uris":["http://zotero.org/users/local/oyRLcVte/items/Z24EMVM4"],"itemData":{"id":46,"type":"article-journal","abstract":"This study was conducted to find out the effect of employees’ performance in handling export documents to the effectiveness of goods delivery. PT Iron Bird Transport is a private company focuses on domestic and international delivery and logistics. The company thinks that employees’ performance is important to achieve the satisfaction from customers. There are 30 employees in operational export division as survey respondents. This study was using simple linear regression analysis and coefficient correlation method. From the data processing can be seen that there is a significant effect on human resources performance in managing export documents to the effectiveness of goods delivery based on the results of hypothesis : tcount &gt; ttable or 5,836 &gt; 1,697.","issue":"3","language":"id","source":"Zotero","title":"KINERJA KARYAWAN DALAM PENANGANAN DOKUMEN EKSPOR FREIGHT FORWARDING","volume":"3","author":[{"family":"Muljadi","given":"A J"},{"family":"Khairunnisa","given":"Khansa"},{"family":"Agusinta","given":"Lira"}],"issued":{"date-parts":[["2017"]]}},"locator":"Page 317","label":"page"}],"schema":"https://github.com/citation-style-language/schema/raw/master/csl-citation.json"} </w:instrText>
      </w:r>
      <w:r w:rsidRPr="00983C9F">
        <w:rPr>
          <w:sz w:val="18"/>
          <w:szCs w:val="18"/>
        </w:rPr>
        <w:fldChar w:fldCharType="separate"/>
      </w:r>
      <w:r w:rsidRPr="00983C9F">
        <w:rPr>
          <w:sz w:val="18"/>
          <w:szCs w:val="18"/>
        </w:rPr>
        <w:t>A J Muljadi, Khansa Khairunnisa, and Lira Agusinta, “KINERJA KARYAWAN DALAM PENANGANAN DOKUMEN EKSPOR FREIGHT FORWARDING” 3, no. 3 (2017): Page 317.</w:t>
      </w:r>
      <w:r w:rsidRPr="00983C9F">
        <w:rPr>
          <w:sz w:val="18"/>
          <w:szCs w:val="18"/>
        </w:rPr>
        <w:fldChar w:fldCharType="end"/>
      </w:r>
    </w:p>
  </w:footnote>
  <w:footnote w:id="16">
    <w:p w14:paraId="216A1879" w14:textId="77777777" w:rsidR="00C56994" w:rsidRPr="00983C9F" w:rsidRDefault="00C56994" w:rsidP="00C56994">
      <w:pPr>
        <w:pStyle w:val="FootnoteText"/>
        <w:jc w:val="both"/>
      </w:pPr>
      <w:r w:rsidRPr="00983C9F">
        <w:rPr>
          <w:rStyle w:val="FootnoteReference"/>
          <w:sz w:val="18"/>
          <w:szCs w:val="18"/>
        </w:rPr>
        <w:footnoteRef/>
      </w:r>
      <w:r w:rsidRPr="00983C9F">
        <w:rPr>
          <w:sz w:val="18"/>
          <w:szCs w:val="18"/>
        </w:rPr>
        <w:t xml:space="preserve"> </w:t>
      </w:r>
      <w:r w:rsidRPr="00983C9F">
        <w:rPr>
          <w:sz w:val="18"/>
          <w:szCs w:val="18"/>
        </w:rPr>
        <w:fldChar w:fldCharType="begin"/>
      </w:r>
      <w:r w:rsidRPr="00983C9F">
        <w:rPr>
          <w:sz w:val="18"/>
          <w:szCs w:val="18"/>
        </w:rPr>
        <w:instrText xml:space="preserve"> ADDIN ZOTERO_ITEM CSL_CITATION {"citationID":"XywyWfW4","properties":{"formattedCitation":"Dara Qurratu Aini Yusuf, \\uc0\\u8220{}Perlindungan Konsumen Terhadap Klausula Eksonerasi Dalam Perjanjian Baku Perusahaan Jasa Pengiriman Barang (Studi Pada Perusahaan Pengiriman Barang Di Kota Binjai PT. JNE),\\uc0\\u8221{} {\\i{}Iuris Studia: Jurnal Kajian Hukum} 3, no. 2 (August 6, 2022): Page 209, https://doi.org/10.55357/is.v3i2.249.","plainCitation":"Dara Qurratu Aini Yusuf, “Perlindungan Konsumen Terhadap Klausula Eksonerasi Dalam Perjanjian Baku Perusahaan Jasa Pengiriman Barang (Studi Pada Perusahaan Pengiriman Barang Di Kota Binjai PT. JNE),” Iuris Studia: Jurnal Kajian Hukum 3, no. 2 (August 6, 2022): Page 209, https://doi.org/10.55357/is.v3i2.249.","noteIndex":16},"citationItems":[{"id":124,"uris":["http://zotero.org/users/local/oyRLcVte/items/9S9YF74R"],"itemData":{"id":124,"type":"article-journal","abstract":"Standard agreements using exoneration clauses have begun to develop in the community and are used for reasons of saving costs and time. However, the frequent use of exoneration clauses in standard agreements can lead to many things that do not meet the requirements so that there are parties who gain losses and there are also parties who benefit or get more protection from the contents of the agreement. The discussion of the problem in this thesis is how the effect of the exoneration clause in the standard agreement stipulated at the freight forwarding company (PT. JNE), how the settlement of compensation by PT. JNE against losses suffered by the sender due to the use of standard agreements, how consumer protection against the standard agreement exoneration clause is studied based on Law Number 8 of 1999 concerning Consumer Protection. The research in this thesis was carried out by using normative and empirical law research methods. Normative juridical research is research that discusses legal doctrines or principles that aim to find applicable positive legal principles. Empirical juridical research is research that refers directly to the situation in the field. Legal materials related to this thesis were obtained through interviews with PT. JNE and consumers. Based on the research conducted, the results of this thesis are that in Law Number 8 concerning Consumer Protection Article 18 explains the prohibition on making and or including an exoneration clause in every document or agreement. The existence of an exoneration clause in a standard agreement made by a freight forwarder causes the principle of balance to not be created because the position of the consumer does not get the right to change the contents of the agreement. This agreement gives many advantages to the freight forwarder, but the shipper is still willing to sign a standard agreement on the grounds of need or need for services from the company. The contents of the standard agreement tend to violate Article 1320 of the Civil Code. The validity of an agreement begins with the agreement of the parties who make an agreement and the agreement agreement is based on the principle of balance which in this principle requires both parties to carry out the agreement.","container-title":"Iuris Studia: Jurnal Kajian Hukum","DOI":"10.55357/is.v3i2.249","ISSN":"2745-8369","issue":"2","language":"en","license":"Copyright (c) 2022 Iuris Studia: Jurnal Kajian Hukum","note":"number: 2","page":"203-213","source":"jurnal.bundamediagrup.co.id","title":"Perlindungan Konsumen Terhadap Klausula Eksonerasi Dalam Perjanjian Baku Perusahaan Jasa Pengiriman Barang (Studi Pada Perusahaan Pengiriman Barang Di Kota Binjai PT. JNE)","volume":"3","author":[{"family":"Yusuf","given":"Dara Qurratu Aini"}],"issued":{"date-parts":[["2022",8,6]]}},"locator":"Page 209","label":"page"}],"schema":"https://github.com/citation-style-language/schema/raw/master/csl-citation.json"} </w:instrText>
      </w:r>
      <w:r w:rsidRPr="00983C9F">
        <w:rPr>
          <w:sz w:val="18"/>
          <w:szCs w:val="18"/>
        </w:rPr>
        <w:fldChar w:fldCharType="separate"/>
      </w:r>
      <w:r w:rsidRPr="00983C9F">
        <w:rPr>
          <w:sz w:val="18"/>
          <w:szCs w:val="22"/>
        </w:rPr>
        <w:t xml:space="preserve">Dara Qurratu Aini Yusuf, “Perlindungan Konsumen Terhadap Klausula Eksonerasi Dalam Perjanjian Baku Perusahaan Jasa Pengiriman Barang (Studi Pada Perusahaan Pengiriman Barang Di Kota Binjai PT. JNE),” </w:t>
      </w:r>
      <w:r w:rsidRPr="00983C9F">
        <w:rPr>
          <w:i/>
          <w:iCs/>
          <w:sz w:val="18"/>
          <w:szCs w:val="22"/>
        </w:rPr>
        <w:t>Iuris Studia: Jurnal Kajian Hukum</w:t>
      </w:r>
      <w:r w:rsidRPr="00983C9F">
        <w:rPr>
          <w:sz w:val="18"/>
          <w:szCs w:val="22"/>
        </w:rPr>
        <w:t xml:space="preserve"> 3, no. 2 (August 6, 2022): Page 209, https://doi.org/10.55357/is.v3i2.249.</w:t>
      </w:r>
      <w:r w:rsidRPr="00983C9F">
        <w:rPr>
          <w:sz w:val="18"/>
          <w:szCs w:val="18"/>
        </w:rPr>
        <w:fldChar w:fldCharType="end"/>
      </w:r>
    </w:p>
  </w:footnote>
  <w:footnote w:id="17">
    <w:p w14:paraId="7E398D5B" w14:textId="77777777" w:rsidR="00C56994" w:rsidRPr="00983C9F" w:rsidRDefault="00C56994" w:rsidP="00C56994">
      <w:pPr>
        <w:pStyle w:val="FootnoteText"/>
        <w:jc w:val="both"/>
        <w:rPr>
          <w:sz w:val="18"/>
          <w:szCs w:val="18"/>
        </w:rPr>
      </w:pPr>
      <w:r w:rsidRPr="00983C9F">
        <w:rPr>
          <w:rStyle w:val="FootnoteReference"/>
          <w:sz w:val="18"/>
          <w:szCs w:val="18"/>
        </w:rPr>
        <w:footnoteRef/>
      </w:r>
      <w:r w:rsidRPr="00983C9F">
        <w:rPr>
          <w:sz w:val="18"/>
          <w:szCs w:val="18"/>
        </w:rPr>
        <w:t xml:space="preserve"> </w:t>
      </w:r>
      <w:r w:rsidRPr="00983C9F">
        <w:rPr>
          <w:sz w:val="18"/>
          <w:szCs w:val="18"/>
        </w:rPr>
        <w:fldChar w:fldCharType="begin"/>
      </w:r>
      <w:r w:rsidRPr="00983C9F">
        <w:rPr>
          <w:sz w:val="18"/>
          <w:szCs w:val="18"/>
        </w:rPr>
        <w:instrText xml:space="preserve"> ADDIN ZOTERO_ITEM CSL_CITATION {"citationID":"K2uDDWTU","properties":{"formattedCitation":"\\uc0\\u8220{}Peraturan Menteri Keuangan Nomor 274/PMK.04/2014 Tahun 2014 Tentang Pengembalian Bea Masuk, Bea Keluar, Sanksi Administrasi Berupa Denda,Dan/ Atau Bunga Dalam Rangka Kepabeanan,\\uc0\\u8221{} accessed January 15, 2024, https://peraturan.bpk.go.id/Details/122279/pmk-no-274pmk042014.","plainCitation":"“Peraturan Menteri Keuangan Nomor 274/PMK.04/2014 Tahun 2014 Tentang Pengembalian Bea Masuk, Bea Keluar, Sanksi Administrasi Berupa Denda,Dan/ Atau Bunga Dalam Rangka Kepabeanan,” accessed January 15, 2024, https://peraturan.bpk.go.id/Details/122279/pmk-no-274pmk042014.","noteIndex":17},"citationItems":[{"id":128,"uris":["http://zotero.org/users/local/oyRLcVte/items/M9ESG9KK"],"itemData":{"id":128,"type":"webpage","title":"Peraturan Menteri Keuangan Nomor 274/PMK.04/2014 Tahun 2014 tentang Pengembalian Bea Masuk, Bea Keluar, Sanksi Administrasi Berupa Denda,Dan/ Atau Bunga Dalam Rangka Kepabeanan","URL":"https://peraturan.bpk.go.id/Details/122279/pmk-no-274pmk042014","accessed":{"date-parts":[["2024",1,15]]}}}],"schema":"https://github.com/citation-style-language/schema/raw/master/csl-citation.json"} </w:instrText>
      </w:r>
      <w:r w:rsidRPr="00983C9F">
        <w:rPr>
          <w:sz w:val="18"/>
          <w:szCs w:val="18"/>
        </w:rPr>
        <w:fldChar w:fldCharType="separate"/>
      </w:r>
      <w:r w:rsidRPr="00983C9F">
        <w:rPr>
          <w:sz w:val="18"/>
          <w:szCs w:val="22"/>
        </w:rPr>
        <w:t>“Peraturan Menteri Keuangan Nomor 274/PMK.04/2014 Tahun 2014 Tentang Pengembalian Bea Masuk, Bea Keluar, Sanksi Administrasi Berupa Denda,Dan/ Atau Bunga Dalam Rangka Kepabeanan,” accessed January 15, 2024, https://peraturan.bpk.go.id/Details/122279/pmk-no-274pmk042014.</w:t>
      </w:r>
      <w:r w:rsidRPr="00983C9F">
        <w:rPr>
          <w:sz w:val="18"/>
          <w:szCs w:val="18"/>
        </w:rPr>
        <w:fldChar w:fldCharType="end"/>
      </w:r>
    </w:p>
  </w:footnote>
  <w:footnote w:id="18">
    <w:p w14:paraId="00F0CD21" w14:textId="77777777" w:rsidR="00C56994" w:rsidRPr="00983C9F" w:rsidRDefault="00C56994" w:rsidP="00C56994">
      <w:pPr>
        <w:pStyle w:val="FootnoteText"/>
        <w:jc w:val="both"/>
      </w:pPr>
      <w:r w:rsidRPr="00983C9F">
        <w:rPr>
          <w:rStyle w:val="FootnoteReference"/>
          <w:sz w:val="18"/>
          <w:szCs w:val="18"/>
        </w:rPr>
        <w:footnoteRef/>
      </w:r>
      <w:r w:rsidRPr="00983C9F">
        <w:rPr>
          <w:sz w:val="18"/>
          <w:szCs w:val="18"/>
        </w:rPr>
        <w:t xml:space="preserve"> </w:t>
      </w:r>
      <w:r w:rsidRPr="00983C9F">
        <w:rPr>
          <w:sz w:val="18"/>
          <w:szCs w:val="18"/>
        </w:rPr>
        <w:fldChar w:fldCharType="begin"/>
      </w:r>
      <w:r w:rsidRPr="00983C9F">
        <w:rPr>
          <w:sz w:val="18"/>
          <w:szCs w:val="18"/>
        </w:rPr>
        <w:instrText xml:space="preserve"> ADDIN ZOTERO_ITEM CSL_CITATION {"citationID":"C6HV7QT0","properties":{"formattedCitation":"Khairul Riza, \\uc0\\u8220{}Hak Restitusi Bagi Korban Perdagangan Orang: Sebuah Langkah Penting Menuju Keadilan Di Indonesia,\\uc0\\u8221{} {\\i{}Kajian Ilmiah Hukum Dan Kenegaraan} 2, no. 1 (August 28, 2023): Page 38, https://doi.org/10.35912/kihan.v2i1.2359.","plainCitation":"Khairul Riza, “Hak Restitusi Bagi Korban Perdagangan Orang: Sebuah Langkah Penting Menuju Keadilan Di Indonesia,” Kajian Ilmiah Hukum Dan Kenegaraan 2, no. 1 (August 28, 2023): Page 38, https://doi.org/10.35912/kihan.v2i1.2359.","noteIndex":18},"citationItems":[{"id":126,"uris":["http://zotero.org/users/local/oyRLcVte/items/6HSCQ3XI"],"itemData":{"id":126,"type":"article-journal","abstract":"Purpose: The purpose of this study was to determine the implementation of restitution rights for trafficking victims in Indonesia, the obstacles and challenges faced in the process of providing restitution for trafficking victims in Indonesia, and how it impacts the victim recovery process.\nMethodology: The method used is Empirical juridical research was conducted through a series of field interviews with respondents and informants. It also uses normative research, namely research through literature studies.\nResult: The results showed that in the context of granting restitution rights to trafficking victims in Indonesia, despite the supporting legal foundation, implementation on the ground has not fully reflected the values of justice espoused in Pancasila, especially in the precepts of \"Just and Civilized Humanity\". The provision of restitution is not only a matter of compensation but also a form of state recognition of the dignity and humanity of each victim. Thus, restitution must be carried out with a sense of justice, without discrimination, to ensure full recovery for victims. The recovery process for trafficking victims in Indonesia faces various challenges, particularly those related to obstacles to the provision of restitution. Such barriers not only impact the financial aspects of victims but also their psychological, physical, and social recovery into society. The success of restitution is an important indicator of a country's commitment to ensuring justice and redress for the victims of exploitation.","container-title":"Kajian Ilmiah Hukum dan Kenegaraan","DOI":"10.35912/kihan.v2i1.2359","ISSN":"3025-2539","issue":"1","language":"en","license":"Copyright (c) 2023 Kajian Ilmiah Hukum dan Kenegaraan","note":"number: 1","page":"37-44","source":"penerbitgoodwood.com","title":"Hak Restitusi bagi Korban Perdagangan Orang: Sebuah Langkah Penting Menuju Keadilan di Indonesia","title-short":"Hak Restitusi bagi Korban Perdagangan Orang","volume":"2","author":[{"family":"Riza","given":"Khairul"}],"issued":{"date-parts":[["2023",8,28]]}},"locator":"Page 38","label":"page"}],"schema":"https://github.com/citation-style-language/schema/raw/master/csl-citation.json"} </w:instrText>
      </w:r>
      <w:r w:rsidRPr="00983C9F">
        <w:rPr>
          <w:sz w:val="18"/>
          <w:szCs w:val="18"/>
        </w:rPr>
        <w:fldChar w:fldCharType="separate"/>
      </w:r>
      <w:r w:rsidRPr="00983C9F">
        <w:rPr>
          <w:sz w:val="18"/>
          <w:szCs w:val="22"/>
        </w:rPr>
        <w:t xml:space="preserve">Khairul Riza, “Hak Restitusi Bagi Korban Perdagangan Orang: Sebuah Langkah Penting Menuju Keadilan Di Indonesia,” </w:t>
      </w:r>
      <w:r w:rsidRPr="00983C9F">
        <w:rPr>
          <w:i/>
          <w:iCs/>
          <w:sz w:val="18"/>
          <w:szCs w:val="22"/>
        </w:rPr>
        <w:t>Kajian Ilmiah Hukum Dan Kenegaraan</w:t>
      </w:r>
      <w:r w:rsidRPr="00983C9F">
        <w:rPr>
          <w:sz w:val="18"/>
          <w:szCs w:val="22"/>
        </w:rPr>
        <w:t xml:space="preserve"> 2, no. 1 (August 28, 2023): Page 38, https://doi.org/10.35912/kihan.v2i1.2359.</w:t>
      </w:r>
      <w:r w:rsidRPr="00983C9F">
        <w:rPr>
          <w:sz w:val="18"/>
          <w:szCs w:val="18"/>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913080"/>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275094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82C"/>
    <w:rsid w:val="00173673"/>
    <w:rsid w:val="0017535A"/>
    <w:rsid w:val="002E0683"/>
    <w:rsid w:val="00341129"/>
    <w:rsid w:val="003D41AF"/>
    <w:rsid w:val="003F73AE"/>
    <w:rsid w:val="004D682C"/>
    <w:rsid w:val="005069ED"/>
    <w:rsid w:val="00565F16"/>
    <w:rsid w:val="005D7455"/>
    <w:rsid w:val="006911A5"/>
    <w:rsid w:val="00756720"/>
    <w:rsid w:val="00800B41"/>
    <w:rsid w:val="00807A24"/>
    <w:rsid w:val="00890DDE"/>
    <w:rsid w:val="00907F6C"/>
    <w:rsid w:val="009D038E"/>
    <w:rsid w:val="00A5039F"/>
    <w:rsid w:val="00B62622"/>
    <w:rsid w:val="00B82EF8"/>
    <w:rsid w:val="00B9488B"/>
    <w:rsid w:val="00B9627F"/>
    <w:rsid w:val="00B968BB"/>
    <w:rsid w:val="00BB5006"/>
    <w:rsid w:val="00BC0AAC"/>
    <w:rsid w:val="00BF4A61"/>
    <w:rsid w:val="00C5456D"/>
    <w:rsid w:val="00C56994"/>
    <w:rsid w:val="00CC5A4C"/>
    <w:rsid w:val="00D615F2"/>
    <w:rsid w:val="00DC0E3C"/>
    <w:rsid w:val="00EA053C"/>
    <w:rsid w:val="00F87785"/>
    <w:rsid w:val="01041EA0"/>
    <w:rsid w:val="06962C9D"/>
    <w:rsid w:val="1C186A48"/>
    <w:rsid w:val="1EB10A08"/>
    <w:rsid w:val="23286AF0"/>
    <w:rsid w:val="25135435"/>
    <w:rsid w:val="2FE74B0B"/>
    <w:rsid w:val="34166086"/>
    <w:rsid w:val="39961684"/>
    <w:rsid w:val="3FD66672"/>
    <w:rsid w:val="511D3BF2"/>
    <w:rsid w:val="5B9448D6"/>
    <w:rsid w:val="715E242A"/>
    <w:rsid w:val="73BF605D"/>
    <w:rsid w:val="7C412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03460"/>
  <w15:docId w15:val="{AD29FFAD-80E9-46AC-856A-044D92447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uiPriority w:val="1"/>
    <w:qFormat/>
    <w:rPr>
      <w:rFonts w:ascii="Times New Roman" w:eastAsia="Times New Roman" w:hAnsi="Times New Roman" w:cs="Times New Roman"/>
      <w:sz w:val="24"/>
      <w:szCs w:val="24"/>
      <w:lang w:val="id" w:eastAsia="id"/>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FootnoteText">
    <w:name w:val="footnote text"/>
    <w:basedOn w:val="Normal"/>
    <w:link w:val="FootnoteTextChar"/>
    <w:unhideWhenUsed/>
    <w:qFormat/>
    <w:pPr>
      <w:spacing w:after="0" w:line="240" w:lineRule="auto"/>
    </w:pPr>
    <w:rPr>
      <w:rFonts w:ascii="Times New Roman" w:eastAsia="SimSun" w:hAnsi="Times New Roman" w:cs="Times New Roman"/>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FootnoteReference">
    <w:name w:val="footnote reference"/>
    <w:basedOn w:val="DefaultParagraphFont"/>
    <w:unhideWhenUsed/>
    <w:qFormat/>
    <w:rPr>
      <w:vertAlign w:val="superscript"/>
    </w:r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59"/>
    <w:qFormat/>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FootnoteTextChar">
    <w:name w:val="Footnote Text Char"/>
    <w:basedOn w:val="DefaultParagraphFont"/>
    <w:link w:val="FootnoteText"/>
    <w:uiPriority w:val="99"/>
    <w:qFormat/>
    <w:rPr>
      <w:rFonts w:ascii="Times New Roman" w:eastAsia="SimSun" w:hAnsi="Times New Roman" w:cs="Times New Roman"/>
      <w:sz w:val="20"/>
      <w:szCs w:val="20"/>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styleId="NoSpacing">
    <w:name w:val="No Spacing"/>
    <w:uiPriority w:val="1"/>
    <w:qFormat/>
    <w:pPr>
      <w:spacing w:after="0" w:line="240" w:lineRule="auto"/>
    </w:pPr>
    <w:rPr>
      <w:rFonts w:asciiTheme="minorHAnsi" w:eastAsiaTheme="minorHAnsi" w:hAnsiTheme="minorHAnsi" w:cstheme="minorBidi"/>
      <w:sz w:val="22"/>
      <w:szCs w:val="22"/>
      <w:lang w:val="id-ID"/>
    </w:rPr>
  </w:style>
  <w:style w:type="paragraph" w:customStyle="1" w:styleId="ListParagraph1">
    <w:name w:val="List Paragraph1"/>
    <w:basedOn w:val="Normal"/>
    <w:uiPriority w:val="34"/>
    <w:qFormat/>
    <w:pPr>
      <w:ind w:left="720"/>
      <w:contextualSpacing/>
    </w:pPr>
  </w:style>
  <w:style w:type="paragraph" w:customStyle="1" w:styleId="Default">
    <w:name w:val="Default"/>
    <w:qFormat/>
    <w:pPr>
      <w:autoSpaceDE w:val="0"/>
      <w:autoSpaceDN w:val="0"/>
      <w:adjustRightInd w:val="0"/>
      <w:spacing w:after="0" w:line="240" w:lineRule="auto"/>
    </w:pPr>
    <w:rPr>
      <w:rFonts w:eastAsiaTheme="minorHAnsi"/>
      <w:color w:val="000000"/>
      <w:sz w:val="24"/>
      <w:szCs w:val="24"/>
      <w:lang w:val="id-ID"/>
    </w:rPr>
  </w:style>
  <w:style w:type="character" w:customStyle="1" w:styleId="zf5qv">
    <w:name w:val="zf5qv"/>
    <w:basedOn w:val="DefaultParagraphFont"/>
    <w:qFormat/>
  </w:style>
  <w:style w:type="character" w:customStyle="1" w:styleId="y2iqfc">
    <w:name w:val="y2iqfc"/>
    <w:qFormat/>
  </w:style>
  <w:style w:type="character" w:customStyle="1" w:styleId="SubtleEmphasis1">
    <w:name w:val="Subtle Emphasis1"/>
    <w:uiPriority w:val="99"/>
    <w:qFormat/>
    <w:rPr>
      <w:rFonts w:cs="Times New Roman"/>
      <w:i/>
      <w:iCs/>
      <w:color w:val="808080"/>
    </w:rPr>
  </w:style>
  <w:style w:type="paragraph" w:styleId="Bibliography">
    <w:name w:val="Bibliography"/>
    <w:basedOn w:val="Normal"/>
    <w:next w:val="Normal"/>
    <w:uiPriority w:val="37"/>
    <w:unhideWhenUsed/>
    <w:rsid w:val="00800B41"/>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oi.org/10.1177/2340944420972707"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177/10353046221075103/FORMAT/EPUB"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doi.org/https:/doi.org/10.2991/assehr.k.211130.076"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F52CAB-90A2-48C4-B40F-17FC9D916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5401</Words>
  <Characters>30786</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nuya steye</cp:lastModifiedBy>
  <cp:revision>4</cp:revision>
  <cp:lastPrinted>2019-06-27T07:33:00Z</cp:lastPrinted>
  <dcterms:created xsi:type="dcterms:W3CDTF">2024-03-06T12:28:00Z</dcterms:created>
  <dcterms:modified xsi:type="dcterms:W3CDTF">2024-03-06T12:41:00Z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1033-11.2.0.8991</vt:lpwstr>
  </property>
</Properties>
</file>