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58A5" w14:textId="794E0FE5" w:rsidR="00F449AA" w:rsidRDefault="00F449AA" w:rsidP="00C93990">
      <w:pPr>
        <w:spacing w:after="0" w:line="360" w:lineRule="auto"/>
        <w:jc w:val="center"/>
        <w:rPr>
          <w:rFonts w:ascii="Times New Roman" w:hAnsi="Times New Roman" w:cs="Times New Roman"/>
          <w:b/>
          <w:bCs/>
          <w:sz w:val="24"/>
          <w:szCs w:val="24"/>
        </w:rPr>
      </w:pPr>
      <w:r w:rsidRPr="00B817E3">
        <w:rPr>
          <w:rFonts w:ascii="Times New Roman" w:hAnsi="Times New Roman" w:cs="Times New Roman"/>
          <w:b/>
          <w:bCs/>
          <w:sz w:val="24"/>
          <w:szCs w:val="24"/>
        </w:rPr>
        <w:t>The Roles of Escorts for Women Who Are Having Cases Before the Law in Courts Under the Legal Jurisdiction of Palembang City</w:t>
      </w:r>
    </w:p>
    <w:p w14:paraId="687C6618" w14:textId="4D408E43" w:rsidR="005C72E5" w:rsidRDefault="005C72E5" w:rsidP="00C9399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56F0911" w14:textId="18A3A981" w:rsidR="005C72E5" w:rsidRPr="00B817E3" w:rsidRDefault="005C72E5" w:rsidP="00C9399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Vera </w:t>
      </w:r>
      <w:proofErr w:type="spellStart"/>
      <w:r>
        <w:rPr>
          <w:rFonts w:ascii="Times New Roman" w:hAnsi="Times New Roman" w:cs="Times New Roman"/>
          <w:b/>
          <w:bCs/>
          <w:sz w:val="24"/>
          <w:szCs w:val="24"/>
        </w:rPr>
        <w:t>Novianti</w:t>
      </w:r>
      <w:proofErr w:type="spellEnd"/>
      <w:r>
        <w:rPr>
          <w:rFonts w:ascii="Times New Roman" w:hAnsi="Times New Roman" w:cs="Times New Roman"/>
          <w:b/>
          <w:bCs/>
          <w:sz w:val="24"/>
          <w:szCs w:val="24"/>
        </w:rPr>
        <w:t xml:space="preserve">, Artha </w:t>
      </w:r>
      <w:proofErr w:type="spellStart"/>
      <w:r>
        <w:rPr>
          <w:rFonts w:ascii="Times New Roman" w:hAnsi="Times New Roman" w:cs="Times New Roman"/>
          <w:b/>
          <w:bCs/>
          <w:sz w:val="24"/>
          <w:szCs w:val="24"/>
        </w:rPr>
        <w:t>Febriansyah</w:t>
      </w:r>
      <w:proofErr w:type="spellEnd"/>
      <w:r>
        <w:rPr>
          <w:rFonts w:ascii="Times New Roman" w:hAnsi="Times New Roman" w:cs="Times New Roman"/>
          <w:b/>
          <w:bCs/>
          <w:sz w:val="24"/>
          <w:szCs w:val="24"/>
        </w:rPr>
        <w:t xml:space="preserve">, Lusi </w:t>
      </w:r>
      <w:proofErr w:type="spellStart"/>
      <w:r>
        <w:rPr>
          <w:rFonts w:ascii="Times New Roman" w:hAnsi="Times New Roman" w:cs="Times New Roman"/>
          <w:b/>
          <w:bCs/>
          <w:sz w:val="24"/>
          <w:szCs w:val="24"/>
        </w:rPr>
        <w:t>Apriyani</w:t>
      </w:r>
      <w:proofErr w:type="spellEnd"/>
      <w:r>
        <w:rPr>
          <w:rStyle w:val="FootnoteReference"/>
          <w:rFonts w:ascii="Times New Roman" w:hAnsi="Times New Roman" w:cs="Times New Roman"/>
          <w:b/>
          <w:bCs/>
          <w:sz w:val="24"/>
          <w:szCs w:val="24"/>
        </w:rPr>
        <w:footnoteReference w:id="1"/>
      </w:r>
    </w:p>
    <w:p w14:paraId="73CD4C4E" w14:textId="77777777" w:rsidR="00C65136" w:rsidRPr="00B817E3" w:rsidRDefault="00C65136" w:rsidP="00C93990">
      <w:pPr>
        <w:spacing w:after="0" w:line="360" w:lineRule="auto"/>
        <w:jc w:val="both"/>
        <w:rPr>
          <w:rFonts w:ascii="Times New Roman" w:eastAsia="Times New Roman" w:hAnsi="Times New Roman" w:cs="Times New Roman"/>
          <w:sz w:val="24"/>
          <w:szCs w:val="24"/>
        </w:rPr>
      </w:pPr>
    </w:p>
    <w:p w14:paraId="2B6F5B96" w14:textId="14117249" w:rsidR="00C65136" w:rsidRPr="00B817E3" w:rsidRDefault="001C49E4" w:rsidP="00C93990">
      <w:pPr>
        <w:spacing w:after="0" w:line="360" w:lineRule="auto"/>
        <w:jc w:val="center"/>
        <w:rPr>
          <w:rFonts w:ascii="Times New Roman" w:eastAsia="Times New Roman" w:hAnsi="Times New Roman" w:cs="Times New Roman"/>
          <w:sz w:val="24"/>
          <w:szCs w:val="24"/>
        </w:rPr>
      </w:pPr>
      <w:r w:rsidRPr="00B817E3">
        <w:rPr>
          <w:rFonts w:ascii="Times New Roman" w:eastAsia="Times New Roman" w:hAnsi="Times New Roman" w:cs="Times New Roman"/>
          <w:b/>
          <w:bCs/>
          <w:sz w:val="24"/>
          <w:szCs w:val="24"/>
        </w:rPr>
        <w:t>ABSTRA</w:t>
      </w:r>
      <w:r w:rsidR="00F449AA" w:rsidRPr="00B817E3">
        <w:rPr>
          <w:rFonts w:ascii="Times New Roman" w:eastAsia="Times New Roman" w:hAnsi="Times New Roman" w:cs="Times New Roman"/>
          <w:b/>
          <w:bCs/>
          <w:sz w:val="24"/>
          <w:szCs w:val="24"/>
        </w:rPr>
        <w:t>CT</w:t>
      </w:r>
    </w:p>
    <w:p w14:paraId="4DE69716" w14:textId="77777777" w:rsidR="001C49E4" w:rsidRPr="00B817E3" w:rsidRDefault="001C49E4" w:rsidP="00C93990">
      <w:pPr>
        <w:spacing w:after="0" w:line="360" w:lineRule="auto"/>
        <w:jc w:val="both"/>
        <w:rPr>
          <w:rFonts w:ascii="Times New Roman" w:eastAsia="Times New Roman" w:hAnsi="Times New Roman" w:cs="Times New Roman"/>
          <w:sz w:val="24"/>
          <w:szCs w:val="24"/>
        </w:rPr>
      </w:pPr>
    </w:p>
    <w:p w14:paraId="33C17FB6" w14:textId="676B5F53" w:rsidR="00E610FC" w:rsidRDefault="00E610FC" w:rsidP="00C93990">
      <w:pPr>
        <w:spacing w:after="0" w:line="360" w:lineRule="auto"/>
        <w:jc w:val="both"/>
        <w:rPr>
          <w:rFonts w:ascii="Times New Roman" w:eastAsia="Times New Roman" w:hAnsi="Times New Roman" w:cs="Times New Roman"/>
          <w:bCs/>
          <w:iCs/>
          <w:sz w:val="24"/>
          <w:szCs w:val="24"/>
        </w:rPr>
      </w:pPr>
      <w:r w:rsidRPr="00B817E3">
        <w:rPr>
          <w:rFonts w:ascii="Times New Roman" w:eastAsia="Times New Roman" w:hAnsi="Times New Roman" w:cs="Times New Roman"/>
          <w:bCs/>
          <w:iCs/>
          <w:sz w:val="24"/>
          <w:szCs w:val="24"/>
        </w:rPr>
        <w:t>Chapter 1 article 1 of the Regulation of the Supreme Court of the Republic of Indonesia number 3 of 2017 has clearly defined that women having cases before the law consist of women who violate the law, women who testify in court, female crime victims, and women who stands as a party in a case. They have the right to get protection, access to justice, and receive fair treatment without discrimination. In addition, they are also entitled to receive recovery and restitution from the damage caused by a crime. Protection during the judicial process must also be provided because of the potential threats they may face in cases involving them. Therefore, it is very important to provide trustworthy escorts while they are following the judicial process so that their rights can be fulfilled and properly accommodated.</w:t>
      </w:r>
    </w:p>
    <w:p w14:paraId="4541786D" w14:textId="095D3218" w:rsidR="0071198F" w:rsidRPr="00B817E3" w:rsidRDefault="0071198F" w:rsidP="00C93990">
      <w:pPr>
        <w:spacing w:after="0" w:line="360" w:lineRule="auto"/>
        <w:jc w:val="both"/>
        <w:rPr>
          <w:rFonts w:ascii="Times New Roman" w:eastAsia="Times New Roman" w:hAnsi="Times New Roman" w:cs="Times New Roman"/>
          <w:bCs/>
          <w:iCs/>
          <w:sz w:val="24"/>
          <w:szCs w:val="24"/>
        </w:rPr>
      </w:pPr>
      <w:r w:rsidRPr="0071198F">
        <w:rPr>
          <w:rFonts w:ascii="Times New Roman" w:eastAsia="Times New Roman" w:hAnsi="Times New Roman" w:cs="Times New Roman"/>
          <w:bCs/>
          <w:iCs/>
          <w:sz w:val="24"/>
          <w:szCs w:val="24"/>
        </w:rPr>
        <w:t xml:space="preserve">Keywords: </w:t>
      </w:r>
      <w:r w:rsidRPr="0071198F">
        <w:rPr>
          <w:rFonts w:ascii="Times New Roman" w:eastAsia="Times New Roman" w:hAnsi="Times New Roman" w:cs="Times New Roman"/>
          <w:bCs/>
          <w:i/>
          <w:sz w:val="24"/>
          <w:szCs w:val="24"/>
        </w:rPr>
        <w:t>Women in conflict with the law, rights, legal protection</w:t>
      </w:r>
    </w:p>
    <w:p w14:paraId="537FAC70" w14:textId="77777777" w:rsidR="001C49E4" w:rsidRPr="00B817E3" w:rsidRDefault="001C49E4" w:rsidP="00C93990">
      <w:pPr>
        <w:spacing w:after="0" w:line="360" w:lineRule="auto"/>
        <w:jc w:val="both"/>
        <w:rPr>
          <w:rFonts w:ascii="Times New Roman" w:eastAsia="Times New Roman" w:hAnsi="Times New Roman" w:cs="Times New Roman"/>
          <w:sz w:val="24"/>
          <w:szCs w:val="24"/>
        </w:rPr>
      </w:pPr>
    </w:p>
    <w:p w14:paraId="6A195CCF" w14:textId="7974A5FB" w:rsidR="00C65136" w:rsidRPr="00B817E3" w:rsidRDefault="001768C0" w:rsidP="00C93990">
      <w:pPr>
        <w:spacing w:after="0" w:line="360" w:lineRule="auto"/>
        <w:jc w:val="both"/>
        <w:rPr>
          <w:rFonts w:ascii="Times New Roman" w:eastAsia="Times New Roman" w:hAnsi="Times New Roman" w:cs="Times New Roman"/>
          <w:sz w:val="24"/>
          <w:szCs w:val="24"/>
        </w:rPr>
      </w:pPr>
      <w:r w:rsidRPr="00B817E3">
        <w:rPr>
          <w:rFonts w:ascii="Times New Roman" w:eastAsia="Times New Roman" w:hAnsi="Times New Roman" w:cs="Times New Roman"/>
          <w:b/>
          <w:bCs/>
          <w:sz w:val="24"/>
          <w:szCs w:val="24"/>
        </w:rPr>
        <w:t>INTRODUCTION</w:t>
      </w:r>
    </w:p>
    <w:p w14:paraId="750FA559" w14:textId="785EA027" w:rsidR="006A2B7B" w:rsidRPr="00B817E3" w:rsidRDefault="00E610FC" w:rsidP="006A2B7B">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According to the Indonesian Constitution, the state accommodates the rights of everyone having cases before the law, including women. Women who are having cases before the law have the right to obtain access to justice. As a country that has ratified the International Covenant on Civil and Political Rights through Law number 12 of 2005, Indonesia guarantees equality before the law for all people and frees them from all forms of discrimination, including gender discrimination. Furthermore, as a party to the Convention on the Elimination of All Forms of Discrimination Against Women (CEDAW), Indonesia recognizes that the state ensures that its female citizens have access to justice and are free from discrimination in their justice system.</w:t>
      </w:r>
      <w:r w:rsidR="006A2B7B" w:rsidRPr="00B817E3">
        <w:rPr>
          <w:rFonts w:ascii="Times New Roman" w:hAnsi="Times New Roman" w:cs="Times New Roman"/>
          <w:sz w:val="24"/>
          <w:szCs w:val="24"/>
          <w:vertAlign w:val="superscript"/>
        </w:rPr>
        <w:t xml:space="preserve"> </w:t>
      </w:r>
      <w:r w:rsidR="006A2B7B" w:rsidRPr="00B817E3">
        <w:rPr>
          <w:rFonts w:ascii="Times New Roman" w:hAnsi="Times New Roman" w:cs="Times New Roman"/>
          <w:sz w:val="24"/>
          <w:szCs w:val="24"/>
          <w:vertAlign w:val="superscript"/>
        </w:rPr>
        <w:footnoteReference w:id="2"/>
      </w:r>
      <w:r w:rsidR="006A2B7B" w:rsidRPr="00B817E3">
        <w:rPr>
          <w:rFonts w:ascii="Times New Roman" w:hAnsi="Times New Roman" w:cs="Times New Roman"/>
          <w:sz w:val="24"/>
          <w:szCs w:val="24"/>
        </w:rPr>
        <w:t xml:space="preserve"> </w:t>
      </w:r>
    </w:p>
    <w:p w14:paraId="09507223" w14:textId="554FB4FF" w:rsidR="00DE70AC" w:rsidRPr="00B817E3" w:rsidRDefault="00E610FC" w:rsidP="00DE70A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lastRenderedPageBreak/>
        <w:t xml:space="preserve"> In Indonesia, the rights of women having cases before the law are </w:t>
      </w:r>
      <w:r w:rsidR="00414C3D" w:rsidRPr="00B817E3">
        <w:rPr>
          <w:rFonts w:ascii="Times New Roman" w:hAnsi="Times New Roman" w:cs="Times New Roman"/>
          <w:sz w:val="24"/>
          <w:szCs w:val="24"/>
        </w:rPr>
        <w:t xml:space="preserve">detailed </w:t>
      </w:r>
      <w:r w:rsidRPr="00B817E3">
        <w:rPr>
          <w:rFonts w:ascii="Times New Roman" w:hAnsi="Times New Roman" w:cs="Times New Roman"/>
          <w:sz w:val="24"/>
          <w:szCs w:val="24"/>
        </w:rPr>
        <w:t>in laws and regulations. The criminal justice system is one of the efforts to provide women who are having cases before the law with the protection of their rights at every stage of the trial.</w:t>
      </w:r>
      <w:r w:rsidR="00DE70AC" w:rsidRPr="00B817E3">
        <w:rPr>
          <w:rFonts w:ascii="Times New Roman" w:hAnsi="Times New Roman" w:cs="Times New Roman"/>
          <w:sz w:val="24"/>
          <w:szCs w:val="24"/>
          <w:vertAlign w:val="superscript"/>
        </w:rPr>
        <w:t xml:space="preserve"> </w:t>
      </w:r>
      <w:r w:rsidR="00DE70AC" w:rsidRPr="00B817E3">
        <w:rPr>
          <w:rFonts w:ascii="Times New Roman" w:hAnsi="Times New Roman" w:cs="Times New Roman"/>
          <w:sz w:val="24"/>
          <w:szCs w:val="24"/>
          <w:vertAlign w:val="superscript"/>
        </w:rPr>
        <w:footnoteReference w:id="3"/>
      </w:r>
      <w:r w:rsidR="00DE70AC" w:rsidRPr="00B817E3">
        <w:rPr>
          <w:rFonts w:ascii="Times New Roman" w:hAnsi="Times New Roman" w:cs="Times New Roman"/>
          <w:sz w:val="24"/>
          <w:szCs w:val="24"/>
        </w:rPr>
        <w:t xml:space="preserve"> </w:t>
      </w:r>
    </w:p>
    <w:p w14:paraId="0BAA5761" w14:textId="3A794263" w:rsidR="00DE70AC" w:rsidRPr="00B817E3" w:rsidRDefault="00E610FC" w:rsidP="00DE70A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The position of women in Indonesian law has been explained in the Indonesian Constitution.</w:t>
      </w:r>
      <w:r w:rsidR="00DE70AC" w:rsidRPr="00B817E3">
        <w:rPr>
          <w:rFonts w:ascii="Times New Roman" w:hAnsi="Times New Roman" w:cs="Times New Roman"/>
          <w:sz w:val="24"/>
          <w:szCs w:val="24"/>
          <w:vertAlign w:val="superscript"/>
        </w:rPr>
        <w:t xml:space="preserve"> </w:t>
      </w:r>
      <w:r w:rsidR="00DE70AC" w:rsidRPr="00B817E3">
        <w:rPr>
          <w:rFonts w:ascii="Times New Roman" w:hAnsi="Times New Roman" w:cs="Times New Roman"/>
          <w:sz w:val="24"/>
          <w:szCs w:val="24"/>
          <w:vertAlign w:val="superscript"/>
        </w:rPr>
        <w:footnoteReference w:id="4"/>
      </w:r>
      <w:r w:rsidR="00DE70AC" w:rsidRPr="00B817E3">
        <w:rPr>
          <w:rFonts w:ascii="Times New Roman" w:hAnsi="Times New Roman" w:cs="Times New Roman"/>
          <w:sz w:val="24"/>
          <w:szCs w:val="24"/>
        </w:rPr>
        <w:t xml:space="preserve"> </w:t>
      </w:r>
    </w:p>
    <w:p w14:paraId="401B6F8E" w14:textId="2E90E808" w:rsidR="00E610FC" w:rsidRPr="00B817E3" w:rsidRDefault="00992793"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Based on the explanation above</w:t>
      </w:r>
      <w:r w:rsidR="00E610FC" w:rsidRPr="00B817E3">
        <w:rPr>
          <w:rFonts w:ascii="Times New Roman" w:hAnsi="Times New Roman" w:cs="Times New Roman"/>
          <w:sz w:val="24"/>
          <w:szCs w:val="24"/>
        </w:rPr>
        <w:t>, the state is obliged to protect every citizen, as written in the preamble of the Indonesian Constitution</w:t>
      </w:r>
      <w:r w:rsidR="00414C3D" w:rsidRPr="00B817E3">
        <w:rPr>
          <w:rFonts w:ascii="Times New Roman" w:hAnsi="Times New Roman" w:cs="Times New Roman"/>
          <w:sz w:val="24"/>
          <w:szCs w:val="24"/>
        </w:rPr>
        <w:t>;</w:t>
      </w:r>
      <w:r w:rsidR="00E610FC" w:rsidRPr="00B817E3">
        <w:rPr>
          <w:rFonts w:ascii="Times New Roman" w:hAnsi="Times New Roman" w:cs="Times New Roman"/>
          <w:sz w:val="24"/>
          <w:szCs w:val="24"/>
        </w:rPr>
        <w:t xml:space="preserve"> </w:t>
      </w:r>
      <w:r w:rsidR="00414C3D" w:rsidRPr="00B817E3">
        <w:rPr>
          <w:rFonts w:ascii="Times New Roman" w:hAnsi="Times New Roman" w:cs="Times New Roman"/>
          <w:sz w:val="24"/>
          <w:szCs w:val="24"/>
        </w:rPr>
        <w:t>that is</w:t>
      </w:r>
      <w:r w:rsidR="00E610FC" w:rsidRPr="00B817E3">
        <w:rPr>
          <w:rFonts w:ascii="Times New Roman" w:hAnsi="Times New Roman" w:cs="Times New Roman"/>
          <w:sz w:val="24"/>
          <w:szCs w:val="24"/>
        </w:rPr>
        <w:t xml:space="preserve"> to protect all the people of Indonesia and all the independence and the land that has been struggled for, and to improve public welfare, to educate the life of the nation and to participate toward the establishment of a world order based on freedom, perpetual peace, and social justice. Here protection for women in general and women who are having cases before the law is included. As a country that has ratified the International Covenant on Civil and Political Rights through Law number 12 of 2005, Indonesia guarantees people's equality before the law without exception. Chapter 1 article 10 of the Regulation of the Supreme Court of the Republic of Indonesia number 3 of 2017 concerning the Guidelines for Adjudicating Women's Cases Before the Law has mentioned that women having cases before the law are justified to have an escort. The regulation defines </w:t>
      </w:r>
      <w:r w:rsidR="00414C3D" w:rsidRPr="00B817E3">
        <w:rPr>
          <w:rFonts w:ascii="Times New Roman" w:hAnsi="Times New Roman" w:cs="Times New Roman"/>
          <w:sz w:val="24"/>
          <w:szCs w:val="24"/>
        </w:rPr>
        <w:t xml:space="preserve">that </w:t>
      </w:r>
      <w:r w:rsidR="00E610FC" w:rsidRPr="00B817E3">
        <w:rPr>
          <w:rFonts w:ascii="Times New Roman" w:hAnsi="Times New Roman" w:cs="Times New Roman"/>
          <w:sz w:val="24"/>
          <w:szCs w:val="24"/>
        </w:rPr>
        <w:t xml:space="preserve">escorts are a person or a group or an organization that is trusted, who has the skills and knowledge to accompany women having cases before the law so that they feel safe and secure in giving statements during the judicial process. They may be paralegals, family or relatives, legal </w:t>
      </w:r>
      <w:r w:rsidR="00414C3D" w:rsidRPr="00B817E3">
        <w:rPr>
          <w:rFonts w:ascii="Times New Roman" w:hAnsi="Times New Roman" w:cs="Times New Roman"/>
          <w:sz w:val="24"/>
          <w:szCs w:val="24"/>
        </w:rPr>
        <w:t>advisor</w:t>
      </w:r>
      <w:r w:rsidR="00E610FC" w:rsidRPr="00B817E3">
        <w:rPr>
          <w:rFonts w:ascii="Times New Roman" w:hAnsi="Times New Roman" w:cs="Times New Roman"/>
          <w:sz w:val="24"/>
          <w:szCs w:val="24"/>
        </w:rPr>
        <w:t>, psychologists, psychiatrists, social workers, legal aid institutes, non-governmental organizations, or women's crisis centers.</w:t>
      </w:r>
    </w:p>
    <w:p w14:paraId="77937AF1" w14:textId="77777777" w:rsidR="00E610FC" w:rsidRPr="00B817E3" w:rsidRDefault="00E610FC"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Women having cases before the law, especially those who are victims of rape, must be protected by law enforcers as they might be in a complicated position like the following.</w:t>
      </w:r>
    </w:p>
    <w:p w14:paraId="6FE06004" w14:textId="6B78C697" w:rsidR="00E610FC" w:rsidRPr="00B817E3" w:rsidRDefault="00E610FC" w:rsidP="00C93990">
      <w:pPr>
        <w:pStyle w:val="ListParagraph"/>
        <w:numPr>
          <w:ilvl w:val="0"/>
          <w:numId w:val="25"/>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 xml:space="preserve">They are blamed because they go out alone at night or wear outfits that attract people to </w:t>
      </w:r>
      <w:r w:rsidR="00992793" w:rsidRPr="00B817E3">
        <w:rPr>
          <w:rFonts w:ascii="Times New Roman" w:hAnsi="Times New Roman" w:cs="Times New Roman"/>
          <w:lang w:val="en-US"/>
        </w:rPr>
        <w:t>harass</w:t>
      </w:r>
      <w:r w:rsidRPr="00B817E3">
        <w:rPr>
          <w:rFonts w:ascii="Times New Roman" w:hAnsi="Times New Roman" w:cs="Times New Roman"/>
          <w:lang w:val="en-US"/>
        </w:rPr>
        <w:t xml:space="preserve"> them.</w:t>
      </w:r>
    </w:p>
    <w:p w14:paraId="0DD06C06" w14:textId="24D2DBA3" w:rsidR="00E610FC" w:rsidRPr="00B817E3" w:rsidRDefault="00E610FC" w:rsidP="00C93990">
      <w:pPr>
        <w:pStyle w:val="ListParagraph"/>
        <w:numPr>
          <w:ilvl w:val="0"/>
          <w:numId w:val="25"/>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They are considered to have allowed the perpetrator's actions because they did not fight</w:t>
      </w:r>
      <w:r w:rsidR="00414C3D" w:rsidRPr="00B817E3">
        <w:rPr>
          <w:rFonts w:ascii="Times New Roman" w:hAnsi="Times New Roman" w:cs="Times New Roman"/>
          <w:lang w:val="en-US"/>
        </w:rPr>
        <w:t xml:space="preserve"> back</w:t>
      </w:r>
      <w:r w:rsidRPr="00B817E3">
        <w:rPr>
          <w:rFonts w:ascii="Times New Roman" w:hAnsi="Times New Roman" w:cs="Times New Roman"/>
          <w:lang w:val="en-US"/>
        </w:rPr>
        <w:t>, did not scream for help, or did not run away during the incident.</w:t>
      </w:r>
    </w:p>
    <w:p w14:paraId="0FCCCB52" w14:textId="299EFA6A" w:rsidR="00E610FC" w:rsidRPr="00B817E3" w:rsidRDefault="00E610FC" w:rsidP="00C93990">
      <w:pPr>
        <w:pStyle w:val="ListParagraph"/>
        <w:numPr>
          <w:ilvl w:val="0"/>
          <w:numId w:val="25"/>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lastRenderedPageBreak/>
        <w:t>Their testimony is questionable especially if they</w:t>
      </w:r>
      <w:r w:rsidR="00414C3D" w:rsidRPr="00B817E3">
        <w:rPr>
          <w:rFonts w:ascii="Times New Roman" w:hAnsi="Times New Roman" w:cs="Times New Roman"/>
          <w:lang w:val="en-US"/>
        </w:rPr>
        <w:t xml:space="preserve"> previously</w:t>
      </w:r>
      <w:r w:rsidRPr="00B817E3">
        <w:rPr>
          <w:rFonts w:ascii="Times New Roman" w:hAnsi="Times New Roman" w:cs="Times New Roman"/>
          <w:lang w:val="en-US"/>
        </w:rPr>
        <w:t xml:space="preserve"> had a romantic relationship with the perpetrator. They are considered to have contributed </w:t>
      </w:r>
      <w:r w:rsidR="00414C3D" w:rsidRPr="00B817E3">
        <w:rPr>
          <w:rFonts w:ascii="Times New Roman" w:hAnsi="Times New Roman" w:cs="Times New Roman"/>
          <w:lang w:val="en-US"/>
        </w:rPr>
        <w:t xml:space="preserve">to </w:t>
      </w:r>
      <w:r w:rsidRPr="00B817E3">
        <w:rPr>
          <w:rFonts w:ascii="Times New Roman" w:hAnsi="Times New Roman" w:cs="Times New Roman"/>
          <w:lang w:val="en-US"/>
        </w:rPr>
        <w:t>and enjoyed what the perpetrator did.</w:t>
      </w:r>
    </w:p>
    <w:p w14:paraId="3EA0B18D" w14:textId="22626FAD" w:rsidR="00E610FC" w:rsidRPr="00B817E3" w:rsidRDefault="00E610FC" w:rsidP="00C93990">
      <w:pPr>
        <w:pStyle w:val="ListParagraph"/>
        <w:numPr>
          <w:ilvl w:val="0"/>
          <w:numId w:val="25"/>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 xml:space="preserve">They were blamed because they were willing to go with the </w:t>
      </w:r>
      <w:r w:rsidR="00414C3D" w:rsidRPr="00B817E3">
        <w:rPr>
          <w:rFonts w:ascii="Times New Roman" w:hAnsi="Times New Roman" w:cs="Times New Roman"/>
          <w:lang w:val="en-US"/>
        </w:rPr>
        <w:t>perpetrator</w:t>
      </w:r>
      <w:r w:rsidRPr="00B817E3">
        <w:rPr>
          <w:rFonts w:ascii="Times New Roman" w:hAnsi="Times New Roman" w:cs="Times New Roman"/>
          <w:lang w:val="en-US"/>
        </w:rPr>
        <w:t xml:space="preserve">. Women who are willing to go </w:t>
      </w:r>
      <w:r w:rsidR="00414C3D" w:rsidRPr="00B817E3">
        <w:rPr>
          <w:rFonts w:ascii="Times New Roman" w:hAnsi="Times New Roman" w:cs="Times New Roman"/>
          <w:lang w:val="en-US"/>
        </w:rPr>
        <w:t>with</w:t>
      </w:r>
      <w:r w:rsidRPr="00B817E3">
        <w:rPr>
          <w:rFonts w:ascii="Times New Roman" w:hAnsi="Times New Roman" w:cs="Times New Roman"/>
          <w:lang w:val="en-US"/>
        </w:rPr>
        <w:t xml:space="preserve"> men are seen as </w:t>
      </w:r>
      <w:r w:rsidR="00414C3D" w:rsidRPr="00B817E3">
        <w:rPr>
          <w:rFonts w:ascii="Times New Roman" w:hAnsi="Times New Roman" w:cs="Times New Roman"/>
          <w:lang w:val="en-US"/>
        </w:rPr>
        <w:t>“</w:t>
      </w:r>
      <w:r w:rsidRPr="00B817E3">
        <w:rPr>
          <w:rFonts w:ascii="Times New Roman" w:hAnsi="Times New Roman" w:cs="Times New Roman"/>
          <w:lang w:val="en-US"/>
        </w:rPr>
        <w:t>cheap</w:t>
      </w:r>
      <w:r w:rsidR="00414C3D" w:rsidRPr="00B817E3">
        <w:rPr>
          <w:rFonts w:ascii="Times New Roman" w:hAnsi="Times New Roman" w:cs="Times New Roman"/>
          <w:lang w:val="en-US"/>
        </w:rPr>
        <w:t>”</w:t>
      </w:r>
      <w:r w:rsidRPr="00B817E3">
        <w:rPr>
          <w:rFonts w:ascii="Times New Roman" w:hAnsi="Times New Roman" w:cs="Times New Roman"/>
          <w:lang w:val="en-US"/>
        </w:rPr>
        <w:t xml:space="preserve"> and </w:t>
      </w:r>
      <w:r w:rsidR="00414C3D" w:rsidRPr="00B817E3">
        <w:rPr>
          <w:rFonts w:ascii="Times New Roman" w:hAnsi="Times New Roman" w:cs="Times New Roman"/>
          <w:lang w:val="en-US"/>
        </w:rPr>
        <w:t xml:space="preserve">considered </w:t>
      </w:r>
      <w:r w:rsidRPr="00B817E3">
        <w:rPr>
          <w:rFonts w:ascii="Times New Roman" w:hAnsi="Times New Roman" w:cs="Times New Roman"/>
          <w:lang w:val="en-US"/>
        </w:rPr>
        <w:t xml:space="preserve">agree to </w:t>
      </w:r>
      <w:r w:rsidR="00414C3D" w:rsidRPr="00B817E3">
        <w:rPr>
          <w:rFonts w:ascii="Times New Roman" w:hAnsi="Times New Roman" w:cs="Times New Roman"/>
          <w:lang w:val="en-US"/>
        </w:rPr>
        <w:t xml:space="preserve">be harassed </w:t>
      </w:r>
      <w:r w:rsidRPr="00B817E3">
        <w:rPr>
          <w:rFonts w:ascii="Times New Roman" w:hAnsi="Times New Roman" w:cs="Times New Roman"/>
          <w:lang w:val="en-US"/>
        </w:rPr>
        <w:t xml:space="preserve">by the </w:t>
      </w:r>
      <w:r w:rsidR="00414C3D" w:rsidRPr="00B817E3">
        <w:rPr>
          <w:rFonts w:ascii="Times New Roman" w:hAnsi="Times New Roman" w:cs="Times New Roman"/>
          <w:lang w:val="en-US"/>
        </w:rPr>
        <w:t>perpetrator</w:t>
      </w:r>
      <w:r w:rsidRPr="00B817E3">
        <w:rPr>
          <w:rFonts w:ascii="Times New Roman" w:hAnsi="Times New Roman" w:cs="Times New Roman"/>
          <w:lang w:val="en-US"/>
        </w:rPr>
        <w:t>.</w:t>
      </w:r>
    </w:p>
    <w:p w14:paraId="710DDCA2" w14:textId="3562FB1E" w:rsidR="00E610FC" w:rsidRPr="00B817E3" w:rsidRDefault="00E610FC" w:rsidP="00C93990">
      <w:pPr>
        <w:pStyle w:val="ListParagraph"/>
        <w:numPr>
          <w:ilvl w:val="0"/>
          <w:numId w:val="25"/>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They are blamed because they agree</w:t>
      </w:r>
      <w:r w:rsidR="00414C3D" w:rsidRPr="00B817E3">
        <w:rPr>
          <w:rFonts w:ascii="Times New Roman" w:hAnsi="Times New Roman" w:cs="Times New Roman"/>
          <w:lang w:val="en-US"/>
        </w:rPr>
        <w:t>d</w:t>
      </w:r>
      <w:r w:rsidRPr="00B817E3">
        <w:rPr>
          <w:rFonts w:ascii="Times New Roman" w:hAnsi="Times New Roman" w:cs="Times New Roman"/>
          <w:lang w:val="en-US"/>
        </w:rPr>
        <w:t xml:space="preserve"> to other forms of intimacy (</w:t>
      </w:r>
      <w:r w:rsidR="00C93990" w:rsidRPr="00B817E3">
        <w:rPr>
          <w:rFonts w:ascii="Times New Roman" w:hAnsi="Times New Roman" w:cs="Times New Roman"/>
          <w:lang w:val="en-US"/>
        </w:rPr>
        <w:t>e.g.,</w:t>
      </w:r>
      <w:r w:rsidRPr="00B817E3">
        <w:rPr>
          <w:rFonts w:ascii="Times New Roman" w:hAnsi="Times New Roman" w:cs="Times New Roman"/>
          <w:lang w:val="en-US"/>
        </w:rPr>
        <w:t xml:space="preserve"> kissing). Certain communities believe that kissing is consent for sexual intercourse.</w:t>
      </w:r>
    </w:p>
    <w:p w14:paraId="55249F2C" w14:textId="6351EF30" w:rsidR="00E610FC" w:rsidRPr="00B817E3" w:rsidRDefault="00E610FC" w:rsidP="0079401A">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M. Yahya Harahap </w:t>
      </w:r>
      <w:r w:rsidR="00F66FF0" w:rsidRPr="00B817E3">
        <w:rPr>
          <w:rFonts w:ascii="Times New Roman" w:hAnsi="Times New Roman" w:cs="Times New Roman"/>
          <w:sz w:val="24"/>
          <w:szCs w:val="24"/>
        </w:rPr>
        <w:t>stated</w:t>
      </w:r>
      <w:r w:rsidRPr="00B817E3">
        <w:rPr>
          <w:rFonts w:ascii="Times New Roman" w:hAnsi="Times New Roman" w:cs="Times New Roman"/>
          <w:sz w:val="24"/>
          <w:szCs w:val="24"/>
        </w:rPr>
        <w:t xml:space="preserve"> that humans, either suspects or defendants, must be treated according to the dignity and </w:t>
      </w:r>
      <w:r w:rsidR="009C56BF" w:rsidRPr="00B817E3">
        <w:rPr>
          <w:rFonts w:ascii="Times New Roman" w:hAnsi="Times New Roman" w:cs="Times New Roman"/>
          <w:sz w:val="24"/>
          <w:szCs w:val="24"/>
        </w:rPr>
        <w:t xml:space="preserve">honor </w:t>
      </w:r>
      <w:r w:rsidRPr="00B817E3">
        <w:rPr>
          <w:rFonts w:ascii="Times New Roman" w:hAnsi="Times New Roman" w:cs="Times New Roman"/>
          <w:sz w:val="24"/>
          <w:szCs w:val="24"/>
        </w:rPr>
        <w:t xml:space="preserve">inherent in them. Women </w:t>
      </w:r>
      <w:r w:rsidR="00290826" w:rsidRPr="00B817E3">
        <w:rPr>
          <w:rFonts w:ascii="Times New Roman" w:hAnsi="Times New Roman" w:cs="Times New Roman"/>
          <w:sz w:val="24"/>
          <w:szCs w:val="24"/>
        </w:rPr>
        <w:t xml:space="preserve">must not be seen as </w:t>
      </w:r>
      <w:r w:rsidRPr="00B817E3">
        <w:rPr>
          <w:rFonts w:ascii="Times New Roman" w:hAnsi="Times New Roman" w:cs="Times New Roman"/>
          <w:sz w:val="24"/>
          <w:szCs w:val="24"/>
        </w:rPr>
        <w:t>merchandise</w:t>
      </w:r>
      <w:r w:rsidR="00290826" w:rsidRPr="00B817E3">
        <w:rPr>
          <w:rFonts w:ascii="Times New Roman" w:hAnsi="Times New Roman" w:cs="Times New Roman"/>
          <w:sz w:val="24"/>
          <w:szCs w:val="24"/>
        </w:rPr>
        <w:t>s</w:t>
      </w:r>
      <w:r w:rsidRPr="00B817E3">
        <w:rPr>
          <w:rFonts w:ascii="Times New Roman" w:hAnsi="Times New Roman" w:cs="Times New Roman"/>
          <w:sz w:val="24"/>
          <w:szCs w:val="24"/>
        </w:rPr>
        <w:t xml:space="preserve"> that can be exploited for profit and </w:t>
      </w:r>
      <w:r w:rsidR="00290826" w:rsidRPr="00B817E3">
        <w:rPr>
          <w:rFonts w:ascii="Times New Roman" w:hAnsi="Times New Roman" w:cs="Times New Roman"/>
          <w:sz w:val="24"/>
          <w:szCs w:val="24"/>
        </w:rPr>
        <w:t xml:space="preserve">the </w:t>
      </w:r>
      <w:r w:rsidRPr="00B817E3">
        <w:rPr>
          <w:rFonts w:ascii="Times New Roman" w:hAnsi="Times New Roman" w:cs="Times New Roman"/>
          <w:sz w:val="24"/>
          <w:szCs w:val="24"/>
        </w:rPr>
        <w:t>wealth of law enforce</w:t>
      </w:r>
      <w:r w:rsidR="00290826" w:rsidRPr="00B817E3">
        <w:rPr>
          <w:rFonts w:ascii="Times New Roman" w:hAnsi="Times New Roman" w:cs="Times New Roman"/>
          <w:sz w:val="24"/>
          <w:szCs w:val="24"/>
        </w:rPr>
        <w:t>rs</w:t>
      </w:r>
      <w:r w:rsidRPr="00B817E3">
        <w:rPr>
          <w:rFonts w:ascii="Times New Roman" w:hAnsi="Times New Roman" w:cs="Times New Roman"/>
          <w:sz w:val="24"/>
          <w:szCs w:val="24"/>
        </w:rPr>
        <w:t xml:space="preserve">. </w:t>
      </w:r>
      <w:r w:rsidR="0079401A" w:rsidRPr="00B817E3">
        <w:rPr>
          <w:rFonts w:ascii="Times New Roman" w:hAnsi="Times New Roman" w:cs="Times New Roman"/>
          <w:sz w:val="24"/>
          <w:szCs w:val="24"/>
        </w:rPr>
        <w:t xml:space="preserve">In the </w:t>
      </w:r>
      <w:r w:rsidRPr="00B817E3">
        <w:rPr>
          <w:rFonts w:ascii="Times New Roman" w:hAnsi="Times New Roman" w:cs="Times New Roman"/>
          <w:sz w:val="24"/>
          <w:szCs w:val="24"/>
        </w:rPr>
        <w:t xml:space="preserve">fight for these </w:t>
      </w:r>
      <w:r w:rsidR="0079401A" w:rsidRPr="00B817E3">
        <w:rPr>
          <w:rFonts w:ascii="Times New Roman" w:hAnsi="Times New Roman" w:cs="Times New Roman"/>
          <w:sz w:val="24"/>
          <w:szCs w:val="24"/>
        </w:rPr>
        <w:t xml:space="preserve">right for </w:t>
      </w:r>
      <w:r w:rsidRPr="00B817E3">
        <w:rPr>
          <w:rFonts w:ascii="Times New Roman" w:hAnsi="Times New Roman" w:cs="Times New Roman"/>
          <w:sz w:val="24"/>
          <w:szCs w:val="24"/>
        </w:rPr>
        <w:t xml:space="preserve">women, various policies and programs have been implemented, but the results still have to be improved. One of the forms of </w:t>
      </w:r>
      <w:r w:rsidR="00F66FF0" w:rsidRPr="00B817E3">
        <w:rPr>
          <w:rFonts w:ascii="Times New Roman" w:hAnsi="Times New Roman" w:cs="Times New Roman"/>
          <w:sz w:val="24"/>
          <w:szCs w:val="24"/>
        </w:rPr>
        <w:t xml:space="preserve">the </w:t>
      </w:r>
      <w:r w:rsidRPr="00B817E3">
        <w:rPr>
          <w:rFonts w:ascii="Times New Roman" w:hAnsi="Times New Roman" w:cs="Times New Roman"/>
          <w:sz w:val="24"/>
          <w:szCs w:val="24"/>
        </w:rPr>
        <w:t xml:space="preserve">policy is legislation, namely the ratification of the convention on the elimination of all forms of discrimination against women. Equality between women and men is a long process which is still being fought for. </w:t>
      </w:r>
      <w:r w:rsidR="0079401A" w:rsidRPr="00B817E3">
        <w:rPr>
          <w:rFonts w:ascii="Times New Roman" w:hAnsi="Times New Roman" w:cs="Times New Roman"/>
          <w:sz w:val="24"/>
          <w:szCs w:val="24"/>
        </w:rPr>
        <w:t>Hence</w:t>
      </w:r>
      <w:r w:rsidRPr="00B817E3">
        <w:rPr>
          <w:rFonts w:ascii="Times New Roman" w:hAnsi="Times New Roman" w:cs="Times New Roman"/>
          <w:sz w:val="24"/>
          <w:szCs w:val="24"/>
        </w:rPr>
        <w:t xml:space="preserve">, </w:t>
      </w:r>
      <w:r w:rsidR="0079401A" w:rsidRPr="00B817E3">
        <w:rPr>
          <w:rFonts w:ascii="Times New Roman" w:hAnsi="Times New Roman" w:cs="Times New Roman"/>
          <w:sz w:val="24"/>
          <w:szCs w:val="24"/>
        </w:rPr>
        <w:t xml:space="preserve">this research </w:t>
      </w:r>
      <w:r w:rsidRPr="00B817E3">
        <w:rPr>
          <w:rFonts w:ascii="Times New Roman" w:hAnsi="Times New Roman" w:cs="Times New Roman"/>
          <w:sz w:val="24"/>
          <w:szCs w:val="24"/>
        </w:rPr>
        <w:t>discuss</w:t>
      </w:r>
      <w:r w:rsidR="0079401A" w:rsidRPr="00B817E3">
        <w:rPr>
          <w:rFonts w:ascii="Times New Roman" w:hAnsi="Times New Roman" w:cs="Times New Roman"/>
          <w:sz w:val="24"/>
          <w:szCs w:val="24"/>
        </w:rPr>
        <w:t xml:space="preserve">es </w:t>
      </w:r>
      <w:r w:rsidRPr="00B817E3">
        <w:rPr>
          <w:rFonts w:ascii="Times New Roman" w:hAnsi="Times New Roman" w:cs="Times New Roman"/>
          <w:sz w:val="24"/>
          <w:szCs w:val="24"/>
        </w:rPr>
        <w:t xml:space="preserve">more deeply about the role of escorts for women having cases before the law in the judicial </w:t>
      </w:r>
      <w:r w:rsidR="0079401A" w:rsidRPr="00B817E3">
        <w:rPr>
          <w:rFonts w:ascii="Times New Roman" w:hAnsi="Times New Roman" w:cs="Times New Roman"/>
          <w:sz w:val="24"/>
          <w:szCs w:val="24"/>
        </w:rPr>
        <w:t>realm</w:t>
      </w:r>
      <w:r w:rsidRPr="00B817E3">
        <w:rPr>
          <w:rFonts w:ascii="Times New Roman" w:hAnsi="Times New Roman" w:cs="Times New Roman"/>
          <w:sz w:val="24"/>
          <w:szCs w:val="24"/>
        </w:rPr>
        <w:t>, identif</w:t>
      </w:r>
      <w:r w:rsidR="0079401A" w:rsidRPr="00B817E3">
        <w:rPr>
          <w:rFonts w:ascii="Times New Roman" w:hAnsi="Times New Roman" w:cs="Times New Roman"/>
          <w:sz w:val="24"/>
          <w:szCs w:val="24"/>
        </w:rPr>
        <w:t>ies</w:t>
      </w:r>
      <w:r w:rsidRPr="00B817E3">
        <w:rPr>
          <w:rFonts w:ascii="Times New Roman" w:hAnsi="Times New Roman" w:cs="Times New Roman"/>
          <w:sz w:val="24"/>
          <w:szCs w:val="24"/>
        </w:rPr>
        <w:t xml:space="preserve"> obstacles </w:t>
      </w:r>
      <w:r w:rsidR="0079401A" w:rsidRPr="00B817E3">
        <w:rPr>
          <w:rFonts w:ascii="Times New Roman" w:hAnsi="Times New Roman" w:cs="Times New Roman"/>
          <w:sz w:val="24"/>
          <w:szCs w:val="24"/>
        </w:rPr>
        <w:t xml:space="preserve">found </w:t>
      </w:r>
      <w:r w:rsidRPr="00B817E3">
        <w:rPr>
          <w:rFonts w:ascii="Times New Roman" w:hAnsi="Times New Roman" w:cs="Times New Roman"/>
          <w:sz w:val="24"/>
          <w:szCs w:val="24"/>
        </w:rPr>
        <w:t xml:space="preserve">in the accompaniment </w:t>
      </w:r>
      <w:r w:rsidR="0079401A" w:rsidRPr="00B817E3">
        <w:rPr>
          <w:rFonts w:ascii="Times New Roman" w:hAnsi="Times New Roman" w:cs="Times New Roman"/>
          <w:sz w:val="24"/>
          <w:szCs w:val="24"/>
        </w:rPr>
        <w:t xml:space="preserve">of </w:t>
      </w:r>
      <w:r w:rsidRPr="00B817E3">
        <w:rPr>
          <w:rFonts w:ascii="Times New Roman" w:hAnsi="Times New Roman" w:cs="Times New Roman"/>
          <w:sz w:val="24"/>
          <w:szCs w:val="24"/>
        </w:rPr>
        <w:t xml:space="preserve">the escorts, and </w:t>
      </w:r>
      <w:r w:rsidR="0079401A" w:rsidRPr="00B817E3">
        <w:rPr>
          <w:rFonts w:ascii="Times New Roman" w:hAnsi="Times New Roman" w:cs="Times New Roman"/>
          <w:sz w:val="24"/>
          <w:szCs w:val="24"/>
        </w:rPr>
        <w:t xml:space="preserve">identifies </w:t>
      </w:r>
      <w:r w:rsidRPr="00B817E3">
        <w:rPr>
          <w:rFonts w:ascii="Times New Roman" w:hAnsi="Times New Roman" w:cs="Times New Roman"/>
          <w:sz w:val="24"/>
          <w:szCs w:val="24"/>
        </w:rPr>
        <w:t>efforts to overcome these obstacles.</w:t>
      </w:r>
    </w:p>
    <w:p w14:paraId="011DCB0A" w14:textId="77777777" w:rsidR="00C65136" w:rsidRPr="00B817E3" w:rsidRDefault="00C65136" w:rsidP="00C93990">
      <w:pPr>
        <w:spacing w:after="0" w:line="360" w:lineRule="auto"/>
        <w:jc w:val="both"/>
        <w:rPr>
          <w:rFonts w:ascii="Times New Roman" w:eastAsia="Times New Roman" w:hAnsi="Times New Roman" w:cs="Times New Roman"/>
          <w:sz w:val="24"/>
          <w:szCs w:val="24"/>
        </w:rPr>
      </w:pPr>
    </w:p>
    <w:p w14:paraId="6F02E1B2" w14:textId="3C8A1873" w:rsidR="00C65136" w:rsidRPr="00B817E3" w:rsidRDefault="001768C0" w:rsidP="00C93990">
      <w:pPr>
        <w:spacing w:after="0" w:line="360" w:lineRule="auto"/>
        <w:jc w:val="both"/>
        <w:rPr>
          <w:rFonts w:ascii="Times New Roman" w:eastAsia="Times New Roman" w:hAnsi="Times New Roman" w:cs="Times New Roman"/>
          <w:sz w:val="24"/>
          <w:szCs w:val="24"/>
        </w:rPr>
      </w:pPr>
      <w:r w:rsidRPr="00B817E3">
        <w:rPr>
          <w:rFonts w:ascii="Times New Roman" w:eastAsia="Times New Roman" w:hAnsi="Times New Roman" w:cs="Times New Roman"/>
          <w:b/>
          <w:bCs/>
          <w:sz w:val="24"/>
          <w:szCs w:val="24"/>
        </w:rPr>
        <w:t>METHOD</w:t>
      </w:r>
    </w:p>
    <w:p w14:paraId="5E198000" w14:textId="4F90BAC1" w:rsidR="00F66FF0" w:rsidRPr="00B817E3" w:rsidRDefault="00F66FF0" w:rsidP="00C93990">
      <w:pPr>
        <w:spacing w:after="0" w:line="360" w:lineRule="auto"/>
        <w:ind w:firstLine="720"/>
        <w:jc w:val="both"/>
        <w:rPr>
          <w:rFonts w:ascii="Times New Roman" w:eastAsia="SimSun" w:hAnsi="Times New Roman" w:cs="Times New Roman"/>
          <w:sz w:val="24"/>
          <w:szCs w:val="24"/>
          <w:lang w:eastAsia="en-ID"/>
        </w:rPr>
      </w:pPr>
      <w:r w:rsidRPr="00B817E3">
        <w:rPr>
          <w:rFonts w:ascii="Times New Roman" w:eastAsia="SimSun" w:hAnsi="Times New Roman" w:cs="Times New Roman"/>
          <w:sz w:val="24"/>
          <w:szCs w:val="24"/>
          <w:lang w:eastAsia="en-ID"/>
        </w:rPr>
        <w:t>This normative research uses statute approach, conceptual approach, and case approach</w:t>
      </w:r>
      <w:r w:rsidR="0079401A" w:rsidRPr="00B817E3">
        <w:rPr>
          <w:rFonts w:ascii="Times New Roman" w:eastAsia="SimSun" w:hAnsi="Times New Roman" w:cs="Times New Roman"/>
          <w:sz w:val="24"/>
          <w:szCs w:val="24"/>
          <w:lang w:eastAsia="en-ID"/>
        </w:rPr>
        <w:t>;</w:t>
      </w:r>
      <w:r w:rsidRPr="00B817E3">
        <w:rPr>
          <w:rFonts w:ascii="Times New Roman" w:eastAsia="SimSun" w:hAnsi="Times New Roman" w:cs="Times New Roman"/>
          <w:sz w:val="24"/>
          <w:szCs w:val="24"/>
          <w:lang w:eastAsia="en-ID"/>
        </w:rPr>
        <w:t xml:space="preserve"> the data </w:t>
      </w:r>
      <w:r w:rsidR="0079401A" w:rsidRPr="00B817E3">
        <w:rPr>
          <w:rFonts w:ascii="Times New Roman" w:eastAsia="SimSun" w:hAnsi="Times New Roman" w:cs="Times New Roman"/>
          <w:sz w:val="24"/>
          <w:szCs w:val="24"/>
          <w:lang w:eastAsia="en-ID"/>
        </w:rPr>
        <w:t xml:space="preserve">of which </w:t>
      </w:r>
      <w:r w:rsidRPr="00B817E3">
        <w:rPr>
          <w:rFonts w:ascii="Times New Roman" w:eastAsia="SimSun" w:hAnsi="Times New Roman" w:cs="Times New Roman"/>
          <w:sz w:val="24"/>
          <w:szCs w:val="24"/>
          <w:lang w:eastAsia="en-ID"/>
        </w:rPr>
        <w:t>was harvested from interviews.</w:t>
      </w:r>
    </w:p>
    <w:p w14:paraId="5AEAC5B2" w14:textId="77777777" w:rsidR="00C65136" w:rsidRPr="00B817E3" w:rsidRDefault="00C65136" w:rsidP="00C93990">
      <w:pPr>
        <w:spacing w:after="0" w:line="360" w:lineRule="auto"/>
        <w:jc w:val="both"/>
        <w:rPr>
          <w:rFonts w:ascii="Times New Roman" w:eastAsia="Times New Roman" w:hAnsi="Times New Roman" w:cs="Times New Roman"/>
          <w:sz w:val="24"/>
          <w:szCs w:val="24"/>
        </w:rPr>
      </w:pPr>
    </w:p>
    <w:p w14:paraId="7BAF1ACC" w14:textId="02406B0D" w:rsidR="00C65136" w:rsidRPr="00B817E3" w:rsidRDefault="001768C0" w:rsidP="00C93990">
      <w:pPr>
        <w:spacing w:after="0" w:line="360" w:lineRule="auto"/>
        <w:jc w:val="both"/>
        <w:rPr>
          <w:rFonts w:ascii="Times New Roman" w:eastAsia="Times New Roman" w:hAnsi="Times New Roman" w:cs="Times New Roman"/>
          <w:b/>
          <w:bCs/>
          <w:sz w:val="24"/>
          <w:szCs w:val="24"/>
        </w:rPr>
      </w:pPr>
      <w:r w:rsidRPr="00B817E3">
        <w:rPr>
          <w:rFonts w:ascii="Times New Roman" w:eastAsia="Times New Roman" w:hAnsi="Times New Roman" w:cs="Times New Roman"/>
          <w:b/>
          <w:bCs/>
          <w:sz w:val="24"/>
          <w:szCs w:val="24"/>
        </w:rPr>
        <w:t xml:space="preserve">DISCUSSION AND </w:t>
      </w:r>
      <w:r w:rsidR="00961700" w:rsidRPr="00B817E3">
        <w:rPr>
          <w:rFonts w:ascii="Times New Roman" w:eastAsia="Times New Roman" w:hAnsi="Times New Roman" w:cs="Times New Roman"/>
          <w:b/>
          <w:bCs/>
          <w:sz w:val="24"/>
          <w:szCs w:val="24"/>
        </w:rPr>
        <w:t>ANAL</w:t>
      </w:r>
      <w:r w:rsidRPr="00B817E3">
        <w:rPr>
          <w:rFonts w:ascii="Times New Roman" w:eastAsia="Times New Roman" w:hAnsi="Times New Roman" w:cs="Times New Roman"/>
          <w:b/>
          <w:bCs/>
          <w:sz w:val="24"/>
          <w:szCs w:val="24"/>
        </w:rPr>
        <w:t>Y</w:t>
      </w:r>
      <w:r w:rsidR="00961700" w:rsidRPr="00B817E3">
        <w:rPr>
          <w:rFonts w:ascii="Times New Roman" w:eastAsia="Times New Roman" w:hAnsi="Times New Roman" w:cs="Times New Roman"/>
          <w:b/>
          <w:bCs/>
          <w:sz w:val="24"/>
          <w:szCs w:val="24"/>
        </w:rPr>
        <w:t xml:space="preserve">SIS </w:t>
      </w:r>
    </w:p>
    <w:p w14:paraId="4A3A825F" w14:textId="63EA6DCA" w:rsidR="00DE70AC" w:rsidRPr="00B817E3" w:rsidRDefault="00F66FF0" w:rsidP="00DE70AC">
      <w:pPr>
        <w:spacing w:after="0" w:line="360" w:lineRule="auto"/>
        <w:ind w:firstLine="720"/>
        <w:jc w:val="both"/>
        <w:rPr>
          <w:rFonts w:ascii="Times New Roman" w:eastAsia="Times New Roman" w:hAnsi="Times New Roman" w:cs="Times New Roman"/>
          <w:color w:val="000000"/>
          <w:sz w:val="24"/>
          <w:szCs w:val="24"/>
          <w:lang w:eastAsia="en-ID"/>
        </w:rPr>
      </w:pPr>
      <w:r w:rsidRPr="00B817E3">
        <w:rPr>
          <w:rFonts w:ascii="Times New Roman" w:eastAsia="Times New Roman" w:hAnsi="Times New Roman" w:cs="Times New Roman"/>
          <w:color w:val="000000"/>
          <w:sz w:val="24"/>
          <w:szCs w:val="24"/>
          <w:lang w:eastAsia="en-ID"/>
        </w:rPr>
        <w:t>According to Chapter 1 of the Regulation of the Supreme Court of the Republic of Indonesia number 3 of 2017 concerning the Guidelines for Adjudicating Woman's Cases Before the Law, women will be considered to have cases before the law if they are included into either of the following three categories.</w:t>
      </w:r>
      <w:r w:rsidR="00DE70AC" w:rsidRPr="00B817E3">
        <w:rPr>
          <w:rFonts w:ascii="Times New Roman" w:eastAsia="Times New Roman" w:hAnsi="Times New Roman" w:cs="Times New Roman"/>
          <w:color w:val="000000"/>
          <w:vertAlign w:val="superscript"/>
        </w:rPr>
        <w:t xml:space="preserve"> </w:t>
      </w:r>
      <w:r w:rsidR="00DE70AC" w:rsidRPr="00B817E3">
        <w:rPr>
          <w:rFonts w:ascii="Times New Roman" w:eastAsia="Times New Roman" w:hAnsi="Times New Roman" w:cs="Times New Roman"/>
          <w:color w:val="000000"/>
          <w:sz w:val="24"/>
          <w:szCs w:val="24"/>
          <w:vertAlign w:val="superscript"/>
          <w:lang w:eastAsia="en-ID"/>
        </w:rPr>
        <w:footnoteReference w:id="5"/>
      </w:r>
      <w:r w:rsidR="00DE70AC" w:rsidRPr="00B817E3">
        <w:rPr>
          <w:rFonts w:ascii="Times New Roman" w:eastAsia="Times New Roman" w:hAnsi="Times New Roman" w:cs="Times New Roman"/>
          <w:color w:val="000000"/>
          <w:sz w:val="24"/>
          <w:szCs w:val="24"/>
          <w:lang w:eastAsia="en-ID"/>
        </w:rPr>
        <w:t xml:space="preserve"> </w:t>
      </w:r>
    </w:p>
    <w:p w14:paraId="569BD80E" w14:textId="77AA97EE" w:rsidR="00F66FF0" w:rsidRPr="00B817E3" w:rsidRDefault="00F66FF0" w:rsidP="00C93990">
      <w:pPr>
        <w:pStyle w:val="ListParagraph"/>
        <w:numPr>
          <w:ilvl w:val="0"/>
          <w:numId w:val="26"/>
        </w:numPr>
        <w:spacing w:before="0" w:beforeAutospacing="0" w:after="0" w:afterAutospacing="0" w:line="360" w:lineRule="auto"/>
        <w:jc w:val="both"/>
        <w:rPr>
          <w:rFonts w:ascii="Times New Roman" w:eastAsia="Times New Roman" w:hAnsi="Times New Roman" w:cs="Times New Roman"/>
          <w:color w:val="000000"/>
          <w:lang w:val="en-US"/>
        </w:rPr>
      </w:pPr>
      <w:r w:rsidRPr="00B817E3">
        <w:rPr>
          <w:rFonts w:ascii="Times New Roman" w:eastAsia="Times New Roman" w:hAnsi="Times New Roman" w:cs="Times New Roman"/>
          <w:color w:val="000000"/>
          <w:lang w:val="en-US"/>
        </w:rPr>
        <w:t>Women as victims</w:t>
      </w:r>
    </w:p>
    <w:p w14:paraId="33BC7DBC" w14:textId="343C4ABB" w:rsidR="00F66FF0" w:rsidRPr="00B817E3" w:rsidRDefault="00F66FF0" w:rsidP="00C93990">
      <w:pPr>
        <w:pStyle w:val="ListParagraph"/>
        <w:numPr>
          <w:ilvl w:val="0"/>
          <w:numId w:val="26"/>
        </w:numPr>
        <w:spacing w:before="0" w:beforeAutospacing="0" w:after="0" w:afterAutospacing="0" w:line="360" w:lineRule="auto"/>
        <w:jc w:val="both"/>
        <w:rPr>
          <w:rFonts w:ascii="Times New Roman" w:eastAsia="Times New Roman" w:hAnsi="Times New Roman" w:cs="Times New Roman"/>
          <w:color w:val="000000"/>
          <w:lang w:val="en-US"/>
        </w:rPr>
      </w:pPr>
      <w:r w:rsidRPr="00B817E3">
        <w:rPr>
          <w:rFonts w:ascii="Times New Roman" w:eastAsia="Times New Roman" w:hAnsi="Times New Roman" w:cs="Times New Roman"/>
          <w:color w:val="000000"/>
          <w:lang w:val="en-US"/>
        </w:rPr>
        <w:t>Women as witnesses</w:t>
      </w:r>
    </w:p>
    <w:p w14:paraId="6130574F" w14:textId="02FE893E" w:rsidR="00F66FF0" w:rsidRPr="00B817E3" w:rsidRDefault="00F66FF0" w:rsidP="00C93990">
      <w:pPr>
        <w:pStyle w:val="ListParagraph"/>
        <w:numPr>
          <w:ilvl w:val="0"/>
          <w:numId w:val="26"/>
        </w:numPr>
        <w:spacing w:before="0" w:beforeAutospacing="0" w:after="0" w:afterAutospacing="0" w:line="360" w:lineRule="auto"/>
        <w:jc w:val="both"/>
        <w:rPr>
          <w:rFonts w:ascii="Times New Roman" w:eastAsia="Times New Roman" w:hAnsi="Times New Roman" w:cs="Times New Roman"/>
          <w:color w:val="000000"/>
          <w:lang w:val="en-US"/>
        </w:rPr>
      </w:pPr>
      <w:r w:rsidRPr="00B817E3">
        <w:rPr>
          <w:rFonts w:ascii="Times New Roman" w:eastAsia="Times New Roman" w:hAnsi="Times New Roman" w:cs="Times New Roman"/>
          <w:color w:val="000000"/>
          <w:lang w:val="en-US"/>
        </w:rPr>
        <w:lastRenderedPageBreak/>
        <w:t>Women as a party</w:t>
      </w:r>
    </w:p>
    <w:p w14:paraId="5BD6B2E1" w14:textId="1B696753" w:rsidR="00F66FF0" w:rsidRPr="00B817E3" w:rsidRDefault="00F66FF0" w:rsidP="00DE70AC">
      <w:pPr>
        <w:spacing w:after="0" w:line="360" w:lineRule="auto"/>
        <w:ind w:firstLine="720"/>
        <w:jc w:val="both"/>
        <w:rPr>
          <w:rFonts w:ascii="Times New Roman" w:eastAsia="Times New Roman" w:hAnsi="Times New Roman" w:cs="Times New Roman"/>
          <w:color w:val="000000"/>
          <w:sz w:val="24"/>
          <w:szCs w:val="24"/>
          <w:lang w:eastAsia="en-ID"/>
        </w:rPr>
      </w:pPr>
      <w:r w:rsidRPr="00B817E3">
        <w:rPr>
          <w:rFonts w:ascii="Times New Roman" w:eastAsia="Times New Roman" w:hAnsi="Times New Roman" w:cs="Times New Roman"/>
          <w:color w:val="000000"/>
          <w:sz w:val="24"/>
          <w:szCs w:val="24"/>
          <w:lang w:eastAsia="en-ID"/>
        </w:rPr>
        <w:t>Chapter 2 of the Regulation of the Supreme Court of the Republic of Indonesia number 3 of 2017 concerning the Guidelines for Adjudicating Women's Cases Before the Law states the principles that must be obeyed by judges in trying cases in this context.</w:t>
      </w:r>
      <w:r w:rsidR="00DE70AC" w:rsidRPr="00B817E3">
        <w:rPr>
          <w:rFonts w:ascii="Times New Roman" w:eastAsia="Times New Roman" w:hAnsi="Times New Roman" w:cs="Times New Roman"/>
          <w:color w:val="000000"/>
          <w:sz w:val="24"/>
          <w:szCs w:val="24"/>
          <w:vertAlign w:val="superscript"/>
          <w:lang w:eastAsia="en-ID"/>
        </w:rPr>
        <w:footnoteReference w:id="6"/>
      </w:r>
      <w:r w:rsidRPr="00B817E3">
        <w:rPr>
          <w:rFonts w:ascii="Times New Roman" w:eastAsia="Times New Roman" w:hAnsi="Times New Roman" w:cs="Times New Roman"/>
          <w:color w:val="000000"/>
          <w:sz w:val="24"/>
          <w:szCs w:val="24"/>
          <w:lang w:eastAsia="en-ID"/>
        </w:rPr>
        <w:t xml:space="preserve"> These principles are respecting human dignity</w:t>
      </w:r>
      <w:r w:rsidR="009C56BF" w:rsidRPr="00B817E3">
        <w:rPr>
          <w:rFonts w:ascii="Times New Roman" w:eastAsia="Times New Roman" w:hAnsi="Times New Roman" w:cs="Times New Roman"/>
          <w:color w:val="000000"/>
          <w:sz w:val="24"/>
          <w:szCs w:val="24"/>
          <w:lang w:eastAsia="en-ID"/>
        </w:rPr>
        <w:t xml:space="preserve"> and honor</w:t>
      </w:r>
      <w:r w:rsidRPr="00B817E3">
        <w:rPr>
          <w:rFonts w:ascii="Times New Roman" w:eastAsia="Times New Roman" w:hAnsi="Times New Roman" w:cs="Times New Roman"/>
          <w:color w:val="000000"/>
          <w:sz w:val="24"/>
          <w:szCs w:val="24"/>
          <w:lang w:eastAsia="en-ID"/>
        </w:rPr>
        <w:t>, eliminating discrimination, upholding gender equality, recognizing equality before the law, upholding justice, providing expediency, and providing legal certainty.</w:t>
      </w:r>
    </w:p>
    <w:p w14:paraId="688E4EE7" w14:textId="2372E418" w:rsidR="00917D55" w:rsidRPr="00B817E3" w:rsidRDefault="001768C0" w:rsidP="00C93990">
      <w:pPr>
        <w:pStyle w:val="ListParagraph"/>
        <w:numPr>
          <w:ilvl w:val="0"/>
          <w:numId w:val="27"/>
        </w:numPr>
        <w:spacing w:before="0" w:beforeAutospacing="0" w:after="0" w:afterAutospacing="0" w:line="360" w:lineRule="auto"/>
        <w:ind w:left="364"/>
        <w:jc w:val="both"/>
        <w:rPr>
          <w:rFonts w:ascii="Times New Roman" w:hAnsi="Times New Roman" w:cs="Times New Roman"/>
          <w:b/>
          <w:bCs/>
          <w:lang w:val="en-US"/>
        </w:rPr>
      </w:pPr>
      <w:r w:rsidRPr="00B817E3">
        <w:rPr>
          <w:rFonts w:ascii="Times New Roman" w:hAnsi="Times New Roman" w:cs="Times New Roman"/>
          <w:b/>
          <w:bCs/>
          <w:lang w:val="en-US"/>
        </w:rPr>
        <w:t>Arrangement of</w:t>
      </w:r>
      <w:r w:rsidR="00284864" w:rsidRPr="00B817E3">
        <w:rPr>
          <w:rFonts w:ascii="Times New Roman" w:hAnsi="Times New Roman" w:cs="Times New Roman"/>
          <w:b/>
          <w:bCs/>
          <w:lang w:val="en-US"/>
        </w:rPr>
        <w:t xml:space="preserve"> </w:t>
      </w:r>
      <w:r w:rsidR="00546CCF" w:rsidRPr="00B817E3">
        <w:rPr>
          <w:rFonts w:ascii="Times New Roman" w:hAnsi="Times New Roman" w:cs="Times New Roman"/>
          <w:b/>
          <w:bCs/>
          <w:lang w:val="en-US"/>
        </w:rPr>
        <w:t>Escort</w:t>
      </w:r>
      <w:r w:rsidR="00284864" w:rsidRPr="00B817E3">
        <w:rPr>
          <w:rFonts w:ascii="Times New Roman" w:hAnsi="Times New Roman" w:cs="Times New Roman"/>
          <w:b/>
          <w:bCs/>
          <w:lang w:val="en-US"/>
        </w:rPr>
        <w:t xml:space="preserve"> </w:t>
      </w:r>
      <w:r w:rsidRPr="00B817E3">
        <w:rPr>
          <w:rFonts w:ascii="Times New Roman" w:hAnsi="Times New Roman" w:cs="Times New Roman"/>
          <w:b/>
          <w:bCs/>
          <w:lang w:val="en-US"/>
        </w:rPr>
        <w:t xml:space="preserve">for Women Having Cases Before </w:t>
      </w:r>
      <w:r w:rsidR="004A43FD" w:rsidRPr="00B817E3">
        <w:rPr>
          <w:rFonts w:ascii="Times New Roman" w:hAnsi="Times New Roman" w:cs="Times New Roman"/>
          <w:b/>
          <w:bCs/>
          <w:lang w:val="en-US"/>
        </w:rPr>
        <w:t xml:space="preserve">the </w:t>
      </w:r>
      <w:r w:rsidRPr="00B817E3">
        <w:rPr>
          <w:rFonts w:ascii="Times New Roman" w:hAnsi="Times New Roman" w:cs="Times New Roman"/>
          <w:b/>
          <w:bCs/>
          <w:lang w:val="en-US"/>
        </w:rPr>
        <w:t xml:space="preserve">Law </w:t>
      </w:r>
      <w:r w:rsidR="00284864" w:rsidRPr="00B817E3">
        <w:rPr>
          <w:rFonts w:ascii="Times New Roman" w:hAnsi="Times New Roman" w:cs="Times New Roman"/>
          <w:b/>
          <w:bCs/>
          <w:lang w:val="en-US"/>
        </w:rPr>
        <w:t>di Palembang</w:t>
      </w:r>
    </w:p>
    <w:p w14:paraId="06B979C9" w14:textId="3FCD16D5" w:rsidR="00DE70AC" w:rsidRPr="00B817E3" w:rsidRDefault="00F66FF0" w:rsidP="00DE70AC">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In relation to the recognition, protection, and fulfillment of human rights, the legal sources that must be used are as follows.</w:t>
      </w:r>
      <w:r w:rsidR="00DE70AC" w:rsidRPr="00B817E3">
        <w:rPr>
          <w:vertAlign w:val="superscript"/>
        </w:rPr>
        <w:t xml:space="preserve"> </w:t>
      </w:r>
      <w:r w:rsidR="00DE70AC" w:rsidRPr="00B817E3">
        <w:rPr>
          <w:rFonts w:ascii="Times New Roman" w:eastAsia="Tahoma" w:hAnsi="Times New Roman" w:cs="Times New Roman"/>
          <w:sz w:val="24"/>
          <w:szCs w:val="24"/>
          <w:vertAlign w:val="superscript"/>
        </w:rPr>
        <w:footnoteReference w:id="7"/>
      </w:r>
      <w:r w:rsidR="00DE70AC" w:rsidRPr="00B817E3">
        <w:rPr>
          <w:rFonts w:ascii="Times New Roman" w:eastAsia="Tahoma" w:hAnsi="Times New Roman" w:cs="Times New Roman"/>
          <w:sz w:val="24"/>
          <w:szCs w:val="24"/>
        </w:rPr>
        <w:t xml:space="preserve"> </w:t>
      </w:r>
    </w:p>
    <w:p w14:paraId="2AF1B8C8" w14:textId="12E549F5"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Indonesian Constitution. It contains fourteen groups of rights which are described in the forty constitutional rights of citizens. Chapter 27 article 1 of the constitution states that all people are equal before the law.</w:t>
      </w:r>
    </w:p>
    <w:p w14:paraId="164AA554" w14:textId="2E08EF06"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Law number 8 of 1981 concerning the code of criminal procedure. The rights of suspects and defendants are regulated by the code in Chapters 50 to 68.</w:t>
      </w:r>
    </w:p>
    <w:p w14:paraId="48B544BB" w14:textId="38475205"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 xml:space="preserve">The Law of the Republic of Indonesia number 7 of 1984 concerning </w:t>
      </w:r>
      <w:r w:rsidR="0079401A" w:rsidRPr="00B817E3">
        <w:rPr>
          <w:rFonts w:ascii="Times New Roman" w:eastAsia="Tahoma" w:hAnsi="Times New Roman" w:cs="Times New Roman"/>
          <w:lang w:val="en-US"/>
        </w:rPr>
        <w:t xml:space="preserve">the ratification </w:t>
      </w:r>
      <w:r w:rsidRPr="00B817E3">
        <w:rPr>
          <w:rFonts w:ascii="Times New Roman" w:eastAsia="Tahoma" w:hAnsi="Times New Roman" w:cs="Times New Roman"/>
          <w:lang w:val="en-US"/>
        </w:rPr>
        <w:t xml:space="preserve">of the Convention on </w:t>
      </w:r>
      <w:r w:rsidR="0079401A" w:rsidRPr="00B817E3">
        <w:rPr>
          <w:rFonts w:ascii="Times New Roman" w:eastAsia="Tahoma" w:hAnsi="Times New Roman" w:cs="Times New Roman"/>
          <w:lang w:val="en-US"/>
        </w:rPr>
        <w:t xml:space="preserve">the </w:t>
      </w:r>
      <w:r w:rsidRPr="00B817E3">
        <w:rPr>
          <w:rFonts w:ascii="Times New Roman" w:eastAsia="Tahoma" w:hAnsi="Times New Roman" w:cs="Times New Roman"/>
          <w:lang w:val="en-US"/>
        </w:rPr>
        <w:t>Elimination of All Forms of Discrimination Against Women</w:t>
      </w:r>
    </w:p>
    <w:p w14:paraId="6D1AA321" w14:textId="678348A4"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Law of the Republic of Indonesia number 39 of 1999 concerning human rights</w:t>
      </w:r>
    </w:p>
    <w:p w14:paraId="31F12A17" w14:textId="1C9A7D6D"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Law of the Republic of Indonesia number 11 of 2005 on the ratification of the International Convention on Economic, Social, and Cultural Rights</w:t>
      </w:r>
    </w:p>
    <w:p w14:paraId="0BE88D00" w14:textId="78C9CC72"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Law of the Republic of Indonesia number 12 of 2005 on the ratification of the International Convention on Civil and Political Rights</w:t>
      </w:r>
    </w:p>
    <w:p w14:paraId="7375E7E7" w14:textId="183021C2"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 xml:space="preserve">The Law of the Republic of Indonesia number 19 of 2011 on the ratification of the Convention on the Rights of the Persons </w:t>
      </w:r>
      <w:r w:rsidR="0079401A" w:rsidRPr="00B817E3">
        <w:rPr>
          <w:rFonts w:ascii="Times New Roman" w:eastAsia="Tahoma" w:hAnsi="Times New Roman" w:cs="Times New Roman"/>
          <w:lang w:val="en-US"/>
        </w:rPr>
        <w:t xml:space="preserve">with </w:t>
      </w:r>
      <w:r w:rsidRPr="00B817E3">
        <w:rPr>
          <w:rFonts w:ascii="Times New Roman" w:eastAsia="Tahoma" w:hAnsi="Times New Roman" w:cs="Times New Roman"/>
          <w:lang w:val="en-US"/>
        </w:rPr>
        <w:t>Disabilities</w:t>
      </w:r>
    </w:p>
    <w:p w14:paraId="0D4E7DE2" w14:textId="391D5944"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 xml:space="preserve">Presidential Decree Number 36 of 1990 concerning </w:t>
      </w:r>
      <w:r w:rsidR="0079401A" w:rsidRPr="00B817E3">
        <w:rPr>
          <w:rFonts w:ascii="Times New Roman" w:eastAsia="Tahoma" w:hAnsi="Times New Roman" w:cs="Times New Roman"/>
          <w:lang w:val="en-US"/>
        </w:rPr>
        <w:t xml:space="preserve">the ratification </w:t>
      </w:r>
      <w:r w:rsidRPr="00B817E3">
        <w:rPr>
          <w:rFonts w:ascii="Times New Roman" w:eastAsia="Tahoma" w:hAnsi="Times New Roman" w:cs="Times New Roman"/>
          <w:lang w:val="en-US"/>
        </w:rPr>
        <w:t>of the Convention on the Rights of Child</w:t>
      </w:r>
    </w:p>
    <w:p w14:paraId="17400F69" w14:textId="4CFB9DB8"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law of Protection for Witnesses and Victims</w:t>
      </w:r>
    </w:p>
    <w:p w14:paraId="0F9BED7D" w14:textId="72B50350" w:rsidR="00F66FF0" w:rsidRPr="00B817E3" w:rsidRDefault="00F66FF0" w:rsidP="00C93990">
      <w:pPr>
        <w:pStyle w:val="ListParagraph"/>
        <w:numPr>
          <w:ilvl w:val="0"/>
          <w:numId w:val="28"/>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lastRenderedPageBreak/>
        <w:t>The Regulation of the Supreme Court of the Republic of Indonesia number 3 of 2017 on the Guidelines for Adjudicating Women's Cases Before the Law</w:t>
      </w:r>
    </w:p>
    <w:p w14:paraId="472F4F81" w14:textId="77777777" w:rsidR="0079401A" w:rsidRPr="00B817E3" w:rsidRDefault="0079401A" w:rsidP="0079401A">
      <w:pPr>
        <w:pStyle w:val="ListParagraph"/>
        <w:spacing w:before="0" w:beforeAutospacing="0" w:after="0" w:afterAutospacing="0" w:line="360" w:lineRule="auto"/>
        <w:ind w:left="720"/>
        <w:jc w:val="both"/>
        <w:rPr>
          <w:rFonts w:ascii="Times New Roman" w:eastAsia="Tahoma" w:hAnsi="Times New Roman" w:cs="Times New Roman"/>
          <w:lang w:val="en-US"/>
        </w:rPr>
      </w:pPr>
    </w:p>
    <w:p w14:paraId="6BF28CAE" w14:textId="573BD4F1" w:rsidR="00F66FF0" w:rsidRPr="00B817E3" w:rsidRDefault="00F66FF0" w:rsidP="00C93990">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 xml:space="preserve">The issuance of the Regulation of the Supreme Court of the Republic of Indonesia number 3 of 2017 on the Guidelines for Adjudicating Women's Cases Before the Law is to ensure the elimination of all potential discrimination against women </w:t>
      </w:r>
      <w:r w:rsidR="0079401A" w:rsidRPr="00B817E3">
        <w:rPr>
          <w:rFonts w:ascii="Times New Roman" w:eastAsia="Tahoma" w:hAnsi="Times New Roman" w:cs="Times New Roman"/>
          <w:sz w:val="24"/>
          <w:szCs w:val="24"/>
        </w:rPr>
        <w:t xml:space="preserve">who are </w:t>
      </w:r>
      <w:r w:rsidRPr="00B817E3">
        <w:rPr>
          <w:rFonts w:ascii="Times New Roman" w:eastAsia="Tahoma" w:hAnsi="Times New Roman" w:cs="Times New Roman"/>
          <w:sz w:val="24"/>
          <w:szCs w:val="24"/>
        </w:rPr>
        <w:t xml:space="preserve">having cases before the law. This regulation is a step forward for the world of justice in Indonesia, and it is </w:t>
      </w:r>
      <w:r w:rsidR="0079401A" w:rsidRPr="00B817E3">
        <w:rPr>
          <w:rFonts w:ascii="Times New Roman" w:eastAsia="Tahoma" w:hAnsi="Times New Roman" w:cs="Times New Roman"/>
          <w:sz w:val="24"/>
          <w:szCs w:val="24"/>
        </w:rPr>
        <w:t>expected</w:t>
      </w:r>
      <w:r w:rsidRPr="00B817E3">
        <w:rPr>
          <w:rFonts w:ascii="Times New Roman" w:eastAsia="Tahoma" w:hAnsi="Times New Roman" w:cs="Times New Roman"/>
          <w:sz w:val="24"/>
          <w:szCs w:val="24"/>
        </w:rPr>
        <w:t xml:space="preserve"> that </w:t>
      </w:r>
      <w:r w:rsidR="0079401A" w:rsidRPr="00B817E3">
        <w:rPr>
          <w:rFonts w:ascii="Times New Roman" w:eastAsia="Tahoma" w:hAnsi="Times New Roman" w:cs="Times New Roman"/>
          <w:sz w:val="24"/>
          <w:szCs w:val="24"/>
        </w:rPr>
        <w:t>the regulation</w:t>
      </w:r>
      <w:r w:rsidRPr="00B817E3">
        <w:rPr>
          <w:rFonts w:ascii="Times New Roman" w:eastAsia="Tahoma" w:hAnsi="Times New Roman" w:cs="Times New Roman"/>
          <w:sz w:val="24"/>
          <w:szCs w:val="24"/>
        </w:rPr>
        <w:t xml:space="preserve"> will become a standard for judges and all judicial apparatus in handling cases involving women, either as perpetrators, witnesses, victims, or as a party.</w:t>
      </w:r>
    </w:p>
    <w:p w14:paraId="4F01EE4A" w14:textId="4C8B029B" w:rsidR="00DE70AC" w:rsidRPr="00B817E3" w:rsidRDefault="00F66FF0" w:rsidP="00DE70AC">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 xml:space="preserve">According to the Institute for Criminal Justice Reform (ICJR), prior to the issuance of the Regulation of the Supreme Court of the Republic of Indonesia number 3 of 2017 on the Guidelines for Adjudicating Women's Cases Before the Law, judges have different perceptions about trying cases involving women. There are several judges' decisions whose considerations </w:t>
      </w:r>
      <w:r w:rsidR="008A3DB7" w:rsidRPr="00B817E3">
        <w:rPr>
          <w:rFonts w:ascii="Times New Roman" w:eastAsia="Tahoma" w:hAnsi="Times New Roman" w:cs="Times New Roman"/>
          <w:sz w:val="24"/>
          <w:szCs w:val="24"/>
        </w:rPr>
        <w:t>distance</w:t>
      </w:r>
      <w:r w:rsidRPr="00B817E3">
        <w:rPr>
          <w:rFonts w:ascii="Times New Roman" w:eastAsia="Tahoma" w:hAnsi="Times New Roman" w:cs="Times New Roman"/>
          <w:sz w:val="24"/>
          <w:szCs w:val="24"/>
        </w:rPr>
        <w:t xml:space="preserve"> women from access to justice. A judge is expected to refer to and apply the principles of respecting human dignity</w:t>
      </w:r>
      <w:r w:rsidR="009C56BF" w:rsidRPr="00B817E3">
        <w:rPr>
          <w:rFonts w:ascii="Times New Roman" w:eastAsia="Tahoma" w:hAnsi="Times New Roman" w:cs="Times New Roman"/>
          <w:sz w:val="24"/>
          <w:szCs w:val="24"/>
        </w:rPr>
        <w:t xml:space="preserve"> and honor</w:t>
      </w:r>
      <w:r w:rsidRPr="00B817E3">
        <w:rPr>
          <w:rFonts w:ascii="Times New Roman" w:eastAsia="Tahoma" w:hAnsi="Times New Roman" w:cs="Times New Roman"/>
          <w:sz w:val="24"/>
          <w:szCs w:val="24"/>
        </w:rPr>
        <w:t>, eliminating discrimination, upholding gender equality, recognizing equality before the law, upholding justice, providing expediency, and providing legal certainty. In trying women's cases before the law, judges must be able to identify unequal situations or treatment</w:t>
      </w:r>
      <w:r w:rsidR="0079401A" w:rsidRPr="00B817E3">
        <w:rPr>
          <w:rFonts w:ascii="Times New Roman" w:eastAsia="Tahoma" w:hAnsi="Times New Roman" w:cs="Times New Roman"/>
          <w:sz w:val="24"/>
          <w:szCs w:val="24"/>
        </w:rPr>
        <w:t>s</w:t>
      </w:r>
      <w:r w:rsidRPr="00B817E3">
        <w:rPr>
          <w:rFonts w:ascii="Times New Roman" w:eastAsia="Tahoma" w:hAnsi="Times New Roman" w:cs="Times New Roman"/>
          <w:sz w:val="24"/>
          <w:szCs w:val="24"/>
        </w:rPr>
        <w:t xml:space="preserve"> that result in discrimination against women and </w:t>
      </w:r>
      <w:r w:rsidR="0079401A" w:rsidRPr="00B817E3">
        <w:rPr>
          <w:rFonts w:ascii="Times New Roman" w:eastAsia="Tahoma" w:hAnsi="Times New Roman" w:cs="Times New Roman"/>
          <w:sz w:val="24"/>
          <w:szCs w:val="24"/>
        </w:rPr>
        <w:t xml:space="preserve">must </w:t>
      </w:r>
      <w:r w:rsidRPr="00B817E3">
        <w:rPr>
          <w:rFonts w:ascii="Times New Roman" w:eastAsia="Tahoma" w:hAnsi="Times New Roman" w:cs="Times New Roman"/>
          <w:sz w:val="24"/>
          <w:szCs w:val="24"/>
        </w:rPr>
        <w:t xml:space="preserve">be able to </w:t>
      </w:r>
      <w:r w:rsidR="0079401A" w:rsidRPr="00B817E3">
        <w:rPr>
          <w:rFonts w:ascii="Times New Roman" w:eastAsia="Tahoma" w:hAnsi="Times New Roman" w:cs="Times New Roman"/>
          <w:sz w:val="24"/>
          <w:szCs w:val="24"/>
        </w:rPr>
        <w:t>ensure</w:t>
      </w:r>
      <w:r w:rsidRPr="00B817E3">
        <w:rPr>
          <w:rFonts w:ascii="Times New Roman" w:eastAsia="Tahoma" w:hAnsi="Times New Roman" w:cs="Times New Roman"/>
          <w:sz w:val="24"/>
          <w:szCs w:val="24"/>
        </w:rPr>
        <w:t xml:space="preserve"> women's rights to equal access to justice.</w:t>
      </w:r>
      <w:r w:rsidR="00DE70AC" w:rsidRPr="00B817E3">
        <w:rPr>
          <w:vertAlign w:val="superscript"/>
        </w:rPr>
        <w:t xml:space="preserve"> </w:t>
      </w:r>
      <w:r w:rsidR="00DE70AC" w:rsidRPr="00B817E3">
        <w:rPr>
          <w:rFonts w:ascii="Times New Roman" w:eastAsia="Tahoma" w:hAnsi="Times New Roman" w:cs="Times New Roman"/>
          <w:sz w:val="24"/>
          <w:szCs w:val="24"/>
          <w:vertAlign w:val="superscript"/>
        </w:rPr>
        <w:footnoteReference w:id="8"/>
      </w:r>
      <w:r w:rsidR="00DE70AC" w:rsidRPr="00B817E3">
        <w:rPr>
          <w:rFonts w:ascii="Times New Roman" w:eastAsia="Tahoma" w:hAnsi="Times New Roman" w:cs="Times New Roman"/>
          <w:sz w:val="24"/>
          <w:szCs w:val="24"/>
        </w:rPr>
        <w:t xml:space="preserve"> </w:t>
      </w:r>
    </w:p>
    <w:p w14:paraId="088B4E43" w14:textId="0C1D1E73" w:rsidR="00F66FF0" w:rsidRPr="00B817E3" w:rsidRDefault="00F66FF0" w:rsidP="00C93990">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MaPPI UI state</w:t>
      </w:r>
      <w:r w:rsidR="0079401A" w:rsidRPr="00B817E3">
        <w:rPr>
          <w:rFonts w:ascii="Times New Roman" w:eastAsia="Tahoma" w:hAnsi="Times New Roman" w:cs="Times New Roman"/>
          <w:sz w:val="24"/>
          <w:szCs w:val="24"/>
        </w:rPr>
        <w:t>d</w:t>
      </w:r>
      <w:r w:rsidRPr="00B817E3">
        <w:rPr>
          <w:rFonts w:ascii="Times New Roman" w:eastAsia="Tahoma" w:hAnsi="Times New Roman" w:cs="Times New Roman"/>
          <w:sz w:val="24"/>
          <w:szCs w:val="24"/>
        </w:rPr>
        <w:t xml:space="preserve"> that the rights of women having cases before the law in court are the following.</w:t>
      </w:r>
    </w:p>
    <w:p w14:paraId="634607C0" w14:textId="0C75F246"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 xml:space="preserve">The right to obtain protection for </w:t>
      </w:r>
      <w:r w:rsidR="0079401A" w:rsidRPr="00B817E3">
        <w:rPr>
          <w:rFonts w:ascii="Times New Roman" w:eastAsia="Tahoma" w:hAnsi="Times New Roman" w:cs="Times New Roman"/>
          <w:lang w:val="en-US"/>
        </w:rPr>
        <w:t xml:space="preserve">their </w:t>
      </w:r>
      <w:r w:rsidRPr="00B817E3">
        <w:rPr>
          <w:rFonts w:ascii="Times New Roman" w:eastAsia="Tahoma" w:hAnsi="Times New Roman" w:cs="Times New Roman"/>
          <w:lang w:val="en-US"/>
        </w:rPr>
        <w:t xml:space="preserve">personal security, </w:t>
      </w:r>
      <w:r w:rsidR="0079401A" w:rsidRPr="00B817E3">
        <w:rPr>
          <w:rFonts w:ascii="Times New Roman" w:eastAsia="Tahoma" w:hAnsi="Times New Roman" w:cs="Times New Roman"/>
          <w:lang w:val="en-US"/>
        </w:rPr>
        <w:t xml:space="preserve">their </w:t>
      </w:r>
      <w:r w:rsidRPr="00B817E3">
        <w:rPr>
          <w:rFonts w:ascii="Times New Roman" w:eastAsia="Tahoma" w:hAnsi="Times New Roman" w:cs="Times New Roman"/>
          <w:lang w:val="en-US"/>
        </w:rPr>
        <w:t>family</w:t>
      </w:r>
      <w:r w:rsidR="0079401A" w:rsidRPr="00B817E3">
        <w:rPr>
          <w:rFonts w:ascii="Times New Roman" w:eastAsia="Tahoma" w:hAnsi="Times New Roman" w:cs="Times New Roman"/>
          <w:lang w:val="en-US"/>
        </w:rPr>
        <w:t>,</w:t>
      </w:r>
      <w:r w:rsidRPr="00B817E3">
        <w:rPr>
          <w:rFonts w:ascii="Times New Roman" w:eastAsia="Tahoma" w:hAnsi="Times New Roman" w:cs="Times New Roman"/>
          <w:lang w:val="en-US"/>
        </w:rPr>
        <w:t xml:space="preserve"> and </w:t>
      </w:r>
      <w:r w:rsidR="0079401A" w:rsidRPr="00B817E3">
        <w:rPr>
          <w:rFonts w:ascii="Times New Roman" w:eastAsia="Tahoma" w:hAnsi="Times New Roman" w:cs="Times New Roman"/>
          <w:lang w:val="en-US"/>
        </w:rPr>
        <w:t xml:space="preserve">their </w:t>
      </w:r>
      <w:r w:rsidRPr="00B817E3">
        <w:rPr>
          <w:rFonts w:ascii="Times New Roman" w:eastAsia="Tahoma" w:hAnsi="Times New Roman" w:cs="Times New Roman"/>
          <w:lang w:val="en-US"/>
        </w:rPr>
        <w:t>property from threats related to testimony that will be</w:t>
      </w:r>
      <w:r w:rsidR="0079401A" w:rsidRPr="00B817E3">
        <w:rPr>
          <w:rFonts w:ascii="Times New Roman" w:eastAsia="Tahoma" w:hAnsi="Times New Roman" w:cs="Times New Roman"/>
          <w:lang w:val="en-US"/>
        </w:rPr>
        <w:t xml:space="preserve"> given</w:t>
      </w:r>
      <w:r w:rsidRPr="00B817E3">
        <w:rPr>
          <w:rFonts w:ascii="Times New Roman" w:eastAsia="Tahoma" w:hAnsi="Times New Roman" w:cs="Times New Roman"/>
          <w:lang w:val="en-US"/>
        </w:rPr>
        <w:t>, is being given</w:t>
      </w:r>
      <w:r w:rsidR="0079401A" w:rsidRPr="00B817E3">
        <w:rPr>
          <w:rFonts w:ascii="Times New Roman" w:eastAsia="Tahoma" w:hAnsi="Times New Roman" w:cs="Times New Roman"/>
          <w:lang w:val="en-US"/>
        </w:rPr>
        <w:t>,</w:t>
      </w:r>
      <w:r w:rsidRPr="00B817E3">
        <w:rPr>
          <w:rFonts w:ascii="Times New Roman" w:eastAsia="Tahoma" w:hAnsi="Times New Roman" w:cs="Times New Roman"/>
          <w:lang w:val="en-US"/>
        </w:rPr>
        <w:t xml:space="preserve"> and has been given</w:t>
      </w:r>
    </w:p>
    <w:p w14:paraId="10A43F6C" w14:textId="661B381A"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right to provide information without pressure</w:t>
      </w:r>
    </w:p>
    <w:p w14:paraId="0821D094" w14:textId="3A51B31D"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right to be free from tricky questions</w:t>
      </w:r>
    </w:p>
    <w:p w14:paraId="144B760A" w14:textId="0F7C5D5A"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 xml:space="preserve">The right to obtain information regarding the development of </w:t>
      </w:r>
      <w:r w:rsidR="0079401A" w:rsidRPr="00B817E3">
        <w:rPr>
          <w:rFonts w:ascii="Times New Roman" w:eastAsia="Tahoma" w:hAnsi="Times New Roman" w:cs="Times New Roman"/>
          <w:lang w:val="en-US"/>
        </w:rPr>
        <w:t xml:space="preserve">their </w:t>
      </w:r>
      <w:r w:rsidRPr="00B817E3">
        <w:rPr>
          <w:rFonts w:ascii="Times New Roman" w:eastAsia="Tahoma" w:hAnsi="Times New Roman" w:cs="Times New Roman"/>
          <w:lang w:val="en-US"/>
        </w:rPr>
        <w:t>cases and court decisions</w:t>
      </w:r>
    </w:p>
    <w:p w14:paraId="2DFC20EB" w14:textId="26DC90FE"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right to get an escort</w:t>
      </w:r>
    </w:p>
    <w:p w14:paraId="3C87B58E" w14:textId="4CA72A3F"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lastRenderedPageBreak/>
        <w:t xml:space="preserve">The right </w:t>
      </w:r>
      <w:r w:rsidR="0079401A" w:rsidRPr="00B817E3">
        <w:rPr>
          <w:rFonts w:ascii="Times New Roman" w:eastAsia="Tahoma" w:hAnsi="Times New Roman" w:cs="Times New Roman"/>
          <w:lang w:val="en-US"/>
        </w:rPr>
        <w:t>for</w:t>
      </w:r>
      <w:r w:rsidRPr="00B817E3">
        <w:rPr>
          <w:rFonts w:ascii="Times New Roman" w:eastAsia="Tahoma" w:hAnsi="Times New Roman" w:cs="Times New Roman"/>
          <w:lang w:val="en-US"/>
        </w:rPr>
        <w:t xml:space="preserve"> </w:t>
      </w:r>
      <w:r w:rsidR="0079401A" w:rsidRPr="00B817E3">
        <w:rPr>
          <w:rFonts w:ascii="Times New Roman" w:eastAsia="Tahoma" w:hAnsi="Times New Roman" w:cs="Times New Roman"/>
          <w:lang w:val="en-US"/>
        </w:rPr>
        <w:t xml:space="preserve">identity </w:t>
      </w:r>
      <w:r w:rsidRPr="00B817E3">
        <w:rPr>
          <w:rFonts w:ascii="Times New Roman" w:eastAsia="Tahoma" w:hAnsi="Times New Roman" w:cs="Times New Roman"/>
          <w:lang w:val="en-US"/>
        </w:rPr>
        <w:t xml:space="preserve">confidentiality </w:t>
      </w:r>
    </w:p>
    <w:p w14:paraId="3D4CEECA" w14:textId="5757BD7C"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right to obtain legal advice</w:t>
      </w:r>
    </w:p>
    <w:p w14:paraId="4B718BEE" w14:textId="6E69676B"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right to get an interpreter</w:t>
      </w:r>
    </w:p>
    <w:p w14:paraId="5E120D6A" w14:textId="63A430D7"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The right to receive restitution</w:t>
      </w:r>
    </w:p>
    <w:p w14:paraId="7599812F" w14:textId="5956CE70" w:rsidR="00F66FF0" w:rsidRPr="00B817E3" w:rsidRDefault="00F66FF0" w:rsidP="00C93990">
      <w:pPr>
        <w:pStyle w:val="ListParagraph"/>
        <w:numPr>
          <w:ilvl w:val="0"/>
          <w:numId w:val="29"/>
        </w:numPr>
        <w:spacing w:before="0" w:beforeAutospacing="0" w:after="0" w:afterAutospacing="0" w:line="360" w:lineRule="auto"/>
        <w:jc w:val="both"/>
        <w:rPr>
          <w:rFonts w:ascii="Times New Roman" w:eastAsia="Tahoma" w:hAnsi="Times New Roman" w:cs="Times New Roman"/>
          <w:lang w:val="en-US"/>
        </w:rPr>
      </w:pPr>
      <w:r w:rsidRPr="00B817E3">
        <w:rPr>
          <w:rFonts w:ascii="Times New Roman" w:eastAsia="Tahoma" w:hAnsi="Times New Roman" w:cs="Times New Roman"/>
          <w:lang w:val="en-US"/>
        </w:rPr>
        <w:t xml:space="preserve">The </w:t>
      </w:r>
      <w:r w:rsidR="0079401A" w:rsidRPr="00B817E3">
        <w:rPr>
          <w:rFonts w:ascii="Times New Roman" w:eastAsia="Tahoma" w:hAnsi="Times New Roman" w:cs="Times New Roman"/>
          <w:lang w:val="en-US"/>
        </w:rPr>
        <w:t xml:space="preserve">right </w:t>
      </w:r>
      <w:r w:rsidRPr="00B817E3">
        <w:rPr>
          <w:rFonts w:ascii="Times New Roman" w:eastAsia="Tahoma" w:hAnsi="Times New Roman" w:cs="Times New Roman"/>
          <w:lang w:val="en-US"/>
        </w:rPr>
        <w:t>to obtain restoration to original state</w:t>
      </w:r>
    </w:p>
    <w:p w14:paraId="02CB55D7" w14:textId="248EF9CC" w:rsidR="00F66FF0" w:rsidRPr="00B817E3" w:rsidRDefault="00F66FF0" w:rsidP="00DE70AC">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Judges must have a perspective that guarantees protection for women. Mahfud MD, as quoted by Amsori</w:t>
      </w:r>
      <w:r w:rsidR="00DE70AC" w:rsidRPr="00B817E3">
        <w:rPr>
          <w:vertAlign w:val="superscript"/>
        </w:rPr>
        <w:t xml:space="preserve"> </w:t>
      </w:r>
      <w:r w:rsidR="00DE70AC" w:rsidRPr="00B817E3">
        <w:rPr>
          <w:rFonts w:ascii="Times New Roman" w:eastAsia="Tahoma" w:hAnsi="Times New Roman" w:cs="Times New Roman"/>
          <w:sz w:val="24"/>
          <w:szCs w:val="24"/>
          <w:vertAlign w:val="superscript"/>
        </w:rPr>
        <w:footnoteReference w:id="9"/>
      </w:r>
      <w:r w:rsidRPr="00B817E3">
        <w:rPr>
          <w:rFonts w:ascii="Times New Roman" w:eastAsia="Tahoma" w:hAnsi="Times New Roman" w:cs="Times New Roman"/>
          <w:sz w:val="24"/>
          <w:szCs w:val="24"/>
        </w:rPr>
        <w:t xml:space="preserve">, stated that the approach to restorative justice originates from Indonesian legal culture, that law is not a tool to seek victory, and that law exists as a tool to build harmony and togetherness in </w:t>
      </w:r>
      <w:r w:rsidR="0079401A" w:rsidRPr="00B817E3">
        <w:rPr>
          <w:rFonts w:ascii="Times New Roman" w:eastAsia="Tahoma" w:hAnsi="Times New Roman" w:cs="Times New Roman"/>
          <w:sz w:val="24"/>
          <w:szCs w:val="24"/>
        </w:rPr>
        <w:t xml:space="preserve">the </w:t>
      </w:r>
      <w:r w:rsidRPr="00B817E3">
        <w:rPr>
          <w:rFonts w:ascii="Times New Roman" w:eastAsia="Tahoma" w:hAnsi="Times New Roman" w:cs="Times New Roman"/>
          <w:sz w:val="24"/>
          <w:szCs w:val="24"/>
        </w:rPr>
        <w:t xml:space="preserve">society. Therefore, </w:t>
      </w:r>
      <w:r w:rsidR="0079401A" w:rsidRPr="00B817E3">
        <w:rPr>
          <w:rFonts w:ascii="Times New Roman" w:eastAsia="Tahoma" w:hAnsi="Times New Roman" w:cs="Times New Roman"/>
          <w:sz w:val="24"/>
          <w:szCs w:val="24"/>
        </w:rPr>
        <w:t>minor</w:t>
      </w:r>
      <w:r w:rsidRPr="00B817E3">
        <w:rPr>
          <w:rFonts w:ascii="Times New Roman" w:eastAsia="Tahoma" w:hAnsi="Times New Roman" w:cs="Times New Roman"/>
          <w:sz w:val="24"/>
          <w:szCs w:val="24"/>
        </w:rPr>
        <w:t xml:space="preserve"> criminal cases do not have to be brought to court. There are cases that can be resolved through negotiation, mediation, and restorative justice.</w:t>
      </w:r>
    </w:p>
    <w:p w14:paraId="6D0BD094" w14:textId="6D47F7E5" w:rsidR="00284864" w:rsidRPr="00B817E3" w:rsidRDefault="001768C0" w:rsidP="00C93990">
      <w:pPr>
        <w:pStyle w:val="ListParagraph"/>
        <w:numPr>
          <w:ilvl w:val="0"/>
          <w:numId w:val="27"/>
        </w:numPr>
        <w:spacing w:before="0" w:beforeAutospacing="0" w:after="0" w:afterAutospacing="0" w:line="360" w:lineRule="auto"/>
        <w:ind w:left="336"/>
        <w:jc w:val="both"/>
        <w:rPr>
          <w:rFonts w:ascii="Times New Roman" w:eastAsia="Tahoma" w:hAnsi="Times New Roman" w:cs="Times New Roman"/>
          <w:b/>
          <w:lang w:val="en-US"/>
        </w:rPr>
      </w:pPr>
      <w:r w:rsidRPr="00B817E3">
        <w:rPr>
          <w:rFonts w:ascii="Times New Roman" w:hAnsi="Times New Roman" w:cs="Times New Roman"/>
          <w:b/>
          <w:lang w:val="en-US"/>
        </w:rPr>
        <w:t>Effectiveness of</w:t>
      </w:r>
      <w:r w:rsidR="00284864" w:rsidRPr="00B817E3">
        <w:rPr>
          <w:rFonts w:ascii="Times New Roman" w:hAnsi="Times New Roman" w:cs="Times New Roman"/>
          <w:b/>
          <w:lang w:val="en-US"/>
        </w:rPr>
        <w:t xml:space="preserve"> </w:t>
      </w:r>
      <w:r w:rsidR="00546CCF" w:rsidRPr="00B817E3">
        <w:rPr>
          <w:rFonts w:ascii="Times New Roman" w:hAnsi="Times New Roman" w:cs="Times New Roman"/>
          <w:b/>
          <w:lang w:val="en-US"/>
        </w:rPr>
        <w:t>Escort</w:t>
      </w:r>
      <w:r w:rsidR="003C1D27" w:rsidRPr="00B817E3">
        <w:rPr>
          <w:rFonts w:ascii="Times New Roman" w:hAnsi="Times New Roman" w:cs="Times New Roman"/>
          <w:b/>
          <w:lang w:val="en-US"/>
        </w:rPr>
        <w:t xml:space="preserve"> </w:t>
      </w:r>
      <w:r w:rsidRPr="00B817E3">
        <w:rPr>
          <w:rFonts w:ascii="Times New Roman" w:hAnsi="Times New Roman" w:cs="Times New Roman"/>
          <w:b/>
          <w:lang w:val="en-US"/>
        </w:rPr>
        <w:t xml:space="preserve">Arrangement for </w:t>
      </w:r>
      <w:r w:rsidR="00873DE6" w:rsidRPr="00B817E3">
        <w:rPr>
          <w:rFonts w:ascii="Times New Roman" w:hAnsi="Times New Roman" w:cs="Times New Roman"/>
          <w:b/>
          <w:lang w:val="en-US"/>
        </w:rPr>
        <w:t xml:space="preserve">Women Having Cases Before </w:t>
      </w:r>
      <w:r w:rsidR="004A43FD" w:rsidRPr="00B817E3">
        <w:rPr>
          <w:rFonts w:ascii="Times New Roman" w:hAnsi="Times New Roman" w:cs="Times New Roman"/>
          <w:b/>
          <w:lang w:val="en-US"/>
        </w:rPr>
        <w:t xml:space="preserve">the </w:t>
      </w:r>
      <w:r w:rsidR="00873DE6" w:rsidRPr="00B817E3">
        <w:rPr>
          <w:rFonts w:ascii="Times New Roman" w:hAnsi="Times New Roman" w:cs="Times New Roman"/>
          <w:b/>
          <w:lang w:val="en-US"/>
        </w:rPr>
        <w:t>Law</w:t>
      </w:r>
    </w:p>
    <w:p w14:paraId="4CF98BB4" w14:textId="722ECF28" w:rsidR="00F66FF0" w:rsidRPr="00B817E3" w:rsidRDefault="00F66FF0" w:rsidP="00DE70A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Legal protection, legal certainty, </w:t>
      </w:r>
      <w:r w:rsidR="008A3DB7" w:rsidRPr="00B817E3">
        <w:rPr>
          <w:rFonts w:ascii="Times New Roman" w:hAnsi="Times New Roman" w:cs="Times New Roman"/>
          <w:sz w:val="24"/>
          <w:szCs w:val="24"/>
        </w:rPr>
        <w:t>justice,</w:t>
      </w:r>
      <w:r w:rsidRPr="00B817E3">
        <w:rPr>
          <w:rFonts w:ascii="Times New Roman" w:hAnsi="Times New Roman" w:cs="Times New Roman"/>
          <w:sz w:val="24"/>
          <w:szCs w:val="24"/>
        </w:rPr>
        <w:t xml:space="preserve"> and equality before the law are guaranteed in chapter 28 letter D article 1 of the Indonesian Constitution. Even though there are legal guarantees protecting women and emphas</w:t>
      </w:r>
      <w:r w:rsidR="0079401A" w:rsidRPr="00B817E3">
        <w:rPr>
          <w:rFonts w:ascii="Times New Roman" w:hAnsi="Times New Roman" w:cs="Times New Roman"/>
          <w:sz w:val="24"/>
          <w:szCs w:val="24"/>
        </w:rPr>
        <w:t>e</w:t>
      </w:r>
      <w:r w:rsidRPr="00B817E3">
        <w:rPr>
          <w:rFonts w:ascii="Times New Roman" w:hAnsi="Times New Roman" w:cs="Times New Roman"/>
          <w:sz w:val="24"/>
          <w:szCs w:val="24"/>
        </w:rPr>
        <w:t xml:space="preserve">s on the state's obligation to ensure that women are free from discrimination in the justice system, equality before the law and access to justice for women is in fact not an easy thing. Women often face </w:t>
      </w:r>
      <w:r w:rsidR="0079401A" w:rsidRPr="00B817E3">
        <w:rPr>
          <w:rFonts w:ascii="Times New Roman" w:hAnsi="Times New Roman" w:cs="Times New Roman"/>
          <w:sz w:val="24"/>
          <w:szCs w:val="24"/>
        </w:rPr>
        <w:t>multiple</w:t>
      </w:r>
      <w:r w:rsidRPr="00B817E3">
        <w:rPr>
          <w:rFonts w:ascii="Times New Roman" w:hAnsi="Times New Roman" w:cs="Times New Roman"/>
          <w:sz w:val="24"/>
          <w:szCs w:val="24"/>
        </w:rPr>
        <w:t xml:space="preserve"> obstacles in obtaining their rights</w:t>
      </w:r>
      <w:r w:rsidR="00DE70AC" w:rsidRPr="00B817E3">
        <w:rPr>
          <w:vertAlign w:val="superscript"/>
        </w:rPr>
        <w:t xml:space="preserve"> </w:t>
      </w:r>
      <w:r w:rsidR="00DE70AC" w:rsidRPr="00B817E3">
        <w:rPr>
          <w:rFonts w:ascii="Times New Roman" w:hAnsi="Times New Roman" w:cs="Times New Roman"/>
          <w:sz w:val="24"/>
          <w:szCs w:val="24"/>
          <w:vertAlign w:val="superscript"/>
        </w:rPr>
        <w:footnoteReference w:id="10"/>
      </w:r>
      <w:r w:rsidR="00DE70AC" w:rsidRPr="00B817E3">
        <w:rPr>
          <w:rFonts w:ascii="Times New Roman" w:hAnsi="Times New Roman" w:cs="Times New Roman"/>
          <w:sz w:val="24"/>
          <w:szCs w:val="24"/>
        </w:rPr>
        <w:t xml:space="preserve"> </w:t>
      </w:r>
      <w:r w:rsidRPr="00B817E3">
        <w:rPr>
          <w:rFonts w:ascii="Times New Roman" w:hAnsi="Times New Roman" w:cs="Times New Roman"/>
          <w:sz w:val="24"/>
          <w:szCs w:val="24"/>
        </w:rPr>
        <w:t>due to discrimination and negative stereotyp</w:t>
      </w:r>
      <w:r w:rsidR="007618B5" w:rsidRPr="00B817E3">
        <w:rPr>
          <w:rFonts w:ascii="Times New Roman" w:hAnsi="Times New Roman" w:cs="Times New Roman"/>
          <w:sz w:val="24"/>
          <w:szCs w:val="24"/>
        </w:rPr>
        <w:t>ing</w:t>
      </w:r>
      <w:r w:rsidRPr="00B817E3">
        <w:rPr>
          <w:rFonts w:ascii="Times New Roman" w:hAnsi="Times New Roman" w:cs="Times New Roman"/>
          <w:sz w:val="24"/>
          <w:szCs w:val="24"/>
        </w:rPr>
        <w:t xml:space="preserve"> based on gender.</w:t>
      </w:r>
    </w:p>
    <w:p w14:paraId="7ADD59E4" w14:textId="1BCA2F76" w:rsidR="00DE70AC" w:rsidRPr="00B817E3" w:rsidRDefault="00F66FF0" w:rsidP="00DE70A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Every woman has special </w:t>
      </w:r>
      <w:r w:rsidR="007618B5" w:rsidRPr="00B817E3">
        <w:rPr>
          <w:rFonts w:ascii="Times New Roman" w:hAnsi="Times New Roman" w:cs="Times New Roman"/>
          <w:sz w:val="24"/>
          <w:szCs w:val="24"/>
        </w:rPr>
        <w:t>virtues</w:t>
      </w:r>
      <w:r w:rsidRPr="00B817E3">
        <w:rPr>
          <w:rFonts w:ascii="Times New Roman" w:hAnsi="Times New Roman" w:cs="Times New Roman"/>
          <w:sz w:val="24"/>
          <w:szCs w:val="24"/>
        </w:rPr>
        <w:t xml:space="preserve"> related to human rights</w:t>
      </w:r>
      <w:r w:rsidR="007618B5" w:rsidRPr="00B817E3">
        <w:rPr>
          <w:rFonts w:ascii="Times New Roman" w:hAnsi="Times New Roman" w:cs="Times New Roman"/>
          <w:sz w:val="24"/>
          <w:szCs w:val="24"/>
        </w:rPr>
        <w:t>, and they</w:t>
      </w:r>
      <w:r w:rsidRPr="00B817E3">
        <w:rPr>
          <w:rFonts w:ascii="Times New Roman" w:hAnsi="Times New Roman" w:cs="Times New Roman"/>
          <w:sz w:val="24"/>
          <w:szCs w:val="24"/>
        </w:rPr>
        <w:t xml:space="preserve"> have been recognized and guaranteed by</w:t>
      </w:r>
      <w:r w:rsidR="007618B5" w:rsidRPr="00B817E3">
        <w:rPr>
          <w:rFonts w:ascii="Times New Roman" w:hAnsi="Times New Roman" w:cs="Times New Roman"/>
          <w:sz w:val="24"/>
          <w:szCs w:val="24"/>
        </w:rPr>
        <w:t xml:space="preserve"> the</w:t>
      </w:r>
      <w:r w:rsidRPr="00B817E3">
        <w:rPr>
          <w:rFonts w:ascii="Times New Roman" w:hAnsi="Times New Roman" w:cs="Times New Roman"/>
          <w:sz w:val="24"/>
          <w:szCs w:val="24"/>
        </w:rPr>
        <w:t xml:space="preserve"> law. Women, who belong to a vulnerable group, get a special place in the protection of human rights.</w:t>
      </w:r>
      <w:r w:rsidR="00DE70AC" w:rsidRPr="00B817E3">
        <w:rPr>
          <w:vertAlign w:val="superscript"/>
        </w:rPr>
        <w:t xml:space="preserve"> </w:t>
      </w:r>
      <w:r w:rsidR="00DE70AC" w:rsidRPr="00B817E3">
        <w:rPr>
          <w:rFonts w:ascii="Times New Roman" w:hAnsi="Times New Roman" w:cs="Times New Roman"/>
          <w:sz w:val="24"/>
          <w:szCs w:val="24"/>
          <w:vertAlign w:val="superscript"/>
        </w:rPr>
        <w:footnoteReference w:id="11"/>
      </w:r>
      <w:r w:rsidR="00DE70AC" w:rsidRPr="00B817E3">
        <w:rPr>
          <w:rFonts w:ascii="Times New Roman" w:hAnsi="Times New Roman" w:cs="Times New Roman"/>
          <w:sz w:val="24"/>
          <w:szCs w:val="24"/>
        </w:rPr>
        <w:t xml:space="preserve"> </w:t>
      </w:r>
    </w:p>
    <w:p w14:paraId="4238B56F" w14:textId="46DF73BA" w:rsidR="00F66FF0" w:rsidRPr="00B817E3" w:rsidRDefault="00F66FF0" w:rsidP="00DE70A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In the case of women being the sufferers of crimes, it is still frequently found that they were revictimized. After having suffered </w:t>
      </w:r>
      <w:r w:rsidR="007618B5" w:rsidRPr="00B817E3">
        <w:rPr>
          <w:rFonts w:ascii="Times New Roman" w:hAnsi="Times New Roman" w:cs="Times New Roman"/>
          <w:sz w:val="24"/>
          <w:szCs w:val="24"/>
        </w:rPr>
        <w:t xml:space="preserve">from </w:t>
      </w:r>
      <w:r w:rsidRPr="00B817E3">
        <w:rPr>
          <w:rFonts w:ascii="Times New Roman" w:hAnsi="Times New Roman" w:cs="Times New Roman"/>
          <w:sz w:val="24"/>
          <w:szCs w:val="24"/>
        </w:rPr>
        <w:t>physical and psychological damage</w:t>
      </w:r>
      <w:r w:rsidR="00DE70AC" w:rsidRPr="00B817E3">
        <w:rPr>
          <w:vertAlign w:val="superscript"/>
        </w:rPr>
        <w:t xml:space="preserve"> </w:t>
      </w:r>
      <w:r w:rsidR="00DE70AC" w:rsidRPr="00B817E3">
        <w:rPr>
          <w:rFonts w:ascii="Times New Roman" w:hAnsi="Times New Roman" w:cs="Times New Roman"/>
          <w:sz w:val="24"/>
          <w:szCs w:val="24"/>
          <w:vertAlign w:val="superscript"/>
        </w:rPr>
        <w:footnoteReference w:id="12"/>
      </w:r>
      <w:r w:rsidRPr="00B817E3">
        <w:rPr>
          <w:rFonts w:ascii="Times New Roman" w:hAnsi="Times New Roman" w:cs="Times New Roman"/>
          <w:sz w:val="24"/>
          <w:szCs w:val="24"/>
        </w:rPr>
        <w:t xml:space="preserve">, they still have to bear </w:t>
      </w:r>
      <w:r w:rsidR="007618B5" w:rsidRPr="00B817E3">
        <w:rPr>
          <w:rFonts w:ascii="Times New Roman" w:hAnsi="Times New Roman" w:cs="Times New Roman"/>
          <w:sz w:val="24"/>
          <w:szCs w:val="24"/>
        </w:rPr>
        <w:t>another</w:t>
      </w:r>
      <w:r w:rsidRPr="00B817E3">
        <w:rPr>
          <w:rFonts w:ascii="Times New Roman" w:hAnsi="Times New Roman" w:cs="Times New Roman"/>
          <w:sz w:val="24"/>
          <w:szCs w:val="24"/>
        </w:rPr>
        <w:t xml:space="preserve"> burden </w:t>
      </w:r>
      <w:r w:rsidR="007618B5" w:rsidRPr="00B817E3">
        <w:rPr>
          <w:rFonts w:ascii="Times New Roman" w:hAnsi="Times New Roman" w:cs="Times New Roman"/>
          <w:sz w:val="24"/>
          <w:szCs w:val="24"/>
        </w:rPr>
        <w:t xml:space="preserve">of </w:t>
      </w:r>
      <w:r w:rsidRPr="00B817E3">
        <w:rPr>
          <w:rFonts w:ascii="Times New Roman" w:hAnsi="Times New Roman" w:cs="Times New Roman"/>
          <w:sz w:val="24"/>
          <w:szCs w:val="24"/>
        </w:rPr>
        <w:t>undergo</w:t>
      </w:r>
      <w:r w:rsidR="007618B5" w:rsidRPr="00B817E3">
        <w:rPr>
          <w:rFonts w:ascii="Times New Roman" w:hAnsi="Times New Roman" w:cs="Times New Roman"/>
          <w:sz w:val="24"/>
          <w:szCs w:val="24"/>
        </w:rPr>
        <w:t>ing</w:t>
      </w:r>
      <w:r w:rsidRPr="00B817E3">
        <w:rPr>
          <w:rFonts w:ascii="Times New Roman" w:hAnsi="Times New Roman" w:cs="Times New Roman"/>
          <w:sz w:val="24"/>
          <w:szCs w:val="24"/>
        </w:rPr>
        <w:t xml:space="preserve"> investigation</w:t>
      </w:r>
      <w:r w:rsidR="007618B5" w:rsidRPr="00B817E3">
        <w:rPr>
          <w:rFonts w:ascii="Times New Roman" w:hAnsi="Times New Roman" w:cs="Times New Roman"/>
          <w:sz w:val="24"/>
          <w:szCs w:val="24"/>
        </w:rPr>
        <w:t>s</w:t>
      </w:r>
      <w:r w:rsidRPr="00B817E3">
        <w:rPr>
          <w:rFonts w:ascii="Times New Roman" w:hAnsi="Times New Roman" w:cs="Times New Roman"/>
          <w:sz w:val="24"/>
          <w:szCs w:val="24"/>
        </w:rPr>
        <w:t xml:space="preserve"> at trial</w:t>
      </w:r>
      <w:r w:rsidR="007618B5" w:rsidRPr="00B817E3">
        <w:rPr>
          <w:rFonts w:ascii="Times New Roman" w:hAnsi="Times New Roman" w:cs="Times New Roman"/>
          <w:sz w:val="24"/>
          <w:szCs w:val="24"/>
        </w:rPr>
        <w:t>s</w:t>
      </w:r>
      <w:r w:rsidRPr="00B817E3">
        <w:rPr>
          <w:rFonts w:ascii="Times New Roman" w:hAnsi="Times New Roman" w:cs="Times New Roman"/>
          <w:sz w:val="24"/>
          <w:szCs w:val="24"/>
        </w:rPr>
        <w:t xml:space="preserve">. </w:t>
      </w:r>
      <w:r w:rsidR="00C93990" w:rsidRPr="00B817E3">
        <w:rPr>
          <w:rFonts w:ascii="Times New Roman" w:hAnsi="Times New Roman" w:cs="Times New Roman"/>
          <w:sz w:val="24"/>
          <w:szCs w:val="24"/>
        </w:rPr>
        <w:t xml:space="preserve">They frequently </w:t>
      </w:r>
      <w:r w:rsidRPr="00B817E3">
        <w:rPr>
          <w:rFonts w:ascii="Times New Roman" w:hAnsi="Times New Roman" w:cs="Times New Roman"/>
          <w:sz w:val="24"/>
          <w:szCs w:val="24"/>
        </w:rPr>
        <w:t xml:space="preserve">have to face questions that corner, </w:t>
      </w:r>
      <w:r w:rsidR="008A3DB7" w:rsidRPr="00B817E3">
        <w:rPr>
          <w:rFonts w:ascii="Times New Roman" w:hAnsi="Times New Roman" w:cs="Times New Roman"/>
          <w:sz w:val="24"/>
          <w:szCs w:val="24"/>
        </w:rPr>
        <w:t>trap,</w:t>
      </w:r>
      <w:r w:rsidRPr="00B817E3">
        <w:rPr>
          <w:rFonts w:ascii="Times New Roman" w:hAnsi="Times New Roman" w:cs="Times New Roman"/>
          <w:sz w:val="24"/>
          <w:szCs w:val="24"/>
        </w:rPr>
        <w:t xml:space="preserve"> and harass</w:t>
      </w:r>
      <w:r w:rsidR="008A3DB7" w:rsidRPr="00B817E3">
        <w:rPr>
          <w:rFonts w:ascii="Times New Roman" w:hAnsi="Times New Roman" w:cs="Times New Roman"/>
          <w:sz w:val="24"/>
          <w:szCs w:val="24"/>
        </w:rPr>
        <w:t xml:space="preserve"> them</w:t>
      </w:r>
      <w:r w:rsidRPr="00B817E3">
        <w:rPr>
          <w:rFonts w:ascii="Times New Roman" w:hAnsi="Times New Roman" w:cs="Times New Roman"/>
          <w:sz w:val="24"/>
          <w:szCs w:val="24"/>
        </w:rPr>
        <w:t xml:space="preserve">. Sometimes they </w:t>
      </w:r>
      <w:r w:rsidR="008A3DB7" w:rsidRPr="00B817E3">
        <w:rPr>
          <w:rFonts w:ascii="Times New Roman" w:hAnsi="Times New Roman" w:cs="Times New Roman"/>
          <w:sz w:val="24"/>
          <w:szCs w:val="24"/>
        </w:rPr>
        <w:t xml:space="preserve">are asked to </w:t>
      </w:r>
      <w:r w:rsidR="007618B5" w:rsidRPr="00B817E3">
        <w:rPr>
          <w:rFonts w:ascii="Times New Roman" w:hAnsi="Times New Roman" w:cs="Times New Roman"/>
          <w:sz w:val="24"/>
          <w:szCs w:val="24"/>
        </w:rPr>
        <w:t>repeatedly retell what they have gone through</w:t>
      </w:r>
      <w:r w:rsidRPr="00B817E3">
        <w:rPr>
          <w:rFonts w:ascii="Times New Roman" w:hAnsi="Times New Roman" w:cs="Times New Roman"/>
          <w:sz w:val="24"/>
          <w:szCs w:val="24"/>
        </w:rPr>
        <w:t xml:space="preserve">, and this makes them tired, </w:t>
      </w:r>
      <w:r w:rsidR="008A3DB7" w:rsidRPr="00B817E3">
        <w:rPr>
          <w:rFonts w:ascii="Times New Roman" w:hAnsi="Times New Roman" w:cs="Times New Roman"/>
          <w:sz w:val="24"/>
          <w:szCs w:val="24"/>
        </w:rPr>
        <w:t>stressed</w:t>
      </w:r>
      <w:r w:rsidRPr="00B817E3">
        <w:rPr>
          <w:rFonts w:ascii="Times New Roman" w:hAnsi="Times New Roman" w:cs="Times New Roman"/>
          <w:sz w:val="24"/>
          <w:szCs w:val="24"/>
        </w:rPr>
        <w:t xml:space="preserve">, and depressed. They also have to pay </w:t>
      </w:r>
      <w:r w:rsidRPr="00B817E3">
        <w:rPr>
          <w:rFonts w:ascii="Times New Roman" w:hAnsi="Times New Roman" w:cs="Times New Roman"/>
          <w:sz w:val="24"/>
          <w:szCs w:val="24"/>
        </w:rPr>
        <w:lastRenderedPageBreak/>
        <w:t xml:space="preserve">their expenses during the investigation by themselves. After the trial is over, they are still psychologically and socially depressed, and this gets worse when </w:t>
      </w:r>
      <w:r w:rsidR="007618B5" w:rsidRPr="00B817E3">
        <w:rPr>
          <w:rFonts w:ascii="Times New Roman" w:hAnsi="Times New Roman" w:cs="Times New Roman"/>
          <w:sz w:val="24"/>
          <w:szCs w:val="24"/>
        </w:rPr>
        <w:t xml:space="preserve">the person who have harmed them </w:t>
      </w:r>
      <w:r w:rsidRPr="00B817E3">
        <w:rPr>
          <w:rFonts w:ascii="Times New Roman" w:hAnsi="Times New Roman" w:cs="Times New Roman"/>
          <w:sz w:val="24"/>
          <w:szCs w:val="24"/>
        </w:rPr>
        <w:t>goes unpunished; their trauma and fear grew</w:t>
      </w:r>
      <w:r w:rsidR="007618B5" w:rsidRPr="00B817E3">
        <w:rPr>
          <w:rFonts w:ascii="Times New Roman" w:hAnsi="Times New Roman" w:cs="Times New Roman"/>
          <w:sz w:val="24"/>
          <w:szCs w:val="24"/>
        </w:rPr>
        <w:t xml:space="preserve"> larger</w:t>
      </w:r>
      <w:r w:rsidRPr="00B817E3">
        <w:rPr>
          <w:rFonts w:ascii="Times New Roman" w:hAnsi="Times New Roman" w:cs="Times New Roman"/>
          <w:sz w:val="24"/>
          <w:szCs w:val="24"/>
        </w:rPr>
        <w:t>.</w:t>
      </w:r>
    </w:p>
    <w:p w14:paraId="14953A2B" w14:textId="51DEF722"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Chapter 9 of the Regulation of the Supreme Court of the Republic of Indonesia number 3 of 2017 states that accompaniment is a situation when a woman having a case before law is accompanied by an escort during a trial, especially when she is being </w:t>
      </w:r>
      <w:r w:rsidR="007618B5" w:rsidRPr="00B817E3">
        <w:rPr>
          <w:rFonts w:ascii="Times New Roman" w:hAnsi="Times New Roman" w:cs="Times New Roman"/>
          <w:sz w:val="24"/>
          <w:szCs w:val="24"/>
        </w:rPr>
        <w:t>questioned</w:t>
      </w:r>
      <w:r w:rsidRPr="00B817E3">
        <w:rPr>
          <w:rFonts w:ascii="Times New Roman" w:hAnsi="Times New Roman" w:cs="Times New Roman"/>
          <w:sz w:val="24"/>
          <w:szCs w:val="24"/>
        </w:rPr>
        <w:t xml:space="preserve"> or giving testimony in a court. Her escort will sit next to her when she gives statements and for as long as she needs them. The judge, on his own initiative, may suggest an accompaniment, or, by the woman's request, </w:t>
      </w:r>
      <w:r w:rsidR="007618B5" w:rsidRPr="00B817E3">
        <w:rPr>
          <w:rFonts w:ascii="Times New Roman" w:hAnsi="Times New Roman" w:cs="Times New Roman"/>
          <w:sz w:val="24"/>
          <w:szCs w:val="24"/>
        </w:rPr>
        <w:t>allow</w:t>
      </w:r>
      <w:r w:rsidRPr="00B817E3">
        <w:rPr>
          <w:rFonts w:ascii="Times New Roman" w:hAnsi="Times New Roman" w:cs="Times New Roman"/>
          <w:sz w:val="24"/>
          <w:szCs w:val="24"/>
        </w:rPr>
        <w:t xml:space="preserve"> or </w:t>
      </w:r>
      <w:r w:rsidR="007618B5" w:rsidRPr="00B817E3">
        <w:rPr>
          <w:rFonts w:ascii="Times New Roman" w:hAnsi="Times New Roman" w:cs="Times New Roman"/>
          <w:sz w:val="24"/>
          <w:szCs w:val="24"/>
        </w:rPr>
        <w:t>require</w:t>
      </w:r>
      <w:r w:rsidRPr="00B817E3">
        <w:rPr>
          <w:rFonts w:ascii="Times New Roman" w:hAnsi="Times New Roman" w:cs="Times New Roman"/>
          <w:sz w:val="24"/>
          <w:szCs w:val="24"/>
        </w:rPr>
        <w:t xml:space="preserve"> the accompaniment due to the woman's physical and psychological condition.</w:t>
      </w:r>
    </w:p>
    <w:p w14:paraId="3BE54B1A" w14:textId="77777777"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The application of the Regulation of the Supreme Court of the Republic of Indonesia number 3 of 2017 in courts situated in the research area is described below.</w:t>
      </w:r>
    </w:p>
    <w:p w14:paraId="667F0939" w14:textId="569AA3DF" w:rsidR="00F66FF0" w:rsidRPr="00B817E3" w:rsidRDefault="00F66FF0" w:rsidP="00C93990">
      <w:pPr>
        <w:pStyle w:val="ListParagraph"/>
        <w:numPr>
          <w:ilvl w:val="0"/>
          <w:numId w:val="31"/>
        </w:numPr>
        <w:spacing w:before="0" w:beforeAutospacing="0" w:after="0" w:afterAutospacing="0" w:line="360" w:lineRule="auto"/>
        <w:ind w:left="364"/>
        <w:jc w:val="both"/>
        <w:rPr>
          <w:rFonts w:ascii="Times New Roman" w:hAnsi="Times New Roman" w:cs="Times New Roman"/>
          <w:lang w:val="en-US"/>
        </w:rPr>
      </w:pPr>
      <w:r w:rsidRPr="00B817E3">
        <w:rPr>
          <w:rFonts w:ascii="Times New Roman" w:hAnsi="Times New Roman" w:cs="Times New Roman"/>
          <w:lang w:val="en-US"/>
        </w:rPr>
        <w:t>Religious Court Class I A of Palembang for Judicial Divorce</w:t>
      </w:r>
    </w:p>
    <w:p w14:paraId="3291B550" w14:textId="3F3AC1FC"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The definition of judicial divorce and repudiation divorce can be found in </w:t>
      </w:r>
      <w:r w:rsidR="008A3DB7" w:rsidRPr="00B817E3">
        <w:rPr>
          <w:rFonts w:ascii="Times New Roman" w:hAnsi="Times New Roman" w:cs="Times New Roman"/>
          <w:sz w:val="24"/>
          <w:szCs w:val="24"/>
        </w:rPr>
        <w:t xml:space="preserve">the Compilation of Islamic Law </w:t>
      </w:r>
      <w:r w:rsidRPr="00B817E3">
        <w:rPr>
          <w:rFonts w:ascii="Times New Roman" w:hAnsi="Times New Roman" w:cs="Times New Roman"/>
          <w:sz w:val="24"/>
          <w:szCs w:val="24"/>
        </w:rPr>
        <w:t xml:space="preserve">Chapter 132 article 1, in which the former is proposed by the wife or her lawyer to the Religious Court whose jurisdiction covers the place of </w:t>
      </w:r>
      <w:r w:rsidR="007618B5" w:rsidRPr="00B817E3">
        <w:rPr>
          <w:rFonts w:ascii="Times New Roman" w:hAnsi="Times New Roman" w:cs="Times New Roman"/>
          <w:sz w:val="24"/>
          <w:szCs w:val="24"/>
        </w:rPr>
        <w:t xml:space="preserve">her </w:t>
      </w:r>
      <w:r w:rsidRPr="00B817E3">
        <w:rPr>
          <w:rFonts w:ascii="Times New Roman" w:hAnsi="Times New Roman" w:cs="Times New Roman"/>
          <w:sz w:val="24"/>
          <w:szCs w:val="24"/>
        </w:rPr>
        <w:t>residence unless she leaves her share</w:t>
      </w:r>
      <w:r w:rsidR="007618B5" w:rsidRPr="00B817E3">
        <w:rPr>
          <w:rFonts w:ascii="Times New Roman" w:hAnsi="Times New Roman" w:cs="Times New Roman"/>
          <w:sz w:val="24"/>
          <w:szCs w:val="24"/>
        </w:rPr>
        <w:t>d</w:t>
      </w:r>
      <w:r w:rsidRPr="00B817E3">
        <w:rPr>
          <w:rFonts w:ascii="Times New Roman" w:hAnsi="Times New Roman" w:cs="Times New Roman"/>
          <w:sz w:val="24"/>
          <w:szCs w:val="24"/>
        </w:rPr>
        <w:t xml:space="preserve"> residence without </w:t>
      </w:r>
      <w:r w:rsidR="007618B5" w:rsidRPr="00B817E3">
        <w:rPr>
          <w:rFonts w:ascii="Times New Roman" w:hAnsi="Times New Roman" w:cs="Times New Roman"/>
          <w:sz w:val="24"/>
          <w:szCs w:val="24"/>
        </w:rPr>
        <w:t>her</w:t>
      </w:r>
      <w:r w:rsidRPr="00B817E3">
        <w:rPr>
          <w:rFonts w:ascii="Times New Roman" w:hAnsi="Times New Roman" w:cs="Times New Roman"/>
          <w:sz w:val="24"/>
          <w:szCs w:val="24"/>
        </w:rPr>
        <w:t xml:space="preserve"> husband's permission.</w:t>
      </w:r>
    </w:p>
    <w:p w14:paraId="1AE57D3B" w14:textId="1CBAC928"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The request of the judicial divorce can be accepted if the defendant states or shows an attitude of not wanting to return to the shared residence (Chapter 132 article 2 of the Compilation of Islamic Law). Repudiation divorce is regulated in Chapter 114 of the Compilation of Islamic Law, which states that the </w:t>
      </w:r>
      <w:r w:rsidR="007618B5" w:rsidRPr="00B817E3">
        <w:rPr>
          <w:rFonts w:ascii="Times New Roman" w:hAnsi="Times New Roman" w:cs="Times New Roman"/>
          <w:sz w:val="24"/>
          <w:szCs w:val="24"/>
        </w:rPr>
        <w:t>termination</w:t>
      </w:r>
      <w:r w:rsidRPr="00B817E3">
        <w:rPr>
          <w:rFonts w:ascii="Times New Roman" w:hAnsi="Times New Roman" w:cs="Times New Roman"/>
          <w:sz w:val="24"/>
          <w:szCs w:val="24"/>
        </w:rPr>
        <w:t xml:space="preserve"> of a marriage caused by divorce can occur due to talak or based on a divorce lawsuit. Repudiation according to Chapter 117 of the Compilation of Islamic Law is a husband's pledge before the Religious Court</w:t>
      </w:r>
      <w:r w:rsidR="007618B5" w:rsidRPr="00B817E3">
        <w:rPr>
          <w:rFonts w:ascii="Times New Roman" w:hAnsi="Times New Roman" w:cs="Times New Roman"/>
          <w:sz w:val="24"/>
          <w:szCs w:val="24"/>
        </w:rPr>
        <w:t>, from</w:t>
      </w:r>
      <w:r w:rsidRPr="00B817E3">
        <w:rPr>
          <w:rFonts w:ascii="Times New Roman" w:hAnsi="Times New Roman" w:cs="Times New Roman"/>
          <w:sz w:val="24"/>
          <w:szCs w:val="24"/>
        </w:rPr>
        <w:t xml:space="preserve"> which the reasons for the </w:t>
      </w:r>
      <w:r w:rsidR="007618B5" w:rsidRPr="00B817E3">
        <w:rPr>
          <w:rFonts w:ascii="Times New Roman" w:hAnsi="Times New Roman" w:cs="Times New Roman"/>
          <w:sz w:val="24"/>
          <w:szCs w:val="24"/>
        </w:rPr>
        <w:t>divorce are based on</w:t>
      </w:r>
      <w:r w:rsidRPr="00B817E3">
        <w:rPr>
          <w:rFonts w:ascii="Times New Roman" w:hAnsi="Times New Roman" w:cs="Times New Roman"/>
          <w:sz w:val="24"/>
          <w:szCs w:val="24"/>
        </w:rPr>
        <w:t xml:space="preserve">. This is regulated in Chapter 129 of the Compilation of Islamic Law, which states that a husband who will repudiate his wife from their marriage </w:t>
      </w:r>
      <w:r w:rsidR="007618B5" w:rsidRPr="00B817E3">
        <w:rPr>
          <w:rFonts w:ascii="Times New Roman" w:hAnsi="Times New Roman" w:cs="Times New Roman"/>
          <w:sz w:val="24"/>
          <w:szCs w:val="24"/>
        </w:rPr>
        <w:t xml:space="preserve">shall </w:t>
      </w:r>
      <w:r w:rsidRPr="00B817E3">
        <w:rPr>
          <w:rFonts w:ascii="Times New Roman" w:hAnsi="Times New Roman" w:cs="Times New Roman"/>
          <w:sz w:val="24"/>
          <w:szCs w:val="24"/>
        </w:rPr>
        <w:t>submits an oral and written application to the Religious Court whose jurisdiction covers the wife's place of residence. He will be required to provide arguments for his repudiation and must request a trial for that purpose.</w:t>
      </w:r>
    </w:p>
    <w:p w14:paraId="3C23CA9D" w14:textId="7101F8A1" w:rsidR="00657148"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The following are cases registered at the Religious Court Class I A of Palembang.</w:t>
      </w:r>
    </w:p>
    <w:p w14:paraId="295F1F93" w14:textId="102D77E0" w:rsidR="004E7A11" w:rsidRPr="004E7A11" w:rsidRDefault="004E7A11" w:rsidP="004E7A11">
      <w:pPr>
        <w:spacing w:after="0" w:line="240" w:lineRule="auto"/>
        <w:jc w:val="center"/>
        <w:rPr>
          <w:rFonts w:ascii="Times New Roman" w:eastAsia="Times New Roman" w:hAnsi="Times New Roman" w:cs="Times New Roman"/>
          <w:b/>
          <w:bCs/>
          <w:sz w:val="24"/>
          <w:szCs w:val="24"/>
        </w:rPr>
      </w:pPr>
      <w:r w:rsidRPr="00B817E3">
        <w:rPr>
          <w:rFonts w:ascii="Times New Roman" w:eastAsia="Times New Roman" w:hAnsi="Times New Roman" w:cs="Times New Roman"/>
          <w:b/>
          <w:bCs/>
          <w:sz w:val="24"/>
          <w:szCs w:val="24"/>
        </w:rPr>
        <w:t>Table</w:t>
      </w:r>
      <w:r w:rsidRPr="004E7A11">
        <w:rPr>
          <w:rFonts w:ascii="Times New Roman" w:eastAsia="Times New Roman" w:hAnsi="Times New Roman" w:cs="Times New Roman"/>
          <w:b/>
          <w:bCs/>
          <w:sz w:val="24"/>
          <w:szCs w:val="24"/>
        </w:rPr>
        <w:t xml:space="preserve"> 2</w:t>
      </w:r>
    </w:p>
    <w:p w14:paraId="414B0BAA" w14:textId="34F80005" w:rsidR="004E7A11" w:rsidRPr="004E7A11" w:rsidRDefault="004E7A11" w:rsidP="004E7A11">
      <w:pPr>
        <w:spacing w:after="0" w:line="240" w:lineRule="auto"/>
        <w:jc w:val="center"/>
        <w:rPr>
          <w:rFonts w:ascii="Times New Roman" w:eastAsia="Times New Roman" w:hAnsi="Times New Roman" w:cs="Times New Roman"/>
          <w:b/>
          <w:bCs/>
          <w:sz w:val="24"/>
          <w:szCs w:val="24"/>
        </w:rPr>
      </w:pPr>
      <w:r w:rsidRPr="004E7A11">
        <w:rPr>
          <w:rFonts w:ascii="Times New Roman" w:eastAsia="Times New Roman" w:hAnsi="Times New Roman" w:cs="Times New Roman"/>
          <w:b/>
          <w:bCs/>
          <w:sz w:val="24"/>
          <w:szCs w:val="24"/>
        </w:rPr>
        <w:t xml:space="preserve">Data </w:t>
      </w:r>
      <w:r w:rsidRPr="00B817E3">
        <w:rPr>
          <w:rFonts w:ascii="Times New Roman" w:eastAsia="Times New Roman" w:hAnsi="Times New Roman" w:cs="Times New Roman"/>
          <w:b/>
          <w:bCs/>
          <w:sz w:val="24"/>
          <w:szCs w:val="24"/>
        </w:rPr>
        <w:t xml:space="preserve">of Judicial Divorce Cases Based on Their Causes </w:t>
      </w:r>
    </w:p>
    <w:p w14:paraId="770B5A9C" w14:textId="21F85485" w:rsidR="004E7A11" w:rsidRPr="004E7A11" w:rsidRDefault="004E7A11" w:rsidP="004E7A11">
      <w:pPr>
        <w:spacing w:after="0" w:line="240" w:lineRule="auto"/>
        <w:jc w:val="center"/>
        <w:rPr>
          <w:rFonts w:ascii="Times New Roman" w:eastAsia="Times New Roman" w:hAnsi="Times New Roman" w:cs="Times New Roman"/>
          <w:b/>
          <w:bCs/>
          <w:sz w:val="24"/>
          <w:szCs w:val="24"/>
        </w:rPr>
      </w:pPr>
      <w:r w:rsidRPr="00B817E3">
        <w:rPr>
          <w:rFonts w:ascii="Times New Roman" w:eastAsia="Times New Roman" w:hAnsi="Times New Roman" w:cs="Times New Roman"/>
          <w:b/>
          <w:bCs/>
          <w:sz w:val="24"/>
          <w:szCs w:val="24"/>
        </w:rPr>
        <w:t xml:space="preserve">In the </w:t>
      </w:r>
      <w:r w:rsidRPr="004E7A11">
        <w:rPr>
          <w:rFonts w:ascii="Times New Roman" w:eastAsia="Times New Roman" w:hAnsi="Times New Roman" w:cs="Times New Roman"/>
          <w:b/>
          <w:bCs/>
          <w:sz w:val="24"/>
          <w:szCs w:val="24"/>
        </w:rPr>
        <w:t xml:space="preserve">2020-2022 </w:t>
      </w:r>
      <w:r w:rsidRPr="00B817E3">
        <w:rPr>
          <w:rFonts w:ascii="Times New Roman" w:eastAsia="Times New Roman" w:hAnsi="Times New Roman" w:cs="Times New Roman"/>
          <w:b/>
          <w:bCs/>
          <w:sz w:val="24"/>
          <w:szCs w:val="24"/>
        </w:rPr>
        <w:t>Period</w:t>
      </w:r>
    </w:p>
    <w:tbl>
      <w:tblPr>
        <w:tblStyle w:val="GridTable4-Accent62"/>
        <w:tblW w:w="0" w:type="auto"/>
        <w:tblInd w:w="415" w:type="dxa"/>
        <w:tblLook w:val="04A0" w:firstRow="1" w:lastRow="0" w:firstColumn="1" w:lastColumn="0" w:noHBand="0" w:noVBand="1"/>
      </w:tblPr>
      <w:tblGrid>
        <w:gridCol w:w="570"/>
        <w:gridCol w:w="3544"/>
        <w:gridCol w:w="1275"/>
        <w:gridCol w:w="1560"/>
        <w:gridCol w:w="1578"/>
      </w:tblGrid>
      <w:tr w:rsidR="004E7A11" w:rsidRPr="004E7A11" w14:paraId="09EEBAFC" w14:textId="77777777" w:rsidTr="004E7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Borders>
              <w:bottom w:val="single" w:sz="4" w:space="0" w:color="FABF8F" w:themeColor="accent6" w:themeTint="99"/>
            </w:tcBorders>
            <w:hideMark/>
          </w:tcPr>
          <w:p w14:paraId="09A01B6B" w14:textId="4ECF2617" w:rsidR="004E7A11" w:rsidRPr="004E7A11" w:rsidRDefault="004E7A11" w:rsidP="004E7A11">
            <w:pPr>
              <w:spacing w:after="0" w:line="240" w:lineRule="auto"/>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No</w:t>
            </w:r>
            <w:r w:rsidRPr="00B817E3">
              <w:rPr>
                <w:rFonts w:ascii="Times New Roman" w:eastAsia="Times New Roman" w:hAnsi="Times New Roman" w:cs="Times New Roman"/>
                <w:sz w:val="24"/>
                <w:szCs w:val="24"/>
                <w:lang w:eastAsia="en-ID"/>
              </w:rPr>
              <w:t>.</w:t>
            </w:r>
          </w:p>
        </w:tc>
        <w:tc>
          <w:tcPr>
            <w:tcW w:w="3544" w:type="dxa"/>
            <w:vMerge w:val="restart"/>
            <w:tcBorders>
              <w:bottom w:val="single" w:sz="4" w:space="0" w:color="FABF8F" w:themeColor="accent6" w:themeTint="99"/>
            </w:tcBorders>
            <w:hideMark/>
          </w:tcPr>
          <w:p w14:paraId="5E489E61" w14:textId="02D8F9E5" w:rsidR="004E7A11" w:rsidRPr="004E7A11" w:rsidRDefault="004E7A11" w:rsidP="004E7A1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lang w:eastAsia="en-ID"/>
              </w:rPr>
              <w:t>Cases</w:t>
            </w:r>
            <w:r w:rsidRPr="004E7A11">
              <w:rPr>
                <w:rFonts w:ascii="Times New Roman" w:eastAsia="Times New Roman" w:hAnsi="Times New Roman" w:cs="Times New Roman"/>
                <w:sz w:val="24"/>
                <w:szCs w:val="24"/>
                <w:lang w:eastAsia="en-ID"/>
              </w:rPr>
              <w:t xml:space="preserve"> </w:t>
            </w:r>
          </w:p>
        </w:tc>
        <w:tc>
          <w:tcPr>
            <w:tcW w:w="4413" w:type="dxa"/>
            <w:gridSpan w:val="3"/>
            <w:hideMark/>
          </w:tcPr>
          <w:p w14:paraId="22F0C628" w14:textId="6BFA77BE" w:rsidR="004E7A11" w:rsidRPr="004E7A11" w:rsidRDefault="004E7A11" w:rsidP="004E7A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eastAsia="zh-CN"/>
              </w:rPr>
            </w:pPr>
            <w:r w:rsidRPr="00B817E3">
              <w:rPr>
                <w:rFonts w:ascii="Times New Roman" w:eastAsia="Times New Roman" w:hAnsi="Times New Roman" w:cs="Times New Roman"/>
                <w:sz w:val="24"/>
                <w:szCs w:val="24"/>
                <w:lang w:eastAsia="en-ID"/>
              </w:rPr>
              <w:t xml:space="preserve">Year </w:t>
            </w:r>
            <w:r w:rsidRPr="004E7A11">
              <w:rPr>
                <w:rFonts w:ascii="Times New Roman" w:eastAsia="Times New Roman" w:hAnsi="Times New Roman" w:cs="Times New Roman"/>
                <w:sz w:val="24"/>
                <w:szCs w:val="24"/>
                <w:lang w:eastAsia="en-ID"/>
              </w:rPr>
              <w:t xml:space="preserve"> </w:t>
            </w:r>
          </w:p>
        </w:tc>
      </w:tr>
      <w:tr w:rsidR="004E7A11" w:rsidRPr="004E7A11" w14:paraId="545A800B" w14:textId="77777777" w:rsidTr="004E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79646" w:themeColor="accent6"/>
              <w:left w:val="single" w:sz="4" w:space="0" w:color="F79646" w:themeColor="accent6"/>
              <w:bottom w:val="single" w:sz="4" w:space="0" w:color="FABF8F" w:themeColor="accent6" w:themeTint="99"/>
              <w:right w:val="nil"/>
            </w:tcBorders>
            <w:vAlign w:val="center"/>
            <w:hideMark/>
          </w:tcPr>
          <w:p w14:paraId="26880FD8" w14:textId="77777777" w:rsidR="004E7A11" w:rsidRPr="004E7A11" w:rsidRDefault="004E7A11" w:rsidP="004E7A11">
            <w:pPr>
              <w:spacing w:after="0" w:line="240" w:lineRule="auto"/>
              <w:rPr>
                <w:rFonts w:ascii="Times New Roman" w:eastAsia="Times New Roman" w:hAnsi="Times New Roman" w:cs="Times New Roman"/>
                <w:sz w:val="24"/>
                <w:szCs w:val="24"/>
              </w:rPr>
            </w:pPr>
          </w:p>
        </w:tc>
        <w:tc>
          <w:tcPr>
            <w:tcW w:w="0" w:type="auto"/>
            <w:vMerge/>
            <w:tcBorders>
              <w:top w:val="single" w:sz="4" w:space="0" w:color="F79646" w:themeColor="accent6"/>
              <w:left w:val="nil"/>
              <w:bottom w:val="single" w:sz="4" w:space="0" w:color="FABF8F" w:themeColor="accent6" w:themeTint="99"/>
              <w:right w:val="nil"/>
            </w:tcBorders>
            <w:vAlign w:val="center"/>
            <w:hideMark/>
          </w:tcPr>
          <w:p w14:paraId="4CD49115" w14:textId="77777777" w:rsidR="004E7A11" w:rsidRPr="004E7A11" w:rsidRDefault="004E7A11" w:rsidP="004E7A1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27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11CEB4A3" w14:textId="77777777" w:rsidR="004E7A11" w:rsidRPr="004E7A11" w:rsidRDefault="004E7A11" w:rsidP="004E7A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D"/>
              </w:rPr>
            </w:pPr>
            <w:r w:rsidRPr="004E7A11">
              <w:rPr>
                <w:rFonts w:ascii="Times New Roman" w:eastAsia="Times New Roman" w:hAnsi="Times New Roman" w:cs="Times New Roman"/>
                <w:sz w:val="24"/>
                <w:szCs w:val="24"/>
                <w:lang w:eastAsia="en-ID"/>
              </w:rPr>
              <w:t>2020</w:t>
            </w:r>
          </w:p>
        </w:tc>
        <w:tc>
          <w:tcPr>
            <w:tcW w:w="156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1F49B2B" w14:textId="77777777" w:rsidR="004E7A11" w:rsidRPr="004E7A11" w:rsidRDefault="004E7A11" w:rsidP="004E7A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D"/>
              </w:rPr>
            </w:pPr>
            <w:r w:rsidRPr="004E7A11">
              <w:rPr>
                <w:rFonts w:ascii="Times New Roman" w:eastAsia="Times New Roman" w:hAnsi="Times New Roman" w:cs="Times New Roman"/>
                <w:sz w:val="24"/>
                <w:szCs w:val="24"/>
                <w:lang w:eastAsia="en-ID"/>
              </w:rPr>
              <w:t>2021</w:t>
            </w:r>
          </w:p>
        </w:tc>
        <w:tc>
          <w:tcPr>
            <w:tcW w:w="157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FF1A52C" w14:textId="77777777" w:rsidR="004E7A11" w:rsidRPr="004E7A11" w:rsidRDefault="004E7A11" w:rsidP="004E7A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D"/>
              </w:rPr>
            </w:pPr>
            <w:r w:rsidRPr="004E7A11">
              <w:rPr>
                <w:rFonts w:ascii="Times New Roman" w:eastAsia="Times New Roman" w:hAnsi="Times New Roman" w:cs="Times New Roman"/>
                <w:sz w:val="24"/>
                <w:szCs w:val="24"/>
                <w:lang w:eastAsia="en-ID"/>
              </w:rPr>
              <w:t>2022</w:t>
            </w:r>
          </w:p>
        </w:tc>
      </w:tr>
      <w:tr w:rsidR="004E7A11" w:rsidRPr="004E7A11" w14:paraId="5630BAF6" w14:textId="77777777" w:rsidTr="004E7A11">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EEF17E3" w14:textId="77777777" w:rsidR="004E7A11" w:rsidRPr="004E7A11" w:rsidRDefault="004E7A11" w:rsidP="004E7A11">
            <w:pPr>
              <w:spacing w:after="0" w:line="240" w:lineRule="auto"/>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1.</w:t>
            </w:r>
          </w:p>
        </w:tc>
        <w:tc>
          <w:tcPr>
            <w:tcW w:w="354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5743CE7" w14:textId="325764C1" w:rsidR="004E7A11" w:rsidRPr="004E7A11" w:rsidRDefault="004E7A11" w:rsidP="004E7A1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lang w:eastAsia="en-ID"/>
              </w:rPr>
              <w:t xml:space="preserve">Domestic </w:t>
            </w:r>
            <w:r w:rsidR="007618B5" w:rsidRPr="00B817E3">
              <w:rPr>
                <w:rFonts w:ascii="Times New Roman" w:eastAsia="Times New Roman" w:hAnsi="Times New Roman" w:cs="Times New Roman"/>
                <w:sz w:val="24"/>
                <w:szCs w:val="24"/>
                <w:lang w:eastAsia="en-ID"/>
              </w:rPr>
              <w:t>Violence</w:t>
            </w:r>
          </w:p>
        </w:tc>
        <w:tc>
          <w:tcPr>
            <w:tcW w:w="127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75130CC"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37</w:t>
            </w:r>
          </w:p>
        </w:tc>
        <w:tc>
          <w:tcPr>
            <w:tcW w:w="156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00C9FBDF"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33</w:t>
            </w:r>
          </w:p>
        </w:tc>
        <w:tc>
          <w:tcPr>
            <w:tcW w:w="157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FD053EE"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8</w:t>
            </w:r>
          </w:p>
        </w:tc>
      </w:tr>
      <w:tr w:rsidR="004E7A11" w:rsidRPr="004E7A11" w14:paraId="3DD50F9A" w14:textId="77777777" w:rsidTr="004E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6814B15" w14:textId="77777777" w:rsidR="004E7A11" w:rsidRPr="004E7A11" w:rsidRDefault="004E7A11" w:rsidP="004E7A11">
            <w:pPr>
              <w:spacing w:after="0" w:line="240" w:lineRule="auto"/>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2.</w:t>
            </w:r>
          </w:p>
        </w:tc>
        <w:tc>
          <w:tcPr>
            <w:tcW w:w="354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92A24B1" w14:textId="12060E28" w:rsidR="004E7A11" w:rsidRPr="004E7A11" w:rsidRDefault="004E7A11" w:rsidP="004E7A1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lang w:eastAsia="en-ID"/>
              </w:rPr>
              <w:t xml:space="preserve">Disputes and Quarrels </w:t>
            </w:r>
          </w:p>
        </w:tc>
        <w:tc>
          <w:tcPr>
            <w:tcW w:w="127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0CE7FC0" w14:textId="77777777" w:rsidR="004E7A11" w:rsidRPr="004E7A11" w:rsidRDefault="004E7A11" w:rsidP="004E7A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1077</w:t>
            </w:r>
          </w:p>
        </w:tc>
        <w:tc>
          <w:tcPr>
            <w:tcW w:w="156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3D07E6B4" w14:textId="77777777" w:rsidR="004E7A11" w:rsidRPr="004E7A11" w:rsidRDefault="004E7A11" w:rsidP="004E7A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2091</w:t>
            </w:r>
          </w:p>
        </w:tc>
        <w:tc>
          <w:tcPr>
            <w:tcW w:w="157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32A6E44" w14:textId="77777777" w:rsidR="004E7A11" w:rsidRPr="004E7A11" w:rsidRDefault="004E7A11" w:rsidP="004E7A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1593</w:t>
            </w:r>
          </w:p>
        </w:tc>
      </w:tr>
      <w:tr w:rsidR="004E7A11" w:rsidRPr="004E7A11" w14:paraId="7592F054" w14:textId="77777777" w:rsidTr="004E7A11">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31C46C2D" w14:textId="77777777" w:rsidR="004E7A11" w:rsidRPr="004E7A11" w:rsidRDefault="004E7A11" w:rsidP="004E7A11">
            <w:pPr>
              <w:spacing w:after="0" w:line="240" w:lineRule="auto"/>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 xml:space="preserve">3. </w:t>
            </w:r>
          </w:p>
        </w:tc>
        <w:tc>
          <w:tcPr>
            <w:tcW w:w="354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776BD08" w14:textId="2477D8B8" w:rsidR="004E7A11" w:rsidRPr="004E7A11" w:rsidRDefault="004E7A11" w:rsidP="004E7A1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lang w:eastAsia="en-ID"/>
              </w:rPr>
              <w:t xml:space="preserve">Negligence </w:t>
            </w:r>
          </w:p>
        </w:tc>
        <w:tc>
          <w:tcPr>
            <w:tcW w:w="127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013ECF13"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218</w:t>
            </w:r>
          </w:p>
        </w:tc>
        <w:tc>
          <w:tcPr>
            <w:tcW w:w="156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19AC658"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197</w:t>
            </w:r>
          </w:p>
        </w:tc>
        <w:tc>
          <w:tcPr>
            <w:tcW w:w="157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09B811E3"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lang w:eastAsia="en-ID"/>
              </w:rPr>
              <w:t>33</w:t>
            </w:r>
          </w:p>
        </w:tc>
      </w:tr>
    </w:tbl>
    <w:p w14:paraId="211AAF91" w14:textId="07131256" w:rsidR="004E7A11" w:rsidRPr="004E7A11" w:rsidRDefault="004E7A11" w:rsidP="004E7A11">
      <w:pPr>
        <w:rPr>
          <w:rFonts w:ascii="Times New Roman" w:eastAsia="Times New Roman" w:hAnsi="Times New Roman" w:cs="Times New Roman"/>
          <w:sz w:val="20"/>
          <w:szCs w:val="20"/>
        </w:rPr>
      </w:pPr>
      <w:r w:rsidRPr="004E7A11">
        <w:rPr>
          <w:rFonts w:ascii="Times New Roman" w:eastAsia="Times New Roman" w:hAnsi="Times New Roman" w:cs="Times New Roman"/>
          <w:sz w:val="20"/>
          <w:szCs w:val="20"/>
        </w:rPr>
        <w:t xml:space="preserve">      </w:t>
      </w:r>
      <w:r w:rsidRPr="00B817E3">
        <w:rPr>
          <w:rFonts w:ascii="Times New Roman" w:eastAsia="Times New Roman" w:hAnsi="Times New Roman" w:cs="Times New Roman"/>
          <w:sz w:val="20"/>
          <w:szCs w:val="20"/>
        </w:rPr>
        <w:t>Source</w:t>
      </w:r>
      <w:r w:rsidRPr="004E7A11">
        <w:rPr>
          <w:rFonts w:ascii="Times New Roman" w:eastAsia="Times New Roman" w:hAnsi="Times New Roman" w:cs="Times New Roman"/>
          <w:sz w:val="20"/>
          <w:szCs w:val="20"/>
        </w:rPr>
        <w:t>:</w:t>
      </w:r>
      <w:r w:rsidRPr="00B817E3">
        <w:rPr>
          <w:rFonts w:ascii="Times New Roman" w:eastAsia="Times New Roman" w:hAnsi="Times New Roman" w:cs="Times New Roman"/>
          <w:sz w:val="20"/>
          <w:szCs w:val="20"/>
        </w:rPr>
        <w:t xml:space="preserve"> processed secondary data</w:t>
      </w:r>
    </w:p>
    <w:p w14:paraId="7284D286" w14:textId="50BB43B2"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Table 1 shows that, in divorce involving women having cases before the law in an equal civil position with the husband, the most frequent causes are, first, disputes between husband and wife. </w:t>
      </w:r>
      <w:r w:rsidR="008A3DB7" w:rsidRPr="00B817E3">
        <w:rPr>
          <w:rFonts w:ascii="Times New Roman" w:hAnsi="Times New Roman" w:cs="Times New Roman"/>
          <w:sz w:val="24"/>
          <w:szCs w:val="24"/>
        </w:rPr>
        <w:t>What is</w:t>
      </w:r>
      <w:r w:rsidRPr="00B817E3">
        <w:rPr>
          <w:rFonts w:ascii="Times New Roman" w:hAnsi="Times New Roman" w:cs="Times New Roman"/>
          <w:sz w:val="24"/>
          <w:szCs w:val="24"/>
        </w:rPr>
        <w:t xml:space="preserve"> interesting is that, in judicial divorce cases, domestic violence is also included as the main cause of divorce although the percentage is much smaller than disputes. The second most common cause is </w:t>
      </w:r>
      <w:r w:rsidR="007618B5" w:rsidRPr="00B817E3">
        <w:rPr>
          <w:rFonts w:ascii="Times New Roman" w:hAnsi="Times New Roman" w:cs="Times New Roman"/>
          <w:sz w:val="24"/>
          <w:szCs w:val="24"/>
        </w:rPr>
        <w:t xml:space="preserve">the negligence of </w:t>
      </w:r>
      <w:r w:rsidRPr="00B817E3">
        <w:rPr>
          <w:rFonts w:ascii="Times New Roman" w:hAnsi="Times New Roman" w:cs="Times New Roman"/>
          <w:sz w:val="24"/>
          <w:szCs w:val="24"/>
        </w:rPr>
        <w:t>one party. In this matter, almost 85% of the cases were caused by a husband leaving his wife for a long time, i.e., one to three years.</w:t>
      </w:r>
    </w:p>
    <w:p w14:paraId="6C8D416F" w14:textId="085AB124"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Domestic violence in those cases includes </w:t>
      </w:r>
      <w:r w:rsidR="000460D7" w:rsidRPr="00B817E3">
        <w:rPr>
          <w:rFonts w:ascii="Times New Roman" w:hAnsi="Times New Roman" w:cs="Times New Roman"/>
          <w:sz w:val="24"/>
          <w:szCs w:val="24"/>
        </w:rPr>
        <w:t>physical</w:t>
      </w:r>
      <w:r w:rsidRPr="00B817E3">
        <w:rPr>
          <w:rFonts w:ascii="Times New Roman" w:hAnsi="Times New Roman" w:cs="Times New Roman"/>
          <w:sz w:val="24"/>
          <w:szCs w:val="24"/>
        </w:rPr>
        <w:t>, psychological, sexual, and economic abuse. The causes of some cases related to domestic violence are not clearly stated due to various factors. The results of the interviews conducted in Religious Court Class I showed that the divorce cases above were caused by economic problems, quarrels between husbands and wives, and affairs. Those are the most causes for divorce due to domestic violence.</w:t>
      </w:r>
    </w:p>
    <w:p w14:paraId="25D882F4" w14:textId="51282182" w:rsidR="00DE70AC" w:rsidRPr="00B817E3" w:rsidRDefault="00F66FF0" w:rsidP="00DE70A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According to </w:t>
      </w:r>
      <w:r w:rsidR="00C93990" w:rsidRPr="00B817E3">
        <w:rPr>
          <w:rFonts w:ascii="Times New Roman" w:hAnsi="Times New Roman" w:cs="Times New Roman"/>
          <w:sz w:val="24"/>
          <w:szCs w:val="24"/>
        </w:rPr>
        <w:t xml:space="preserve">one of the </w:t>
      </w:r>
      <w:r w:rsidRPr="00B817E3">
        <w:rPr>
          <w:rFonts w:ascii="Times New Roman" w:hAnsi="Times New Roman" w:cs="Times New Roman"/>
          <w:sz w:val="24"/>
          <w:szCs w:val="24"/>
        </w:rPr>
        <w:t>judge</w:t>
      </w:r>
      <w:r w:rsidR="00C93990" w:rsidRPr="00B817E3">
        <w:rPr>
          <w:rFonts w:ascii="Times New Roman" w:hAnsi="Times New Roman" w:cs="Times New Roman"/>
          <w:sz w:val="24"/>
          <w:szCs w:val="24"/>
        </w:rPr>
        <w:t>s</w:t>
      </w:r>
      <w:r w:rsidRPr="00B817E3">
        <w:rPr>
          <w:rFonts w:ascii="Times New Roman" w:hAnsi="Times New Roman" w:cs="Times New Roman"/>
          <w:sz w:val="24"/>
          <w:szCs w:val="24"/>
        </w:rPr>
        <w:t xml:space="preserve"> of the Religious Court in Palembang, one form of protection for women having cases before the law is allowing </w:t>
      </w:r>
      <w:r w:rsidR="000460D7" w:rsidRPr="00B817E3">
        <w:rPr>
          <w:rFonts w:ascii="Times New Roman" w:hAnsi="Times New Roman" w:cs="Times New Roman"/>
          <w:sz w:val="24"/>
          <w:szCs w:val="24"/>
        </w:rPr>
        <w:t>them</w:t>
      </w:r>
      <w:r w:rsidRPr="00B817E3">
        <w:rPr>
          <w:rFonts w:ascii="Times New Roman" w:hAnsi="Times New Roman" w:cs="Times New Roman"/>
          <w:sz w:val="24"/>
          <w:szCs w:val="24"/>
        </w:rPr>
        <w:t xml:space="preserve"> to submit judicial divorce proposals to religious courts located in their area of residence, </w:t>
      </w:r>
      <w:r w:rsidR="000460D7" w:rsidRPr="00B817E3">
        <w:rPr>
          <w:rFonts w:ascii="Times New Roman" w:hAnsi="Times New Roman" w:cs="Times New Roman"/>
          <w:sz w:val="24"/>
          <w:szCs w:val="24"/>
        </w:rPr>
        <w:t xml:space="preserve">in compliance with </w:t>
      </w:r>
      <w:r w:rsidRPr="00B817E3">
        <w:rPr>
          <w:rFonts w:ascii="Times New Roman" w:hAnsi="Times New Roman" w:cs="Times New Roman"/>
          <w:sz w:val="24"/>
          <w:szCs w:val="24"/>
        </w:rPr>
        <w:t xml:space="preserve">the Regulation of the Supreme Court of the Republic of Indonesia number 1 of 2016. This regulation makes it easier for them to file their lawsuit, guarantees their rights and </w:t>
      </w:r>
      <w:r w:rsidR="000460D7" w:rsidRPr="00B817E3">
        <w:rPr>
          <w:rFonts w:ascii="Times New Roman" w:hAnsi="Times New Roman" w:cs="Times New Roman"/>
          <w:sz w:val="24"/>
          <w:szCs w:val="24"/>
        </w:rPr>
        <w:t>the rights</w:t>
      </w:r>
      <w:r w:rsidRPr="00B817E3">
        <w:rPr>
          <w:rFonts w:ascii="Times New Roman" w:hAnsi="Times New Roman" w:cs="Times New Roman"/>
          <w:sz w:val="24"/>
          <w:szCs w:val="24"/>
        </w:rPr>
        <w:t xml:space="preserve"> of their children, and assuring them to get their </w:t>
      </w:r>
      <w:r w:rsidRPr="00B817E3">
        <w:rPr>
          <w:rFonts w:ascii="Times New Roman" w:hAnsi="Times New Roman" w:cs="Times New Roman"/>
          <w:i/>
          <w:iCs/>
          <w:sz w:val="24"/>
          <w:szCs w:val="24"/>
        </w:rPr>
        <w:t>iddah</w:t>
      </w:r>
      <w:r w:rsidRPr="00B817E3">
        <w:rPr>
          <w:rFonts w:ascii="Times New Roman" w:hAnsi="Times New Roman" w:cs="Times New Roman"/>
          <w:sz w:val="24"/>
          <w:szCs w:val="24"/>
        </w:rPr>
        <w:t xml:space="preserve">, </w:t>
      </w:r>
      <w:r w:rsidRPr="00B817E3">
        <w:rPr>
          <w:rFonts w:ascii="Times New Roman" w:hAnsi="Times New Roman" w:cs="Times New Roman"/>
          <w:i/>
          <w:iCs/>
          <w:sz w:val="24"/>
          <w:szCs w:val="24"/>
        </w:rPr>
        <w:t>keswha</w:t>
      </w:r>
      <w:r w:rsidRPr="00B817E3">
        <w:rPr>
          <w:rFonts w:ascii="Times New Roman" w:hAnsi="Times New Roman" w:cs="Times New Roman"/>
          <w:sz w:val="24"/>
          <w:szCs w:val="24"/>
        </w:rPr>
        <w:t xml:space="preserve">, </w:t>
      </w:r>
      <w:r w:rsidRPr="00B817E3">
        <w:rPr>
          <w:rFonts w:ascii="Times New Roman" w:hAnsi="Times New Roman" w:cs="Times New Roman"/>
          <w:i/>
          <w:iCs/>
          <w:sz w:val="24"/>
          <w:szCs w:val="24"/>
        </w:rPr>
        <w:t>maskan</w:t>
      </w:r>
      <w:r w:rsidRPr="00B817E3">
        <w:rPr>
          <w:rFonts w:ascii="Times New Roman" w:hAnsi="Times New Roman" w:cs="Times New Roman"/>
          <w:sz w:val="24"/>
          <w:szCs w:val="24"/>
        </w:rPr>
        <w:t xml:space="preserve"> allowance from their husband, should the divorce verdict </w:t>
      </w:r>
      <w:r w:rsidR="00B817E3" w:rsidRPr="00B817E3">
        <w:rPr>
          <w:rFonts w:ascii="Times New Roman" w:hAnsi="Times New Roman" w:cs="Times New Roman"/>
          <w:sz w:val="24"/>
          <w:szCs w:val="24"/>
        </w:rPr>
        <w:t>have</w:t>
      </w:r>
      <w:r w:rsidRPr="00B817E3">
        <w:rPr>
          <w:rFonts w:ascii="Times New Roman" w:hAnsi="Times New Roman" w:cs="Times New Roman"/>
          <w:sz w:val="24"/>
          <w:szCs w:val="24"/>
        </w:rPr>
        <w:t xml:space="preserve"> been </w:t>
      </w:r>
      <w:r w:rsidR="000460D7" w:rsidRPr="00B817E3">
        <w:rPr>
          <w:rFonts w:ascii="Times New Roman" w:hAnsi="Times New Roman" w:cs="Times New Roman"/>
          <w:sz w:val="24"/>
          <w:szCs w:val="24"/>
        </w:rPr>
        <w:t>ruled</w:t>
      </w:r>
      <w:r w:rsidRPr="00B817E3">
        <w:rPr>
          <w:rFonts w:ascii="Times New Roman" w:hAnsi="Times New Roman" w:cs="Times New Roman"/>
          <w:sz w:val="24"/>
          <w:szCs w:val="24"/>
        </w:rPr>
        <w:t xml:space="preserve">. </w:t>
      </w:r>
      <w:r w:rsidR="000460D7" w:rsidRPr="00B817E3">
        <w:rPr>
          <w:rFonts w:ascii="Times New Roman" w:hAnsi="Times New Roman" w:cs="Times New Roman"/>
          <w:sz w:val="24"/>
          <w:szCs w:val="24"/>
        </w:rPr>
        <w:t>Hence</w:t>
      </w:r>
      <w:r w:rsidRPr="00B817E3">
        <w:rPr>
          <w:rFonts w:ascii="Times New Roman" w:hAnsi="Times New Roman" w:cs="Times New Roman"/>
          <w:sz w:val="24"/>
          <w:szCs w:val="24"/>
        </w:rPr>
        <w:t>, according to Lekat, this protection has been given by the Religious Court in accordance with the contents of the relevant law.</w:t>
      </w:r>
      <w:r w:rsidR="00DE70AC" w:rsidRPr="00B817E3">
        <w:rPr>
          <w:vertAlign w:val="superscript"/>
        </w:rPr>
        <w:t xml:space="preserve"> </w:t>
      </w:r>
      <w:r w:rsidR="00DE70AC" w:rsidRPr="00B817E3">
        <w:rPr>
          <w:rFonts w:ascii="Times New Roman" w:hAnsi="Times New Roman" w:cs="Times New Roman"/>
          <w:sz w:val="24"/>
          <w:szCs w:val="24"/>
          <w:vertAlign w:val="superscript"/>
        </w:rPr>
        <w:footnoteReference w:id="13"/>
      </w:r>
      <w:r w:rsidR="00DE70AC" w:rsidRPr="00B817E3">
        <w:rPr>
          <w:rFonts w:ascii="Times New Roman" w:hAnsi="Times New Roman" w:cs="Times New Roman"/>
          <w:sz w:val="24"/>
          <w:szCs w:val="24"/>
        </w:rPr>
        <w:t xml:space="preserve"> </w:t>
      </w:r>
    </w:p>
    <w:p w14:paraId="5A6C171A" w14:textId="2EE833D2"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It is frequent that women having cases before the law have to bear a heavier burden when they are being investigated at trial as they </w:t>
      </w:r>
      <w:r w:rsidR="008A3DB7" w:rsidRPr="00B817E3">
        <w:rPr>
          <w:rFonts w:ascii="Times New Roman" w:hAnsi="Times New Roman" w:cs="Times New Roman"/>
          <w:sz w:val="24"/>
          <w:szCs w:val="24"/>
        </w:rPr>
        <w:t>must</w:t>
      </w:r>
      <w:r w:rsidRPr="00B817E3">
        <w:rPr>
          <w:rFonts w:ascii="Times New Roman" w:hAnsi="Times New Roman" w:cs="Times New Roman"/>
          <w:sz w:val="24"/>
          <w:szCs w:val="24"/>
        </w:rPr>
        <w:t xml:space="preserve"> answer questions that make them cornered, trapped, and harassed, which in turn makes their psychological condition weakened during the </w:t>
      </w:r>
      <w:r w:rsidR="000460D7" w:rsidRPr="00B817E3">
        <w:rPr>
          <w:rFonts w:ascii="Times New Roman" w:hAnsi="Times New Roman" w:cs="Times New Roman"/>
          <w:sz w:val="24"/>
          <w:szCs w:val="24"/>
        </w:rPr>
        <w:t>trial</w:t>
      </w:r>
      <w:r w:rsidRPr="00B817E3">
        <w:rPr>
          <w:rFonts w:ascii="Times New Roman" w:hAnsi="Times New Roman" w:cs="Times New Roman"/>
          <w:sz w:val="24"/>
          <w:szCs w:val="24"/>
        </w:rPr>
        <w:t xml:space="preserve">. Issues about women having cases before the law have been addressed by the Regulation of the Supreme Court of the Republic of Indonesia number 3 of 2017. The regulation stipulates the processes or </w:t>
      </w:r>
      <w:r w:rsidRPr="00B817E3">
        <w:rPr>
          <w:rFonts w:ascii="Times New Roman" w:hAnsi="Times New Roman" w:cs="Times New Roman"/>
          <w:sz w:val="24"/>
          <w:szCs w:val="24"/>
        </w:rPr>
        <w:lastRenderedPageBreak/>
        <w:t xml:space="preserve">stages that make women having cases before the law protected from </w:t>
      </w:r>
      <w:r w:rsidR="000460D7" w:rsidRPr="00B817E3">
        <w:rPr>
          <w:rFonts w:ascii="Times New Roman" w:hAnsi="Times New Roman" w:cs="Times New Roman"/>
          <w:sz w:val="24"/>
          <w:szCs w:val="24"/>
        </w:rPr>
        <w:t xml:space="preserve">judge's </w:t>
      </w:r>
      <w:r w:rsidRPr="00B817E3">
        <w:rPr>
          <w:rFonts w:ascii="Times New Roman" w:hAnsi="Times New Roman" w:cs="Times New Roman"/>
          <w:sz w:val="24"/>
          <w:szCs w:val="24"/>
        </w:rPr>
        <w:t>attitudes and statement</w:t>
      </w:r>
      <w:r w:rsidR="000460D7" w:rsidRPr="00B817E3">
        <w:rPr>
          <w:rFonts w:ascii="Times New Roman" w:hAnsi="Times New Roman" w:cs="Times New Roman"/>
          <w:sz w:val="24"/>
          <w:szCs w:val="24"/>
        </w:rPr>
        <w:t>s</w:t>
      </w:r>
      <w:r w:rsidRPr="00B817E3">
        <w:rPr>
          <w:rFonts w:ascii="Times New Roman" w:hAnsi="Times New Roman" w:cs="Times New Roman"/>
          <w:sz w:val="24"/>
          <w:szCs w:val="24"/>
        </w:rPr>
        <w:t xml:space="preserve"> that </w:t>
      </w:r>
      <w:r w:rsidR="000460D7" w:rsidRPr="00B817E3">
        <w:rPr>
          <w:rFonts w:ascii="Times New Roman" w:hAnsi="Times New Roman" w:cs="Times New Roman"/>
          <w:sz w:val="24"/>
          <w:szCs w:val="24"/>
        </w:rPr>
        <w:t xml:space="preserve">make </w:t>
      </w:r>
      <w:r w:rsidRPr="00B817E3">
        <w:rPr>
          <w:rFonts w:ascii="Times New Roman" w:hAnsi="Times New Roman" w:cs="Times New Roman"/>
          <w:sz w:val="24"/>
          <w:szCs w:val="24"/>
        </w:rPr>
        <w:t xml:space="preserve">them feel isolated and </w:t>
      </w:r>
      <w:r w:rsidR="000460D7" w:rsidRPr="00B817E3">
        <w:rPr>
          <w:rFonts w:ascii="Times New Roman" w:hAnsi="Times New Roman" w:cs="Times New Roman"/>
          <w:sz w:val="24"/>
          <w:szCs w:val="24"/>
        </w:rPr>
        <w:t xml:space="preserve">guilty </w:t>
      </w:r>
      <w:r w:rsidRPr="00B817E3">
        <w:rPr>
          <w:rFonts w:ascii="Times New Roman" w:hAnsi="Times New Roman" w:cs="Times New Roman"/>
          <w:sz w:val="24"/>
          <w:szCs w:val="24"/>
        </w:rPr>
        <w:t>in court.</w:t>
      </w:r>
    </w:p>
    <w:p w14:paraId="7FBF39FA" w14:textId="0990DD5F" w:rsidR="00F66FF0" w:rsidRPr="00B817E3" w:rsidRDefault="00F66FF0" w:rsidP="00DE70A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At every opportunity, the heads of the courts in Palembang, either religious court, court</w:t>
      </w:r>
      <w:r w:rsidR="000460D7" w:rsidRPr="00B817E3">
        <w:rPr>
          <w:rFonts w:ascii="Times New Roman" w:hAnsi="Times New Roman" w:cs="Times New Roman"/>
          <w:sz w:val="24"/>
          <w:szCs w:val="24"/>
        </w:rPr>
        <w:t xml:space="preserve"> martial</w:t>
      </w:r>
      <w:r w:rsidRPr="00B817E3">
        <w:rPr>
          <w:rFonts w:ascii="Times New Roman" w:hAnsi="Times New Roman" w:cs="Times New Roman"/>
          <w:sz w:val="24"/>
          <w:szCs w:val="24"/>
        </w:rPr>
        <w:t>, and district court, remind all judges of those courts to attend training on the guidelines for adjudicating women's cases before the law.</w:t>
      </w:r>
      <w:r w:rsidR="00DE70AC" w:rsidRPr="00B817E3">
        <w:rPr>
          <w:vertAlign w:val="superscript"/>
        </w:rPr>
        <w:t xml:space="preserve"> </w:t>
      </w:r>
      <w:r w:rsidR="00DE70AC" w:rsidRPr="00B817E3">
        <w:rPr>
          <w:rFonts w:ascii="Times New Roman" w:hAnsi="Times New Roman" w:cs="Times New Roman"/>
          <w:sz w:val="24"/>
          <w:szCs w:val="24"/>
          <w:vertAlign w:val="superscript"/>
        </w:rPr>
        <w:footnoteReference w:id="14"/>
      </w:r>
      <w:r w:rsidR="00DE70AC" w:rsidRPr="00B817E3">
        <w:rPr>
          <w:rFonts w:ascii="Times New Roman" w:hAnsi="Times New Roman" w:cs="Times New Roman"/>
          <w:sz w:val="24"/>
          <w:szCs w:val="24"/>
        </w:rPr>
        <w:t xml:space="preserve"> </w:t>
      </w:r>
      <w:r w:rsidRPr="00B817E3">
        <w:rPr>
          <w:rFonts w:ascii="Times New Roman" w:hAnsi="Times New Roman" w:cs="Times New Roman"/>
          <w:sz w:val="24"/>
          <w:szCs w:val="24"/>
        </w:rPr>
        <w:t xml:space="preserve">Women who are having cases before the law, at their own disposal, can seek legal assistance from the court's legal aid office, can appoint their own lawyers, and can request accompaniment from their families. Therefore, they can choose between having an escort or not, and they can choose the escort </w:t>
      </w:r>
      <w:r w:rsidR="000460D7" w:rsidRPr="00B817E3">
        <w:rPr>
          <w:rFonts w:ascii="Times New Roman" w:hAnsi="Times New Roman" w:cs="Times New Roman"/>
          <w:sz w:val="24"/>
          <w:szCs w:val="24"/>
        </w:rPr>
        <w:t xml:space="preserve">that </w:t>
      </w:r>
      <w:r w:rsidRPr="00B817E3">
        <w:rPr>
          <w:rFonts w:ascii="Times New Roman" w:hAnsi="Times New Roman" w:cs="Times New Roman"/>
          <w:sz w:val="24"/>
          <w:szCs w:val="24"/>
        </w:rPr>
        <w:t>they want.</w:t>
      </w:r>
    </w:p>
    <w:p w14:paraId="6620347D" w14:textId="2CB9950A" w:rsidR="00F66FF0" w:rsidRPr="00B817E3" w:rsidRDefault="00F66FF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Takdir Rahmadi emphasized the need for training and socialization on the guidelines for adjudicating women's cases before the law for judges and mentioned that the </w:t>
      </w:r>
      <w:r w:rsidR="000460D7" w:rsidRPr="00B817E3">
        <w:rPr>
          <w:rFonts w:ascii="Times New Roman" w:hAnsi="Times New Roman" w:cs="Times New Roman"/>
          <w:sz w:val="24"/>
          <w:szCs w:val="24"/>
        </w:rPr>
        <w:t>issuance</w:t>
      </w:r>
      <w:r w:rsidRPr="00B817E3">
        <w:rPr>
          <w:rFonts w:ascii="Times New Roman" w:hAnsi="Times New Roman" w:cs="Times New Roman"/>
          <w:sz w:val="24"/>
          <w:szCs w:val="24"/>
        </w:rPr>
        <w:t xml:space="preserve"> of the Regulation of the Supreme Court of the Republic of Indonesia number 3 of 2017 is an important breakthrough in dealing with women having cases before the law. In order to make the Supreme Court's regulation run well, the mindset of the judges must be reoriented. Appropriate training and </w:t>
      </w:r>
      <w:r w:rsidR="000460D7" w:rsidRPr="00B817E3">
        <w:rPr>
          <w:rFonts w:ascii="Times New Roman" w:hAnsi="Times New Roman" w:cs="Times New Roman"/>
          <w:sz w:val="24"/>
          <w:szCs w:val="24"/>
        </w:rPr>
        <w:t>guidance</w:t>
      </w:r>
      <w:r w:rsidRPr="00B817E3">
        <w:rPr>
          <w:rFonts w:ascii="Times New Roman" w:hAnsi="Times New Roman" w:cs="Times New Roman"/>
          <w:sz w:val="24"/>
          <w:szCs w:val="24"/>
        </w:rPr>
        <w:t xml:space="preserve"> are expected to change the</w:t>
      </w:r>
      <w:r w:rsidR="000460D7" w:rsidRPr="00B817E3">
        <w:rPr>
          <w:rFonts w:ascii="Times New Roman" w:hAnsi="Times New Roman" w:cs="Times New Roman"/>
          <w:sz w:val="24"/>
          <w:szCs w:val="24"/>
        </w:rPr>
        <w:t>ir</w:t>
      </w:r>
      <w:r w:rsidRPr="00B817E3">
        <w:rPr>
          <w:rFonts w:ascii="Times New Roman" w:hAnsi="Times New Roman" w:cs="Times New Roman"/>
          <w:sz w:val="24"/>
          <w:szCs w:val="24"/>
        </w:rPr>
        <w:t xml:space="preserve"> mindset. They must be made to think that women are not the object of repeated judgment from society and law enforcement officials, that women must be respected, that their existence as citizens must be recognized, and that their rights, especially during the trial process, must be accommodated.</w:t>
      </w:r>
    </w:p>
    <w:p w14:paraId="77E0B0CA" w14:textId="527ADED1" w:rsidR="00F66FF0" w:rsidRPr="00B817E3" w:rsidRDefault="00F66FF0" w:rsidP="000460D7">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The results of the interview</w:t>
      </w:r>
      <w:r w:rsidR="00DE70AC" w:rsidRPr="00B817E3">
        <w:rPr>
          <w:vertAlign w:val="superscript"/>
        </w:rPr>
        <w:t xml:space="preserve"> </w:t>
      </w:r>
      <w:r w:rsidR="00DE70AC" w:rsidRPr="00B817E3">
        <w:rPr>
          <w:rFonts w:ascii="Times New Roman" w:hAnsi="Times New Roman" w:cs="Times New Roman"/>
          <w:sz w:val="24"/>
          <w:szCs w:val="24"/>
          <w:vertAlign w:val="superscript"/>
        </w:rPr>
        <w:footnoteReference w:id="15"/>
      </w:r>
      <w:r w:rsidR="00DE70AC" w:rsidRPr="00B817E3">
        <w:rPr>
          <w:rFonts w:ascii="Times New Roman" w:hAnsi="Times New Roman" w:cs="Times New Roman"/>
          <w:sz w:val="24"/>
          <w:szCs w:val="24"/>
        </w:rPr>
        <w:t xml:space="preserve"> </w:t>
      </w:r>
      <w:r w:rsidRPr="00B817E3">
        <w:rPr>
          <w:rFonts w:ascii="Times New Roman" w:hAnsi="Times New Roman" w:cs="Times New Roman"/>
          <w:sz w:val="24"/>
          <w:szCs w:val="24"/>
        </w:rPr>
        <w:t>also show that the Regulation of the Supreme Court of the Republic of Indonesia number 3 of 2017 has been implemented according to the socialization received by</w:t>
      </w:r>
      <w:r w:rsidR="000460D7" w:rsidRPr="00B817E3">
        <w:rPr>
          <w:rFonts w:ascii="Times New Roman" w:hAnsi="Times New Roman" w:cs="Times New Roman"/>
          <w:sz w:val="24"/>
          <w:szCs w:val="24"/>
        </w:rPr>
        <w:t xml:space="preserve"> the</w:t>
      </w:r>
      <w:r w:rsidRPr="00B817E3">
        <w:rPr>
          <w:rFonts w:ascii="Times New Roman" w:hAnsi="Times New Roman" w:cs="Times New Roman"/>
          <w:sz w:val="24"/>
          <w:szCs w:val="24"/>
        </w:rPr>
        <w:t xml:space="preserve"> judges </w:t>
      </w:r>
      <w:r w:rsidR="000460D7" w:rsidRPr="00B817E3">
        <w:rPr>
          <w:rFonts w:ascii="Times New Roman" w:hAnsi="Times New Roman" w:cs="Times New Roman"/>
          <w:sz w:val="24"/>
          <w:szCs w:val="24"/>
        </w:rPr>
        <w:t xml:space="preserve">of </w:t>
      </w:r>
      <w:r w:rsidRPr="00B817E3">
        <w:rPr>
          <w:rFonts w:ascii="Times New Roman" w:hAnsi="Times New Roman" w:cs="Times New Roman"/>
          <w:sz w:val="24"/>
          <w:szCs w:val="24"/>
        </w:rPr>
        <w:t xml:space="preserve">the </w:t>
      </w:r>
      <w:r w:rsidR="00992793" w:rsidRPr="00B817E3">
        <w:rPr>
          <w:rFonts w:ascii="Times New Roman" w:hAnsi="Times New Roman" w:cs="Times New Roman"/>
          <w:sz w:val="24"/>
          <w:szCs w:val="24"/>
        </w:rPr>
        <w:t>District</w:t>
      </w:r>
      <w:r w:rsidRPr="00B817E3">
        <w:rPr>
          <w:rFonts w:ascii="Times New Roman" w:hAnsi="Times New Roman" w:cs="Times New Roman"/>
          <w:sz w:val="24"/>
          <w:szCs w:val="24"/>
        </w:rPr>
        <w:t xml:space="preserve"> Court of Palembang, Religious Court of Palembang, and Court Martial I 04 of Palembang. The protection given to women having cases before the law prioritizes the principle of the presumption of innocence, legal principles</w:t>
      </w:r>
      <w:r w:rsidR="000460D7" w:rsidRPr="00B817E3">
        <w:rPr>
          <w:rFonts w:ascii="Times New Roman" w:hAnsi="Times New Roman" w:cs="Times New Roman"/>
          <w:sz w:val="24"/>
          <w:szCs w:val="24"/>
        </w:rPr>
        <w:t>,</w:t>
      </w:r>
      <w:r w:rsidRPr="00B817E3">
        <w:rPr>
          <w:rFonts w:ascii="Times New Roman" w:hAnsi="Times New Roman" w:cs="Times New Roman"/>
          <w:sz w:val="24"/>
          <w:szCs w:val="24"/>
        </w:rPr>
        <w:t xml:space="preserve"> </w:t>
      </w:r>
      <w:r w:rsidR="000460D7" w:rsidRPr="00B817E3">
        <w:rPr>
          <w:rFonts w:ascii="Times New Roman" w:hAnsi="Times New Roman" w:cs="Times New Roman"/>
          <w:sz w:val="24"/>
          <w:szCs w:val="24"/>
        </w:rPr>
        <w:t xml:space="preserve">and justice </w:t>
      </w:r>
      <w:r w:rsidRPr="00B817E3">
        <w:rPr>
          <w:rFonts w:ascii="Times New Roman" w:hAnsi="Times New Roman" w:cs="Times New Roman"/>
          <w:sz w:val="24"/>
          <w:szCs w:val="24"/>
        </w:rPr>
        <w:t>principle</w:t>
      </w:r>
      <w:r w:rsidR="000460D7" w:rsidRPr="00B817E3">
        <w:rPr>
          <w:rFonts w:ascii="Times New Roman" w:hAnsi="Times New Roman" w:cs="Times New Roman"/>
          <w:sz w:val="24"/>
          <w:szCs w:val="24"/>
        </w:rPr>
        <w:t>.</w:t>
      </w:r>
      <w:r w:rsidRPr="00B817E3">
        <w:rPr>
          <w:rFonts w:ascii="Times New Roman" w:hAnsi="Times New Roman" w:cs="Times New Roman"/>
          <w:sz w:val="24"/>
          <w:szCs w:val="24"/>
        </w:rPr>
        <w:t xml:space="preserve"> </w:t>
      </w:r>
      <w:r w:rsidR="000460D7" w:rsidRPr="00B817E3">
        <w:rPr>
          <w:rFonts w:ascii="Times New Roman" w:hAnsi="Times New Roman" w:cs="Times New Roman"/>
          <w:sz w:val="24"/>
          <w:szCs w:val="24"/>
        </w:rPr>
        <w:t xml:space="preserve">It also </w:t>
      </w:r>
      <w:r w:rsidRPr="00B817E3">
        <w:rPr>
          <w:rFonts w:ascii="Times New Roman" w:hAnsi="Times New Roman" w:cs="Times New Roman"/>
          <w:sz w:val="24"/>
          <w:szCs w:val="24"/>
        </w:rPr>
        <w:t xml:space="preserve">provides </w:t>
      </w:r>
      <w:r w:rsidR="000460D7" w:rsidRPr="00B817E3">
        <w:rPr>
          <w:rFonts w:ascii="Times New Roman" w:hAnsi="Times New Roman" w:cs="Times New Roman"/>
          <w:sz w:val="24"/>
          <w:szCs w:val="24"/>
        </w:rPr>
        <w:t xml:space="preserve">protections from </w:t>
      </w:r>
      <w:r w:rsidRPr="00B817E3">
        <w:rPr>
          <w:rFonts w:ascii="Times New Roman" w:hAnsi="Times New Roman" w:cs="Times New Roman"/>
          <w:sz w:val="24"/>
          <w:szCs w:val="24"/>
        </w:rPr>
        <w:t xml:space="preserve">statements that are harassing or blaming </w:t>
      </w:r>
      <w:r w:rsidR="000460D7" w:rsidRPr="00B817E3">
        <w:rPr>
          <w:rFonts w:ascii="Times New Roman" w:hAnsi="Times New Roman" w:cs="Times New Roman"/>
          <w:sz w:val="24"/>
          <w:szCs w:val="24"/>
        </w:rPr>
        <w:t xml:space="preserve">them, from vulgar </w:t>
      </w:r>
      <w:r w:rsidRPr="00B817E3">
        <w:rPr>
          <w:rFonts w:ascii="Times New Roman" w:hAnsi="Times New Roman" w:cs="Times New Roman"/>
          <w:sz w:val="24"/>
          <w:szCs w:val="24"/>
        </w:rPr>
        <w:t xml:space="preserve">questions, </w:t>
      </w:r>
      <w:r w:rsidR="000460D7" w:rsidRPr="00B817E3">
        <w:rPr>
          <w:rFonts w:ascii="Times New Roman" w:hAnsi="Times New Roman" w:cs="Times New Roman"/>
          <w:sz w:val="24"/>
          <w:szCs w:val="24"/>
        </w:rPr>
        <w:t xml:space="preserve">from questions about their </w:t>
      </w:r>
      <w:r w:rsidRPr="00B817E3">
        <w:rPr>
          <w:rFonts w:ascii="Times New Roman" w:hAnsi="Times New Roman" w:cs="Times New Roman"/>
          <w:sz w:val="24"/>
          <w:szCs w:val="24"/>
        </w:rPr>
        <w:t xml:space="preserve">background that discredit </w:t>
      </w:r>
      <w:r w:rsidR="000460D7" w:rsidRPr="00B817E3">
        <w:rPr>
          <w:rFonts w:ascii="Times New Roman" w:hAnsi="Times New Roman" w:cs="Times New Roman"/>
          <w:sz w:val="24"/>
          <w:szCs w:val="24"/>
        </w:rPr>
        <w:t xml:space="preserve">them, and from </w:t>
      </w:r>
      <w:r w:rsidRPr="00B817E3">
        <w:rPr>
          <w:rFonts w:ascii="Times New Roman" w:hAnsi="Times New Roman" w:cs="Times New Roman"/>
          <w:sz w:val="24"/>
          <w:szCs w:val="24"/>
        </w:rPr>
        <w:t xml:space="preserve">anything that </w:t>
      </w:r>
      <w:r w:rsidR="000460D7" w:rsidRPr="00B817E3">
        <w:rPr>
          <w:rFonts w:ascii="Times New Roman" w:hAnsi="Times New Roman" w:cs="Times New Roman"/>
          <w:sz w:val="24"/>
          <w:szCs w:val="24"/>
        </w:rPr>
        <w:t>harms their psychological wellbeing</w:t>
      </w:r>
      <w:r w:rsidRPr="00B817E3">
        <w:rPr>
          <w:rFonts w:ascii="Times New Roman" w:hAnsi="Times New Roman" w:cs="Times New Roman"/>
          <w:sz w:val="24"/>
          <w:szCs w:val="24"/>
        </w:rPr>
        <w:t>.</w:t>
      </w:r>
    </w:p>
    <w:p w14:paraId="3A851032" w14:textId="1B94304F" w:rsidR="00F65C19" w:rsidRPr="00B817E3" w:rsidRDefault="00C02F70" w:rsidP="00C93990">
      <w:pPr>
        <w:pStyle w:val="ListParagraph"/>
        <w:numPr>
          <w:ilvl w:val="0"/>
          <w:numId w:val="31"/>
        </w:numPr>
        <w:spacing w:before="0" w:beforeAutospacing="0" w:after="0" w:afterAutospacing="0" w:line="360" w:lineRule="auto"/>
        <w:ind w:left="350"/>
        <w:jc w:val="both"/>
        <w:rPr>
          <w:rFonts w:ascii="Times New Roman" w:hAnsi="Times New Roman" w:cs="Times New Roman"/>
          <w:lang w:val="en-US"/>
        </w:rPr>
      </w:pPr>
      <w:r w:rsidRPr="00B817E3">
        <w:rPr>
          <w:rFonts w:ascii="Times New Roman" w:hAnsi="Times New Roman" w:cs="Times New Roman"/>
          <w:lang w:val="en-US"/>
        </w:rPr>
        <w:t>Court Martial</w:t>
      </w:r>
      <w:r w:rsidR="00F65C19" w:rsidRPr="00B817E3">
        <w:rPr>
          <w:rFonts w:ascii="Times New Roman" w:hAnsi="Times New Roman" w:cs="Times New Roman"/>
          <w:lang w:val="en-US"/>
        </w:rPr>
        <w:t xml:space="preserve"> I 04 </w:t>
      </w:r>
      <w:r w:rsidR="00955D28" w:rsidRPr="00B817E3">
        <w:rPr>
          <w:rFonts w:ascii="Times New Roman" w:hAnsi="Times New Roman" w:cs="Times New Roman"/>
          <w:lang w:val="en-US"/>
        </w:rPr>
        <w:t xml:space="preserve">of </w:t>
      </w:r>
      <w:r w:rsidR="00F65C19" w:rsidRPr="00B817E3">
        <w:rPr>
          <w:rFonts w:ascii="Times New Roman" w:hAnsi="Times New Roman" w:cs="Times New Roman"/>
          <w:lang w:val="en-US"/>
        </w:rPr>
        <w:t>Palembang</w:t>
      </w:r>
    </w:p>
    <w:p w14:paraId="3792E356" w14:textId="77777777" w:rsidR="00DF5D40" w:rsidRPr="00B817E3" w:rsidRDefault="00DF5D4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lastRenderedPageBreak/>
        <w:t>In 2022 Court Martial I 04 of Palembang handled 27 cases involving women having cases before the law, which are presented in the following table.</w:t>
      </w:r>
    </w:p>
    <w:p w14:paraId="1BD76F9D" w14:textId="39FD8B57" w:rsidR="004E7A11" w:rsidRPr="004E7A11" w:rsidRDefault="00B817E3" w:rsidP="004E7A11">
      <w:pPr>
        <w:spacing w:after="0"/>
        <w:jc w:val="center"/>
        <w:rPr>
          <w:rFonts w:ascii="Times New Roman" w:eastAsia="Times New Roman" w:hAnsi="Times New Roman" w:cs="Times New Roman"/>
          <w:b/>
          <w:bCs/>
          <w:sz w:val="24"/>
          <w:szCs w:val="24"/>
        </w:rPr>
      </w:pPr>
      <w:r w:rsidRPr="004E7A11">
        <w:rPr>
          <w:rFonts w:ascii="Times New Roman" w:eastAsia="Times New Roman" w:hAnsi="Times New Roman" w:cs="Times New Roman"/>
          <w:b/>
          <w:bCs/>
          <w:sz w:val="24"/>
          <w:szCs w:val="24"/>
        </w:rPr>
        <w:t>Table</w:t>
      </w:r>
      <w:r w:rsidR="004E7A11" w:rsidRPr="004E7A11">
        <w:rPr>
          <w:rFonts w:ascii="Times New Roman" w:eastAsia="Times New Roman" w:hAnsi="Times New Roman" w:cs="Times New Roman"/>
          <w:b/>
          <w:bCs/>
          <w:sz w:val="24"/>
          <w:szCs w:val="24"/>
        </w:rPr>
        <w:t xml:space="preserve"> 3</w:t>
      </w:r>
    </w:p>
    <w:p w14:paraId="32E1AACF" w14:textId="56234A87" w:rsidR="004E7A11" w:rsidRPr="004E7A11" w:rsidRDefault="004E7A11" w:rsidP="004E7A11">
      <w:pPr>
        <w:spacing w:after="0"/>
        <w:jc w:val="center"/>
        <w:rPr>
          <w:rFonts w:ascii="Times New Roman" w:eastAsia="Times New Roman" w:hAnsi="Times New Roman" w:cs="Times New Roman"/>
          <w:b/>
          <w:bCs/>
          <w:sz w:val="24"/>
          <w:szCs w:val="24"/>
        </w:rPr>
      </w:pPr>
      <w:r w:rsidRPr="004E7A11">
        <w:rPr>
          <w:rFonts w:ascii="Times New Roman" w:eastAsia="Times New Roman" w:hAnsi="Times New Roman" w:cs="Times New Roman"/>
          <w:b/>
          <w:bCs/>
          <w:sz w:val="24"/>
          <w:szCs w:val="24"/>
        </w:rPr>
        <w:t xml:space="preserve">Data </w:t>
      </w:r>
      <w:r w:rsidRPr="00B817E3">
        <w:rPr>
          <w:rFonts w:ascii="Times New Roman" w:eastAsia="Times New Roman" w:hAnsi="Times New Roman" w:cs="Times New Roman"/>
          <w:b/>
          <w:bCs/>
          <w:sz w:val="24"/>
          <w:szCs w:val="24"/>
        </w:rPr>
        <w:t xml:space="preserve">of Women Having Cases Before the Law in the Court Martial </w:t>
      </w:r>
      <w:r w:rsidRPr="004E7A11">
        <w:rPr>
          <w:rFonts w:ascii="Times New Roman" w:eastAsia="Times New Roman" w:hAnsi="Times New Roman" w:cs="Times New Roman"/>
          <w:b/>
          <w:bCs/>
          <w:sz w:val="24"/>
          <w:szCs w:val="24"/>
        </w:rPr>
        <w:t>I 04</w:t>
      </w:r>
      <w:r w:rsidRPr="00B817E3">
        <w:rPr>
          <w:rFonts w:ascii="Times New Roman" w:eastAsia="Times New Roman" w:hAnsi="Times New Roman" w:cs="Times New Roman"/>
          <w:b/>
          <w:bCs/>
          <w:sz w:val="24"/>
          <w:szCs w:val="24"/>
        </w:rPr>
        <w:t xml:space="preserve"> of Palembang</w:t>
      </w:r>
    </w:p>
    <w:p w14:paraId="166299B3" w14:textId="344000E6" w:rsidR="004E7A11" w:rsidRPr="004E7A11" w:rsidRDefault="004E7A11" w:rsidP="004E7A11">
      <w:pPr>
        <w:spacing w:after="0"/>
        <w:jc w:val="center"/>
        <w:rPr>
          <w:rFonts w:ascii="Times New Roman" w:eastAsia="Times New Roman" w:hAnsi="Times New Roman" w:cs="Times New Roman"/>
          <w:b/>
          <w:bCs/>
          <w:sz w:val="24"/>
          <w:szCs w:val="24"/>
        </w:rPr>
      </w:pPr>
      <w:r w:rsidRPr="00B817E3">
        <w:rPr>
          <w:rFonts w:ascii="Times New Roman" w:eastAsia="Times New Roman" w:hAnsi="Times New Roman" w:cs="Times New Roman"/>
          <w:b/>
          <w:bCs/>
          <w:sz w:val="24"/>
          <w:szCs w:val="24"/>
        </w:rPr>
        <w:t xml:space="preserve">Until </w:t>
      </w:r>
      <w:r w:rsidRPr="004E7A11">
        <w:rPr>
          <w:rFonts w:ascii="Times New Roman" w:eastAsia="Times New Roman" w:hAnsi="Times New Roman" w:cs="Times New Roman"/>
          <w:b/>
          <w:bCs/>
          <w:sz w:val="24"/>
          <w:szCs w:val="24"/>
        </w:rPr>
        <w:t>2022</w:t>
      </w:r>
    </w:p>
    <w:tbl>
      <w:tblPr>
        <w:tblStyle w:val="GridTable4-Accent511"/>
        <w:tblW w:w="0" w:type="auto"/>
        <w:tblInd w:w="299" w:type="dxa"/>
        <w:tblLook w:val="04A0" w:firstRow="1" w:lastRow="0" w:firstColumn="1" w:lastColumn="0" w:noHBand="0" w:noVBand="1"/>
      </w:tblPr>
      <w:tblGrid>
        <w:gridCol w:w="695"/>
        <w:gridCol w:w="2759"/>
        <w:gridCol w:w="1767"/>
        <w:gridCol w:w="2023"/>
        <w:gridCol w:w="1801"/>
      </w:tblGrid>
      <w:tr w:rsidR="004E7A11" w:rsidRPr="00B817E3" w14:paraId="028D5317" w14:textId="77777777" w:rsidTr="004E7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5FAF1AFA" w14:textId="2C1AEA6F"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 xml:space="preserve"> No</w:t>
            </w:r>
            <w:r w:rsidRPr="00B817E3">
              <w:rPr>
                <w:rFonts w:ascii="Times New Roman" w:eastAsia="Times New Roman" w:hAnsi="Times New Roman" w:cs="Times New Roman"/>
                <w:sz w:val="24"/>
                <w:szCs w:val="24"/>
              </w:rPr>
              <w:t>.</w:t>
            </w:r>
          </w:p>
        </w:tc>
        <w:tc>
          <w:tcPr>
            <w:tcW w:w="2767"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5BAAD670" w14:textId="3EFF4182" w:rsidR="004E7A11" w:rsidRPr="004E7A11" w:rsidRDefault="004E7A11" w:rsidP="004E7A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Cases </w:t>
            </w:r>
          </w:p>
        </w:tc>
        <w:tc>
          <w:tcPr>
            <w:tcW w:w="177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43F17CED" w14:textId="06850216" w:rsidR="004E7A11" w:rsidRPr="004E7A11" w:rsidRDefault="004E7A11" w:rsidP="004E7A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Perpetrator</w:t>
            </w:r>
          </w:p>
        </w:tc>
        <w:tc>
          <w:tcPr>
            <w:tcW w:w="2031"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2525BB4" w14:textId="2CC8A712" w:rsidR="004E7A11" w:rsidRPr="004E7A11" w:rsidRDefault="004E7A11" w:rsidP="004E7A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Victim </w:t>
            </w:r>
          </w:p>
        </w:tc>
        <w:tc>
          <w:tcPr>
            <w:tcW w:w="18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94C66E" w14:textId="2E269D40" w:rsidR="004E7A11" w:rsidRPr="004E7A11" w:rsidRDefault="004E7A11" w:rsidP="004E7A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Witness</w:t>
            </w:r>
          </w:p>
        </w:tc>
      </w:tr>
      <w:tr w:rsidR="004E7A11" w:rsidRPr="00B817E3" w14:paraId="6FF26ECF"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02B946C4"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c>
          <w:tcPr>
            <w:tcW w:w="276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18DC8388" w14:textId="3B002BDA"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Embezzlement </w:t>
            </w:r>
            <w:r w:rsidRPr="004E7A11">
              <w:rPr>
                <w:rFonts w:ascii="Times New Roman" w:eastAsia="Times New Roman" w:hAnsi="Times New Roman" w:cs="Times New Roman"/>
                <w:sz w:val="24"/>
                <w:szCs w:val="24"/>
              </w:rPr>
              <w:t xml:space="preserve"> </w:t>
            </w:r>
          </w:p>
        </w:tc>
        <w:tc>
          <w:tcPr>
            <w:tcW w:w="1770"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5EAEB6F7"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6FAE0DA5"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180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034E5A7F"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r>
      <w:tr w:rsidR="004E7A11" w:rsidRPr="00B817E3" w14:paraId="4CEF6CB3"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291EFA4"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2.</w:t>
            </w:r>
          </w:p>
        </w:tc>
        <w:tc>
          <w:tcPr>
            <w:tcW w:w="276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3A33B78" w14:textId="4CDADEE7"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Mistreatment </w:t>
            </w:r>
          </w:p>
        </w:tc>
        <w:tc>
          <w:tcPr>
            <w:tcW w:w="177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82D6314"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03ED31A"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c>
          <w:tcPr>
            <w:tcW w:w="180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535684E"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r>
      <w:tr w:rsidR="004E7A11" w:rsidRPr="00B817E3" w14:paraId="62095551"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1829EC3E"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3.</w:t>
            </w:r>
          </w:p>
        </w:tc>
        <w:tc>
          <w:tcPr>
            <w:tcW w:w="276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1B58B881" w14:textId="0F788408"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Crimes against morality </w:t>
            </w:r>
          </w:p>
        </w:tc>
        <w:tc>
          <w:tcPr>
            <w:tcW w:w="1770"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35AAE642"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7850510F"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2</w:t>
            </w:r>
          </w:p>
        </w:tc>
        <w:tc>
          <w:tcPr>
            <w:tcW w:w="180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3C42998C"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16</w:t>
            </w:r>
          </w:p>
        </w:tc>
      </w:tr>
      <w:tr w:rsidR="004E7A11" w:rsidRPr="00B817E3" w14:paraId="2C92A0B7"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B1AECE1"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4.</w:t>
            </w:r>
          </w:p>
        </w:tc>
        <w:tc>
          <w:tcPr>
            <w:tcW w:w="276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2FE2F27" w14:textId="52430F3C"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Domestic violence </w:t>
            </w:r>
          </w:p>
        </w:tc>
        <w:tc>
          <w:tcPr>
            <w:tcW w:w="177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C63ECF2"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085CA78"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c>
          <w:tcPr>
            <w:tcW w:w="180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7B52D2A"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r>
      <w:tr w:rsidR="004E7A11" w:rsidRPr="00B817E3" w14:paraId="1B05700C"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102C5B02"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 xml:space="preserve">5. </w:t>
            </w:r>
          </w:p>
        </w:tc>
        <w:tc>
          <w:tcPr>
            <w:tcW w:w="276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10AC1CFE" w14:textId="6D425E8E"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Family negligence</w:t>
            </w:r>
          </w:p>
        </w:tc>
        <w:tc>
          <w:tcPr>
            <w:tcW w:w="1770"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35E0F7C4"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128DFC96"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180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6C1FCCEC"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r>
      <w:tr w:rsidR="004E7A11" w:rsidRPr="00B817E3" w14:paraId="2DD21F34"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AA84F02"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6.</w:t>
            </w:r>
          </w:p>
        </w:tc>
        <w:tc>
          <w:tcPr>
            <w:tcW w:w="276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5EBC09D" w14:textId="7D357566"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Minor insult </w:t>
            </w:r>
          </w:p>
        </w:tc>
        <w:tc>
          <w:tcPr>
            <w:tcW w:w="177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0492C6A"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239AF22"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c>
          <w:tcPr>
            <w:tcW w:w="180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A006FE9"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r>
      <w:tr w:rsidR="004E7A11" w:rsidRPr="00B817E3" w14:paraId="61316343"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7103D465"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7.</w:t>
            </w:r>
          </w:p>
        </w:tc>
        <w:tc>
          <w:tcPr>
            <w:tcW w:w="276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3AF823F9" w14:textId="78A93898"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Fire arms </w:t>
            </w:r>
          </w:p>
        </w:tc>
        <w:tc>
          <w:tcPr>
            <w:tcW w:w="1770"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5C88D5E8"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088305F1"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180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2587AE2B"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2</w:t>
            </w:r>
          </w:p>
        </w:tc>
      </w:tr>
      <w:tr w:rsidR="004E7A11" w:rsidRPr="00B817E3" w14:paraId="59C5585C"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EB9F1A8"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8.</w:t>
            </w:r>
          </w:p>
        </w:tc>
        <w:tc>
          <w:tcPr>
            <w:tcW w:w="276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E789E95" w14:textId="570F0D89"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Desertion </w:t>
            </w:r>
          </w:p>
        </w:tc>
        <w:tc>
          <w:tcPr>
            <w:tcW w:w="177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468B130"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F627067"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180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E7F03E6"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r>
      <w:tr w:rsidR="004E7A11" w:rsidRPr="00B817E3" w14:paraId="687DA57D"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02DB980B"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9.</w:t>
            </w:r>
          </w:p>
        </w:tc>
        <w:tc>
          <w:tcPr>
            <w:tcW w:w="276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3D649093" w14:textId="3439220B"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Child protection</w:t>
            </w:r>
          </w:p>
        </w:tc>
        <w:tc>
          <w:tcPr>
            <w:tcW w:w="1770"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560B222F"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042B3A32"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c>
          <w:tcPr>
            <w:tcW w:w="180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096450D5"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4</w:t>
            </w:r>
          </w:p>
        </w:tc>
      </w:tr>
      <w:tr w:rsidR="004E7A11" w:rsidRPr="00B817E3" w14:paraId="40D03853"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7428966"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10.</w:t>
            </w:r>
          </w:p>
        </w:tc>
        <w:tc>
          <w:tcPr>
            <w:tcW w:w="276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E9DD17E" w14:textId="7A9E75D2" w:rsidR="004E7A11" w:rsidRPr="004E7A11" w:rsidRDefault="004E7A11" w:rsidP="004E7A1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Life-threatening crime</w:t>
            </w:r>
          </w:p>
        </w:tc>
        <w:tc>
          <w:tcPr>
            <w:tcW w:w="177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77A9488"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203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4A1035F"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w:t>
            </w:r>
          </w:p>
        </w:tc>
        <w:tc>
          <w:tcPr>
            <w:tcW w:w="180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00AFE73"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7A11">
              <w:rPr>
                <w:rFonts w:ascii="Times New Roman" w:eastAsia="Times New Roman" w:hAnsi="Times New Roman" w:cs="Times New Roman"/>
                <w:sz w:val="24"/>
                <w:szCs w:val="24"/>
              </w:rPr>
              <w:t>1</w:t>
            </w:r>
          </w:p>
        </w:tc>
      </w:tr>
      <w:tr w:rsidR="004E7A11" w:rsidRPr="00B817E3" w14:paraId="0EDDEF16" w14:textId="77777777" w:rsidTr="004E7A11">
        <w:tc>
          <w:tcPr>
            <w:cnfStyle w:val="001000000000" w:firstRow="0" w:lastRow="0" w:firstColumn="1" w:lastColumn="0" w:oddVBand="0" w:evenVBand="0" w:oddHBand="0" w:evenHBand="0" w:firstRowFirstColumn="0" w:firstRowLastColumn="0" w:lastRowFirstColumn="0" w:lastRowLastColumn="0"/>
            <w:tcW w:w="69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tcPr>
          <w:p w14:paraId="0F0DAAFD" w14:textId="77777777" w:rsidR="004E7A11" w:rsidRPr="004E7A11" w:rsidRDefault="004E7A11" w:rsidP="004E7A11">
            <w:pPr>
              <w:spacing w:after="0" w:line="240" w:lineRule="auto"/>
              <w:jc w:val="center"/>
              <w:rPr>
                <w:rFonts w:ascii="Times New Roman" w:eastAsia="Times New Roman" w:hAnsi="Times New Roman" w:cs="Times New Roman"/>
                <w:sz w:val="24"/>
                <w:szCs w:val="24"/>
              </w:rPr>
            </w:pPr>
          </w:p>
        </w:tc>
        <w:tc>
          <w:tcPr>
            <w:tcW w:w="276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1A655D11"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4E7A11">
              <w:rPr>
                <w:rFonts w:ascii="Times New Roman" w:eastAsia="Times New Roman" w:hAnsi="Times New Roman" w:cs="Times New Roman"/>
                <w:b/>
                <w:bCs/>
                <w:sz w:val="24"/>
                <w:szCs w:val="24"/>
              </w:rPr>
              <w:t>Total</w:t>
            </w:r>
          </w:p>
        </w:tc>
        <w:tc>
          <w:tcPr>
            <w:tcW w:w="1770"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tcPr>
          <w:p w14:paraId="3DB00EA5"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31"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262EB5FF"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4E7A11">
              <w:rPr>
                <w:rFonts w:ascii="Times New Roman" w:eastAsia="Times New Roman" w:hAnsi="Times New Roman" w:cs="Times New Roman"/>
                <w:b/>
                <w:bCs/>
                <w:sz w:val="24"/>
                <w:szCs w:val="24"/>
              </w:rPr>
              <w:t>6</w:t>
            </w:r>
          </w:p>
        </w:tc>
        <w:tc>
          <w:tcPr>
            <w:tcW w:w="1807" w:type="dxa"/>
            <w:tcBorders>
              <w:top w:val="nil"/>
              <w:left w:val="outset" w:sz="6" w:space="0" w:color="auto"/>
              <w:bottom w:val="outset" w:sz="6" w:space="0" w:color="auto"/>
              <w:right w:val="outset" w:sz="6" w:space="0" w:color="auto"/>
            </w:tcBorders>
            <w:shd w:val="clear" w:color="auto" w:fill="DAEEF3"/>
            <w:tcMar>
              <w:top w:w="15" w:type="dxa"/>
              <w:left w:w="15" w:type="dxa"/>
              <w:bottom w:w="15" w:type="dxa"/>
              <w:right w:w="15" w:type="dxa"/>
            </w:tcMar>
            <w:hideMark/>
          </w:tcPr>
          <w:p w14:paraId="6908BA3F" w14:textId="77777777" w:rsidR="004E7A11" w:rsidRPr="004E7A11" w:rsidRDefault="004E7A11" w:rsidP="004E7A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4E7A11">
              <w:rPr>
                <w:rFonts w:ascii="Times New Roman" w:eastAsia="Times New Roman" w:hAnsi="Times New Roman" w:cs="Times New Roman"/>
                <w:b/>
                <w:bCs/>
                <w:sz w:val="24"/>
                <w:szCs w:val="24"/>
              </w:rPr>
              <w:t>27</w:t>
            </w:r>
          </w:p>
        </w:tc>
      </w:tr>
    </w:tbl>
    <w:p w14:paraId="7329DD8E" w14:textId="75A18FA6" w:rsidR="004E7A11" w:rsidRPr="004E7A11" w:rsidRDefault="009655AE" w:rsidP="004E7A11">
      <w:pPr>
        <w:ind w:firstLine="284"/>
        <w:rPr>
          <w:rFonts w:ascii="Times New Roman" w:eastAsia="Times New Roman" w:hAnsi="Times New Roman" w:cs="Times New Roman"/>
          <w:sz w:val="20"/>
          <w:szCs w:val="20"/>
        </w:rPr>
      </w:pPr>
      <w:r w:rsidRPr="00B817E3">
        <w:rPr>
          <w:rFonts w:ascii="Times New Roman" w:eastAsia="Times New Roman" w:hAnsi="Times New Roman" w:cs="Times New Roman"/>
          <w:sz w:val="20"/>
          <w:szCs w:val="20"/>
        </w:rPr>
        <w:t>Source</w:t>
      </w:r>
      <w:r w:rsidR="004E7A11" w:rsidRPr="004E7A11">
        <w:rPr>
          <w:rFonts w:ascii="Times New Roman" w:eastAsia="Times New Roman" w:hAnsi="Times New Roman" w:cs="Times New Roman"/>
          <w:sz w:val="20"/>
          <w:szCs w:val="20"/>
        </w:rPr>
        <w:t xml:space="preserve">: </w:t>
      </w:r>
      <w:r w:rsidRPr="00B817E3">
        <w:rPr>
          <w:rFonts w:ascii="Times New Roman" w:eastAsia="Times New Roman" w:hAnsi="Times New Roman" w:cs="Times New Roman"/>
          <w:sz w:val="20"/>
          <w:szCs w:val="20"/>
        </w:rPr>
        <w:t>processed secondary data</w:t>
      </w:r>
    </w:p>
    <w:p w14:paraId="4F00EFC4" w14:textId="77777777" w:rsidR="004E7A11" w:rsidRPr="00B817E3" w:rsidRDefault="004E7A11" w:rsidP="004E7A11">
      <w:pPr>
        <w:spacing w:after="0" w:line="360" w:lineRule="auto"/>
        <w:jc w:val="both"/>
        <w:rPr>
          <w:rFonts w:ascii="Times New Roman" w:hAnsi="Times New Roman" w:cs="Times New Roman"/>
          <w:sz w:val="24"/>
          <w:szCs w:val="24"/>
        </w:rPr>
      </w:pPr>
    </w:p>
    <w:p w14:paraId="19281AD5" w14:textId="493DE8D6" w:rsidR="00DF5D40" w:rsidRPr="00B817E3" w:rsidRDefault="00DF5D4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The table above shows that in 2022 there are no women in the Court Martial of Palembang who violated the law; most of them are witnesses to crimes against morality. According to the informants, most of the women attending the military courts in 2022 are victims and witnesses of the crime committed by male military officers.</w:t>
      </w:r>
    </w:p>
    <w:p w14:paraId="329A26E2" w14:textId="66AABDF4" w:rsidR="00DF5D40" w:rsidRPr="00B817E3" w:rsidRDefault="00DF5D4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The principles used by judges in treating women having cases before the law, as either perpetrator, victim, </w:t>
      </w:r>
      <w:r w:rsidR="008D6F40" w:rsidRPr="00B817E3">
        <w:rPr>
          <w:rFonts w:ascii="Times New Roman" w:hAnsi="Times New Roman" w:cs="Times New Roman"/>
          <w:sz w:val="24"/>
          <w:szCs w:val="24"/>
        </w:rPr>
        <w:t>or</w:t>
      </w:r>
      <w:r w:rsidRPr="00B817E3">
        <w:rPr>
          <w:rFonts w:ascii="Times New Roman" w:hAnsi="Times New Roman" w:cs="Times New Roman"/>
          <w:sz w:val="24"/>
          <w:szCs w:val="24"/>
        </w:rPr>
        <w:t xml:space="preserve"> witness of a criminal case, are as follows.</w:t>
      </w:r>
    </w:p>
    <w:p w14:paraId="5ED28D35" w14:textId="53BBEC9C" w:rsidR="00DF5D40" w:rsidRPr="00B817E3" w:rsidRDefault="00DF5D40" w:rsidP="00C93990">
      <w:pPr>
        <w:pStyle w:val="ListParagraph"/>
        <w:numPr>
          <w:ilvl w:val="0"/>
          <w:numId w:val="33"/>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 xml:space="preserve">Recognition to human dignity and </w:t>
      </w:r>
      <w:r w:rsidR="009C56BF" w:rsidRPr="00B817E3">
        <w:rPr>
          <w:rFonts w:ascii="Times New Roman" w:hAnsi="Times New Roman" w:cs="Times New Roman"/>
          <w:lang w:val="en-US"/>
        </w:rPr>
        <w:t>honor</w:t>
      </w:r>
    </w:p>
    <w:p w14:paraId="4E8013AD" w14:textId="0300121D" w:rsidR="00DF5D40" w:rsidRPr="00B817E3" w:rsidRDefault="00DF5D40" w:rsidP="00C93990">
      <w:pPr>
        <w:pStyle w:val="ListParagraph"/>
        <w:numPr>
          <w:ilvl w:val="0"/>
          <w:numId w:val="33"/>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Non-discriminatory conduct</w:t>
      </w:r>
    </w:p>
    <w:p w14:paraId="227FC37E" w14:textId="34C3848E" w:rsidR="00DF5D40" w:rsidRPr="00B817E3" w:rsidRDefault="00DF5D40" w:rsidP="00C93990">
      <w:pPr>
        <w:pStyle w:val="ListParagraph"/>
        <w:numPr>
          <w:ilvl w:val="0"/>
          <w:numId w:val="33"/>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Gender equality</w:t>
      </w:r>
    </w:p>
    <w:p w14:paraId="1A7B84FA" w14:textId="4BC100E6" w:rsidR="00DF5D40" w:rsidRPr="00B817E3" w:rsidRDefault="00DF5D40" w:rsidP="00C93990">
      <w:pPr>
        <w:pStyle w:val="ListParagraph"/>
        <w:numPr>
          <w:ilvl w:val="0"/>
          <w:numId w:val="33"/>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Equality before the law</w:t>
      </w:r>
    </w:p>
    <w:p w14:paraId="0FA93A3F" w14:textId="464C42B5" w:rsidR="00DF5D40" w:rsidRPr="00B817E3" w:rsidRDefault="00DF5D40" w:rsidP="00C93990">
      <w:pPr>
        <w:pStyle w:val="ListParagraph"/>
        <w:numPr>
          <w:ilvl w:val="0"/>
          <w:numId w:val="33"/>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Justice</w:t>
      </w:r>
    </w:p>
    <w:p w14:paraId="6A2C4B0A" w14:textId="76A7FAB5" w:rsidR="00DF5D40" w:rsidRPr="00B817E3" w:rsidRDefault="00DF5D40" w:rsidP="00C93990">
      <w:pPr>
        <w:pStyle w:val="ListParagraph"/>
        <w:numPr>
          <w:ilvl w:val="0"/>
          <w:numId w:val="33"/>
        </w:numPr>
        <w:spacing w:before="0" w:beforeAutospacing="0" w:after="0" w:afterAutospacing="0" w:line="360" w:lineRule="auto"/>
        <w:jc w:val="both"/>
        <w:rPr>
          <w:rFonts w:ascii="Times New Roman" w:hAnsi="Times New Roman" w:cs="Times New Roman"/>
          <w:lang w:val="en-US"/>
        </w:rPr>
      </w:pPr>
      <w:r w:rsidRPr="00B817E3">
        <w:rPr>
          <w:rFonts w:ascii="Times New Roman" w:hAnsi="Times New Roman" w:cs="Times New Roman"/>
          <w:lang w:val="en-US"/>
        </w:rPr>
        <w:t>Legal expediency and certainty</w:t>
      </w:r>
    </w:p>
    <w:p w14:paraId="75644FEA" w14:textId="1DA88982" w:rsidR="00DF5D40" w:rsidRPr="00B817E3" w:rsidRDefault="00DF5D40" w:rsidP="00DE70AC">
      <w:pPr>
        <w:spacing w:after="0" w:line="360" w:lineRule="auto"/>
        <w:jc w:val="both"/>
        <w:rPr>
          <w:rFonts w:ascii="Times New Roman" w:hAnsi="Times New Roman" w:cs="Times New Roman"/>
          <w:sz w:val="24"/>
          <w:szCs w:val="24"/>
        </w:rPr>
      </w:pPr>
      <w:r w:rsidRPr="00B817E3">
        <w:rPr>
          <w:rFonts w:ascii="Times New Roman" w:hAnsi="Times New Roman" w:cs="Times New Roman"/>
          <w:sz w:val="24"/>
          <w:szCs w:val="24"/>
        </w:rPr>
        <w:t xml:space="preserve"> </w:t>
      </w:r>
      <w:r w:rsidR="00C93990" w:rsidRPr="00B817E3">
        <w:rPr>
          <w:rFonts w:ascii="Times New Roman" w:hAnsi="Times New Roman" w:cs="Times New Roman"/>
          <w:sz w:val="24"/>
          <w:szCs w:val="24"/>
        </w:rPr>
        <w:tab/>
      </w:r>
      <w:r w:rsidRPr="00B817E3">
        <w:rPr>
          <w:rFonts w:ascii="Times New Roman" w:hAnsi="Times New Roman" w:cs="Times New Roman"/>
          <w:sz w:val="24"/>
          <w:szCs w:val="24"/>
        </w:rPr>
        <w:t xml:space="preserve">According to Dwi Yudo, one of the judges at Court Martial I 04 of Palembang, trials for women having cases before the law have been carried out in accordance with the Regulation of the Supreme Court of the Republic of Indonesia number 3 of 2017. Women </w:t>
      </w:r>
      <w:r w:rsidR="008D6F40" w:rsidRPr="00B817E3">
        <w:rPr>
          <w:rFonts w:ascii="Times New Roman" w:hAnsi="Times New Roman" w:cs="Times New Roman"/>
          <w:sz w:val="24"/>
          <w:szCs w:val="24"/>
        </w:rPr>
        <w:t xml:space="preserve">who </w:t>
      </w:r>
      <w:r w:rsidRPr="00B817E3">
        <w:rPr>
          <w:rFonts w:ascii="Times New Roman" w:hAnsi="Times New Roman" w:cs="Times New Roman"/>
          <w:sz w:val="24"/>
          <w:szCs w:val="24"/>
        </w:rPr>
        <w:t>attend</w:t>
      </w:r>
      <w:r w:rsidR="008D6F40" w:rsidRPr="00B817E3">
        <w:rPr>
          <w:rFonts w:ascii="Times New Roman" w:hAnsi="Times New Roman" w:cs="Times New Roman"/>
          <w:sz w:val="24"/>
          <w:szCs w:val="24"/>
        </w:rPr>
        <w:t>ed</w:t>
      </w:r>
      <w:r w:rsidRPr="00B817E3">
        <w:rPr>
          <w:rFonts w:ascii="Times New Roman" w:hAnsi="Times New Roman" w:cs="Times New Roman"/>
          <w:sz w:val="24"/>
          <w:szCs w:val="24"/>
        </w:rPr>
        <w:t xml:space="preserve"> trials at </w:t>
      </w:r>
      <w:r w:rsidRPr="00B817E3">
        <w:rPr>
          <w:rFonts w:ascii="Times New Roman" w:hAnsi="Times New Roman" w:cs="Times New Roman"/>
          <w:sz w:val="24"/>
          <w:szCs w:val="24"/>
        </w:rPr>
        <w:lastRenderedPageBreak/>
        <w:t xml:space="preserve">the court martial </w:t>
      </w:r>
      <w:r w:rsidR="008D6F40" w:rsidRPr="00B817E3">
        <w:rPr>
          <w:rFonts w:ascii="Times New Roman" w:hAnsi="Times New Roman" w:cs="Times New Roman"/>
          <w:sz w:val="24"/>
          <w:szCs w:val="24"/>
        </w:rPr>
        <w:t>were</w:t>
      </w:r>
      <w:r w:rsidRPr="00B817E3">
        <w:rPr>
          <w:rFonts w:ascii="Times New Roman" w:hAnsi="Times New Roman" w:cs="Times New Roman"/>
          <w:sz w:val="24"/>
          <w:szCs w:val="24"/>
        </w:rPr>
        <w:t xml:space="preserve"> mostly witnesses and victims of criminal acts committed by male military officers.</w:t>
      </w:r>
      <w:r w:rsidR="00DE70AC" w:rsidRPr="00B817E3">
        <w:rPr>
          <w:vertAlign w:val="superscript"/>
        </w:rPr>
        <w:t xml:space="preserve"> </w:t>
      </w:r>
      <w:r w:rsidR="00DE70AC" w:rsidRPr="00B817E3">
        <w:rPr>
          <w:rFonts w:ascii="Times New Roman" w:hAnsi="Times New Roman" w:cs="Times New Roman"/>
          <w:sz w:val="24"/>
          <w:szCs w:val="24"/>
          <w:vertAlign w:val="superscript"/>
        </w:rPr>
        <w:footnoteReference w:id="16"/>
      </w:r>
      <w:r w:rsidR="00DE70AC" w:rsidRPr="00B817E3">
        <w:rPr>
          <w:rFonts w:ascii="Times New Roman" w:hAnsi="Times New Roman" w:cs="Times New Roman"/>
          <w:sz w:val="24"/>
          <w:szCs w:val="24"/>
        </w:rPr>
        <w:t xml:space="preserve"> </w:t>
      </w:r>
      <w:r w:rsidRPr="00B817E3">
        <w:rPr>
          <w:rFonts w:ascii="Times New Roman" w:hAnsi="Times New Roman" w:cs="Times New Roman"/>
          <w:sz w:val="24"/>
          <w:szCs w:val="24"/>
        </w:rPr>
        <w:t>During the 2021-2022 period, no women have been found conflicting with the law.</w:t>
      </w:r>
    </w:p>
    <w:p w14:paraId="4058B1B6" w14:textId="024B766D" w:rsidR="0095760D" w:rsidRPr="00B817E3" w:rsidRDefault="002F3915" w:rsidP="00C93990">
      <w:pPr>
        <w:pStyle w:val="ListParagraph"/>
        <w:numPr>
          <w:ilvl w:val="0"/>
          <w:numId w:val="31"/>
        </w:numPr>
        <w:spacing w:before="0" w:beforeAutospacing="0" w:after="0" w:afterAutospacing="0" w:line="360" w:lineRule="auto"/>
        <w:ind w:left="336"/>
        <w:jc w:val="both"/>
        <w:rPr>
          <w:rFonts w:ascii="Times New Roman" w:hAnsi="Times New Roman" w:cs="Times New Roman"/>
          <w:lang w:val="en-US"/>
        </w:rPr>
      </w:pPr>
      <w:r w:rsidRPr="00B817E3">
        <w:rPr>
          <w:rFonts w:ascii="Times New Roman" w:eastAsia="Tahoma" w:hAnsi="Times New Roman" w:cs="Times New Roman"/>
          <w:lang w:val="en-US"/>
        </w:rPr>
        <w:t>District</w:t>
      </w:r>
      <w:r w:rsidR="00955D28" w:rsidRPr="00B817E3">
        <w:rPr>
          <w:rFonts w:ascii="Times New Roman" w:eastAsia="Tahoma" w:hAnsi="Times New Roman" w:cs="Times New Roman"/>
          <w:lang w:val="en-US"/>
        </w:rPr>
        <w:t xml:space="preserve"> Court</w:t>
      </w:r>
      <w:r w:rsidR="0095760D" w:rsidRPr="00B817E3">
        <w:rPr>
          <w:rFonts w:ascii="Times New Roman" w:eastAsia="Tahoma" w:hAnsi="Times New Roman" w:cs="Times New Roman"/>
          <w:lang w:val="en-US"/>
        </w:rPr>
        <w:t xml:space="preserve"> </w:t>
      </w:r>
      <w:r w:rsidR="003B4EF5" w:rsidRPr="00B817E3">
        <w:rPr>
          <w:rFonts w:ascii="Times New Roman" w:eastAsia="Tahoma" w:hAnsi="Times New Roman" w:cs="Times New Roman"/>
          <w:lang w:val="en-US"/>
        </w:rPr>
        <w:t>Class</w:t>
      </w:r>
      <w:r w:rsidR="0095760D" w:rsidRPr="00B817E3">
        <w:rPr>
          <w:rFonts w:ascii="Times New Roman" w:eastAsia="Tahoma" w:hAnsi="Times New Roman" w:cs="Times New Roman"/>
          <w:lang w:val="en-US"/>
        </w:rPr>
        <w:t xml:space="preserve"> I</w:t>
      </w:r>
      <w:r w:rsidR="008A2A3E" w:rsidRPr="00B817E3">
        <w:rPr>
          <w:rFonts w:ascii="Times New Roman" w:eastAsia="Tahoma" w:hAnsi="Times New Roman" w:cs="Times New Roman"/>
          <w:lang w:val="en-US"/>
        </w:rPr>
        <w:t xml:space="preserve"> A of</w:t>
      </w:r>
      <w:r w:rsidR="0095760D" w:rsidRPr="00B817E3">
        <w:rPr>
          <w:rFonts w:ascii="Times New Roman" w:eastAsia="Tahoma" w:hAnsi="Times New Roman" w:cs="Times New Roman"/>
          <w:lang w:val="en-US"/>
        </w:rPr>
        <w:t xml:space="preserve"> Palembang</w:t>
      </w:r>
    </w:p>
    <w:p w14:paraId="1EF7EA2A" w14:textId="49C59E27" w:rsidR="00DF5D40" w:rsidRPr="00B817E3" w:rsidRDefault="00DF5D40" w:rsidP="00C93990">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According to the District Court Class I A</w:t>
      </w:r>
      <w:r w:rsidR="008D6F40" w:rsidRPr="00B817E3">
        <w:rPr>
          <w:rFonts w:ascii="Times New Roman" w:eastAsia="Tahoma" w:hAnsi="Times New Roman" w:cs="Times New Roman"/>
          <w:sz w:val="24"/>
          <w:szCs w:val="24"/>
        </w:rPr>
        <w:t xml:space="preserve"> of</w:t>
      </w:r>
      <w:r w:rsidRPr="00B817E3">
        <w:rPr>
          <w:rFonts w:ascii="Times New Roman" w:eastAsia="Tahoma" w:hAnsi="Times New Roman" w:cs="Times New Roman"/>
          <w:sz w:val="24"/>
          <w:szCs w:val="24"/>
        </w:rPr>
        <w:t xml:space="preserve"> Palembang, from January to October 2022, fifty-three women were recorded for conflicting with the law in 53 criminal cases as listed in the following table.</w:t>
      </w:r>
    </w:p>
    <w:p w14:paraId="39542AB1" w14:textId="3744A875" w:rsidR="009655AE" w:rsidRPr="009655AE" w:rsidRDefault="00B817E3" w:rsidP="009655AE">
      <w:pPr>
        <w:spacing w:after="0" w:line="240" w:lineRule="auto"/>
        <w:jc w:val="center"/>
        <w:rPr>
          <w:rFonts w:ascii="Times New Roman" w:eastAsia="Tahoma" w:hAnsi="Times New Roman" w:cs="Times New Roman"/>
          <w:b/>
          <w:bCs/>
          <w:sz w:val="24"/>
          <w:szCs w:val="24"/>
        </w:rPr>
      </w:pPr>
      <w:r w:rsidRPr="009655AE">
        <w:rPr>
          <w:rFonts w:ascii="Times New Roman" w:eastAsia="Tahoma" w:hAnsi="Times New Roman" w:cs="Times New Roman"/>
          <w:b/>
          <w:bCs/>
          <w:sz w:val="24"/>
          <w:szCs w:val="24"/>
        </w:rPr>
        <w:t>Table</w:t>
      </w:r>
      <w:r w:rsidR="009655AE" w:rsidRPr="009655AE">
        <w:rPr>
          <w:rFonts w:ascii="Times New Roman" w:eastAsia="Tahoma" w:hAnsi="Times New Roman" w:cs="Times New Roman"/>
          <w:b/>
          <w:bCs/>
          <w:sz w:val="24"/>
          <w:szCs w:val="24"/>
        </w:rPr>
        <w:t xml:space="preserve"> 4</w:t>
      </w:r>
    </w:p>
    <w:p w14:paraId="6CF68E95" w14:textId="1D72B893" w:rsidR="009655AE" w:rsidRPr="009655AE" w:rsidRDefault="009655AE" w:rsidP="009655AE">
      <w:pPr>
        <w:spacing w:after="0" w:line="240" w:lineRule="auto"/>
        <w:jc w:val="center"/>
        <w:rPr>
          <w:rFonts w:ascii="Times New Roman" w:eastAsia="Tahoma" w:hAnsi="Times New Roman" w:cs="Times New Roman"/>
          <w:b/>
          <w:bCs/>
          <w:sz w:val="24"/>
          <w:szCs w:val="24"/>
        </w:rPr>
      </w:pPr>
      <w:r w:rsidRPr="00B817E3">
        <w:rPr>
          <w:rFonts w:ascii="Times New Roman" w:eastAsia="Tahoma" w:hAnsi="Times New Roman" w:cs="Times New Roman"/>
          <w:b/>
          <w:bCs/>
          <w:sz w:val="24"/>
          <w:szCs w:val="24"/>
        </w:rPr>
        <w:t xml:space="preserve">Number of Women Having Cases Before the Law as Victims from </w:t>
      </w:r>
      <w:r w:rsidRPr="009655AE">
        <w:rPr>
          <w:rFonts w:ascii="Times New Roman" w:eastAsia="Tahoma" w:hAnsi="Times New Roman" w:cs="Times New Roman"/>
          <w:b/>
          <w:bCs/>
          <w:sz w:val="24"/>
          <w:szCs w:val="24"/>
        </w:rPr>
        <w:t>Januar</w:t>
      </w:r>
      <w:r w:rsidRPr="00B817E3">
        <w:rPr>
          <w:rFonts w:ascii="Times New Roman" w:eastAsia="Tahoma" w:hAnsi="Times New Roman" w:cs="Times New Roman"/>
          <w:b/>
          <w:bCs/>
          <w:sz w:val="24"/>
          <w:szCs w:val="24"/>
        </w:rPr>
        <w:t>y to</w:t>
      </w:r>
      <w:r w:rsidRPr="009655AE">
        <w:rPr>
          <w:rFonts w:ascii="Times New Roman" w:eastAsia="Tahoma" w:hAnsi="Times New Roman" w:cs="Times New Roman"/>
          <w:b/>
          <w:bCs/>
          <w:sz w:val="24"/>
          <w:szCs w:val="24"/>
        </w:rPr>
        <w:t xml:space="preserve"> O</w:t>
      </w:r>
      <w:r w:rsidRPr="00B817E3">
        <w:rPr>
          <w:rFonts w:ascii="Times New Roman" w:eastAsia="Tahoma" w:hAnsi="Times New Roman" w:cs="Times New Roman"/>
          <w:b/>
          <w:bCs/>
          <w:sz w:val="24"/>
          <w:szCs w:val="24"/>
        </w:rPr>
        <w:t>c</w:t>
      </w:r>
      <w:r w:rsidRPr="009655AE">
        <w:rPr>
          <w:rFonts w:ascii="Times New Roman" w:eastAsia="Tahoma" w:hAnsi="Times New Roman" w:cs="Times New Roman"/>
          <w:b/>
          <w:bCs/>
          <w:sz w:val="24"/>
          <w:szCs w:val="24"/>
        </w:rPr>
        <w:t>tober 2022</w:t>
      </w:r>
    </w:p>
    <w:p w14:paraId="49C8D281" w14:textId="77777777" w:rsidR="009655AE" w:rsidRPr="009655AE" w:rsidRDefault="009655AE" w:rsidP="009655AE">
      <w:pPr>
        <w:spacing w:after="0" w:line="240" w:lineRule="auto"/>
        <w:jc w:val="center"/>
        <w:rPr>
          <w:rFonts w:ascii="Times New Roman" w:eastAsia="Tahoma" w:hAnsi="Times New Roman" w:cs="Times New Roman"/>
          <w:b/>
          <w:bCs/>
          <w:sz w:val="24"/>
          <w:szCs w:val="24"/>
        </w:rPr>
      </w:pPr>
    </w:p>
    <w:tbl>
      <w:tblPr>
        <w:tblStyle w:val="GridTable4-Accent611"/>
        <w:tblW w:w="9410" w:type="dxa"/>
        <w:tblInd w:w="0" w:type="dxa"/>
        <w:tblLook w:val="04A0" w:firstRow="1" w:lastRow="0" w:firstColumn="1" w:lastColumn="0" w:noHBand="0" w:noVBand="1"/>
      </w:tblPr>
      <w:tblGrid>
        <w:gridCol w:w="721"/>
        <w:gridCol w:w="4516"/>
        <w:gridCol w:w="1405"/>
        <w:gridCol w:w="1351"/>
        <w:gridCol w:w="1417"/>
      </w:tblGrid>
      <w:tr w:rsidR="009655AE" w:rsidRPr="00B817E3" w14:paraId="7D9F8C55" w14:textId="77777777" w:rsidTr="004E2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84079C1" w14:textId="5F7939E0"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ahoma" w:hAnsi="Times New Roman" w:cs="Times New Roman"/>
                <w:sz w:val="24"/>
                <w:szCs w:val="24"/>
              </w:rPr>
              <w:t xml:space="preserve"> </w:t>
            </w:r>
            <w:r w:rsidRPr="009655AE">
              <w:rPr>
                <w:rFonts w:ascii="Times New Roman" w:eastAsia="Times New Roman" w:hAnsi="Times New Roman" w:cs="Times New Roman"/>
                <w:sz w:val="24"/>
                <w:szCs w:val="24"/>
              </w:rPr>
              <w:t>No</w:t>
            </w:r>
            <w:r w:rsidRPr="00B817E3">
              <w:rPr>
                <w:rFonts w:ascii="Times New Roman" w:eastAsia="Times New Roman" w:hAnsi="Times New Roman" w:cs="Times New Roman"/>
                <w:sz w:val="24"/>
                <w:szCs w:val="24"/>
              </w:rPr>
              <w:t>.</w:t>
            </w:r>
          </w:p>
        </w:tc>
        <w:tc>
          <w:tcPr>
            <w:tcW w:w="4516"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1C8BA141" w14:textId="6C1A42B5" w:rsidR="009655AE" w:rsidRPr="009655AE" w:rsidRDefault="009655AE" w:rsidP="009655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Cases</w:t>
            </w:r>
          </w:p>
        </w:tc>
        <w:tc>
          <w:tcPr>
            <w:tcW w:w="140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3B600AC" w14:textId="3DEBA789" w:rsidR="009655AE" w:rsidRPr="009655AE" w:rsidRDefault="009655AE" w:rsidP="009655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Perpetrator</w:t>
            </w:r>
          </w:p>
        </w:tc>
        <w:tc>
          <w:tcPr>
            <w:tcW w:w="1351"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684499F4" w14:textId="4D63E736" w:rsidR="009655AE" w:rsidRPr="009655AE" w:rsidRDefault="009655AE" w:rsidP="009655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Victim</w:t>
            </w:r>
          </w:p>
        </w:tc>
        <w:tc>
          <w:tcPr>
            <w:tcW w:w="14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D30CD2" w14:textId="654CE9B1" w:rsidR="009655AE" w:rsidRPr="009655AE" w:rsidRDefault="009655AE" w:rsidP="009655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Witness</w:t>
            </w:r>
          </w:p>
        </w:tc>
      </w:tr>
      <w:tr w:rsidR="009655AE" w:rsidRPr="00B817E3" w14:paraId="25697B62"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6CD793FC"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1.</w:t>
            </w:r>
          </w:p>
        </w:tc>
        <w:tc>
          <w:tcPr>
            <w:tcW w:w="4516"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2555152C" w14:textId="6EB84B9D"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Embezzlement </w:t>
            </w:r>
            <w:r w:rsidRPr="009655AE">
              <w:rPr>
                <w:rFonts w:ascii="Times New Roman" w:eastAsia="Times New Roman" w:hAnsi="Times New Roman" w:cs="Times New Roman"/>
                <w:sz w:val="24"/>
                <w:szCs w:val="24"/>
              </w:rPr>
              <w:t xml:space="preserve"> </w:t>
            </w:r>
          </w:p>
        </w:tc>
        <w:tc>
          <w:tcPr>
            <w:tcW w:w="1405"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4C19FEBE"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9</w:t>
            </w:r>
          </w:p>
        </w:tc>
        <w:tc>
          <w:tcPr>
            <w:tcW w:w="135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1C4E9CFC"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0EE940D9"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303DBE4B"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AAF1B11"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2.</w:t>
            </w:r>
          </w:p>
        </w:tc>
        <w:tc>
          <w:tcPr>
            <w:tcW w:w="4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AAE4B6C" w14:textId="0C238EA9"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Mistreatment (</w:t>
            </w:r>
            <w:r w:rsidRPr="009655AE">
              <w:rPr>
                <w:rFonts w:ascii="Times New Roman" w:eastAsia="Times New Roman" w:hAnsi="Times New Roman" w:cs="Times New Roman"/>
                <w:sz w:val="24"/>
                <w:szCs w:val="24"/>
              </w:rPr>
              <w:t xml:space="preserve">351 </w:t>
            </w:r>
            <w:r w:rsidRPr="00B817E3">
              <w:rPr>
                <w:rFonts w:ascii="Times New Roman" w:eastAsia="Times New Roman" w:hAnsi="Times New Roman" w:cs="Times New Roman"/>
                <w:sz w:val="24"/>
                <w:szCs w:val="24"/>
              </w:rPr>
              <w:t xml:space="preserve">of the Criminal Code </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B902575"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4</w:t>
            </w:r>
          </w:p>
        </w:tc>
        <w:tc>
          <w:tcPr>
            <w:tcW w:w="135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3F9CE53"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16D114E"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39C2CA51"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4BBA1EBC"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3.</w:t>
            </w:r>
          </w:p>
        </w:tc>
        <w:tc>
          <w:tcPr>
            <w:tcW w:w="4516"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3E39E3D2" w14:textId="31441479"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 xml:space="preserve">Drug abuse </w:t>
            </w:r>
            <w:r w:rsidRPr="009655AE">
              <w:rPr>
                <w:rFonts w:ascii="Times New Roman" w:eastAsia="Times New Roman" w:hAnsi="Times New Roman" w:cs="Times New Roman"/>
                <w:sz w:val="24"/>
                <w:szCs w:val="24"/>
              </w:rPr>
              <w:t xml:space="preserve">(114 </w:t>
            </w:r>
            <w:r w:rsidRPr="00B817E3">
              <w:rPr>
                <w:rFonts w:ascii="Times New Roman" w:eastAsia="Times New Roman" w:hAnsi="Times New Roman" w:cs="Times New Roman"/>
                <w:sz w:val="24"/>
                <w:szCs w:val="24"/>
              </w:rPr>
              <w:t xml:space="preserve">of Law </w:t>
            </w:r>
            <w:r w:rsidRPr="009655AE">
              <w:rPr>
                <w:rFonts w:ascii="Times New Roman" w:eastAsia="Times New Roman" w:hAnsi="Times New Roman" w:cs="Times New Roman"/>
                <w:sz w:val="24"/>
                <w:szCs w:val="24"/>
              </w:rPr>
              <w:t>35/09)</w:t>
            </w:r>
          </w:p>
        </w:tc>
        <w:tc>
          <w:tcPr>
            <w:tcW w:w="1405"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4DE5BABE"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24</w:t>
            </w:r>
          </w:p>
        </w:tc>
        <w:tc>
          <w:tcPr>
            <w:tcW w:w="135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0139E17F"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248C69C7"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1D0495F2"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0D84E4C"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4.</w:t>
            </w:r>
          </w:p>
        </w:tc>
        <w:tc>
          <w:tcPr>
            <w:tcW w:w="4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54072B5" w14:textId="67AF27DC"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Fraud</w:t>
            </w:r>
            <w:r w:rsidRPr="009655AE">
              <w:rPr>
                <w:rFonts w:ascii="Times New Roman" w:eastAsia="Times New Roman" w:hAnsi="Times New Roman" w:cs="Times New Roman"/>
                <w:sz w:val="24"/>
                <w:szCs w:val="24"/>
              </w:rPr>
              <w:t xml:space="preserve"> </w:t>
            </w:r>
            <w:r w:rsidRPr="00B817E3">
              <w:rPr>
                <w:rFonts w:ascii="Times New Roman" w:eastAsia="Times New Roman" w:hAnsi="Times New Roman" w:cs="Times New Roman"/>
                <w:sz w:val="24"/>
                <w:szCs w:val="24"/>
              </w:rPr>
              <w:t>(</w:t>
            </w:r>
            <w:r w:rsidRPr="009655AE">
              <w:rPr>
                <w:rFonts w:ascii="Times New Roman" w:eastAsia="Times New Roman" w:hAnsi="Times New Roman" w:cs="Times New Roman"/>
                <w:sz w:val="24"/>
                <w:szCs w:val="24"/>
              </w:rPr>
              <w:t>378</w:t>
            </w:r>
            <w:r w:rsidRPr="00B817E3">
              <w:rPr>
                <w:rFonts w:ascii="Times New Roman" w:eastAsia="Times New Roman" w:hAnsi="Times New Roman" w:cs="Times New Roman"/>
                <w:sz w:val="24"/>
                <w:szCs w:val="24"/>
              </w:rPr>
              <w:t xml:space="preserve"> of the Criminal Code)</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47D4CF8"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8</w:t>
            </w:r>
          </w:p>
        </w:tc>
        <w:tc>
          <w:tcPr>
            <w:tcW w:w="135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5FE8272"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FDF1A66"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4C5B24C5"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53F9250D"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 xml:space="preserve">5. </w:t>
            </w:r>
          </w:p>
        </w:tc>
        <w:tc>
          <w:tcPr>
            <w:tcW w:w="4516"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180F5026" w14:textId="65C14FD0"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Electronic information and transaction</w:t>
            </w:r>
          </w:p>
        </w:tc>
        <w:tc>
          <w:tcPr>
            <w:tcW w:w="1405"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1E826EEA"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1</w:t>
            </w:r>
          </w:p>
        </w:tc>
        <w:tc>
          <w:tcPr>
            <w:tcW w:w="135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0CE5C7D3"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662FA1B2"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2991746D"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F9E841D"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6.</w:t>
            </w:r>
          </w:p>
        </w:tc>
        <w:tc>
          <w:tcPr>
            <w:tcW w:w="4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F3F319D" w14:textId="509EFC0C"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Burglary (</w:t>
            </w:r>
            <w:r w:rsidRPr="009655AE">
              <w:rPr>
                <w:rFonts w:ascii="Times New Roman" w:eastAsia="Times New Roman" w:hAnsi="Times New Roman" w:cs="Times New Roman"/>
                <w:sz w:val="24"/>
                <w:szCs w:val="24"/>
              </w:rPr>
              <w:t xml:space="preserve">362 </w:t>
            </w:r>
            <w:r w:rsidRPr="00B817E3">
              <w:rPr>
                <w:rFonts w:ascii="Times New Roman" w:eastAsia="Times New Roman" w:hAnsi="Times New Roman" w:cs="Times New Roman"/>
                <w:sz w:val="24"/>
                <w:szCs w:val="24"/>
              </w:rPr>
              <w:t>of the Criminal Code)</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65F2F27"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5</w:t>
            </w:r>
          </w:p>
        </w:tc>
        <w:tc>
          <w:tcPr>
            <w:tcW w:w="135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CA099D9"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83AF9E5"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400D4F22"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4C2C2FD8"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7.</w:t>
            </w:r>
          </w:p>
        </w:tc>
        <w:tc>
          <w:tcPr>
            <w:tcW w:w="4516"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56345ECA" w14:textId="5F05F5A0"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Gambling (</w:t>
            </w:r>
            <w:r w:rsidRPr="009655AE">
              <w:rPr>
                <w:rFonts w:ascii="Times New Roman" w:eastAsia="Times New Roman" w:hAnsi="Times New Roman" w:cs="Times New Roman"/>
                <w:sz w:val="24"/>
                <w:szCs w:val="24"/>
              </w:rPr>
              <w:t xml:space="preserve">303 </w:t>
            </w:r>
            <w:r w:rsidRPr="00B817E3">
              <w:rPr>
                <w:rFonts w:ascii="Times New Roman" w:eastAsia="Times New Roman" w:hAnsi="Times New Roman" w:cs="Times New Roman"/>
                <w:sz w:val="24"/>
                <w:szCs w:val="24"/>
              </w:rPr>
              <w:t>of the Criminal Code)</w:t>
            </w:r>
          </w:p>
        </w:tc>
        <w:tc>
          <w:tcPr>
            <w:tcW w:w="1405"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322545BF"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1</w:t>
            </w:r>
          </w:p>
        </w:tc>
        <w:tc>
          <w:tcPr>
            <w:tcW w:w="135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5AF18C79"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7FA6E0DC"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2406D3BF"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9A1A4E4"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8.</w:t>
            </w:r>
          </w:p>
        </w:tc>
        <w:tc>
          <w:tcPr>
            <w:tcW w:w="4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93F9AFE" w14:textId="62CADA1F" w:rsidR="009655AE" w:rsidRPr="009655AE" w:rsidRDefault="009655AE" w:rsidP="009655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7E3">
              <w:rPr>
                <w:rFonts w:ascii="Times New Roman" w:eastAsia="Times New Roman" w:hAnsi="Times New Roman" w:cs="Times New Roman"/>
                <w:sz w:val="24"/>
                <w:szCs w:val="24"/>
              </w:rPr>
              <w:t>Document forgery (</w:t>
            </w:r>
            <w:r w:rsidRPr="009655AE">
              <w:rPr>
                <w:rFonts w:ascii="Times New Roman" w:eastAsia="Times New Roman" w:hAnsi="Times New Roman" w:cs="Times New Roman"/>
                <w:sz w:val="24"/>
                <w:szCs w:val="24"/>
              </w:rPr>
              <w:t xml:space="preserve">263 </w:t>
            </w:r>
            <w:r w:rsidRPr="00B817E3">
              <w:rPr>
                <w:rFonts w:ascii="Times New Roman" w:eastAsia="Times New Roman" w:hAnsi="Times New Roman" w:cs="Times New Roman"/>
                <w:sz w:val="24"/>
                <w:szCs w:val="24"/>
              </w:rPr>
              <w:t>of the Criminal Code</w:t>
            </w:r>
            <w:r w:rsidR="004E2981" w:rsidRPr="00B817E3">
              <w:rPr>
                <w:rFonts w:ascii="Times New Roman" w:eastAsia="Times New Roman" w:hAnsi="Times New Roman" w:cs="Times New Roman"/>
                <w:sz w:val="24"/>
                <w:szCs w:val="24"/>
              </w:rPr>
              <w:t>)</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829C5CA"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1</w:t>
            </w:r>
          </w:p>
        </w:tc>
        <w:tc>
          <w:tcPr>
            <w:tcW w:w="135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5957CBF"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c>
          <w:tcPr>
            <w:tcW w:w="141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2DF853B"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w:t>
            </w:r>
          </w:p>
        </w:tc>
      </w:tr>
      <w:tr w:rsidR="009655AE" w:rsidRPr="00B817E3" w14:paraId="4763012A" w14:textId="77777777" w:rsidTr="004E2981">
        <w:tc>
          <w:tcPr>
            <w:cnfStyle w:val="001000000000" w:firstRow="0" w:lastRow="0" w:firstColumn="1" w:lastColumn="0" w:oddVBand="0" w:evenVBand="0" w:oddHBand="0" w:evenHBand="0" w:firstRowFirstColumn="0" w:firstRowLastColumn="0" w:lastRowFirstColumn="0" w:lastRowLastColumn="0"/>
            <w:tcW w:w="72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tcPr>
          <w:p w14:paraId="34F5F96A" w14:textId="77777777" w:rsidR="009655AE" w:rsidRPr="009655AE" w:rsidRDefault="009655AE" w:rsidP="009655AE">
            <w:pPr>
              <w:spacing w:after="0" w:line="240" w:lineRule="auto"/>
              <w:jc w:val="center"/>
              <w:rPr>
                <w:rFonts w:ascii="Times New Roman" w:eastAsia="Times New Roman" w:hAnsi="Times New Roman" w:cs="Times New Roman"/>
                <w:sz w:val="24"/>
                <w:szCs w:val="24"/>
              </w:rPr>
            </w:pPr>
          </w:p>
        </w:tc>
        <w:tc>
          <w:tcPr>
            <w:tcW w:w="4516"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5B6E25BB"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655AE">
              <w:rPr>
                <w:rFonts w:ascii="Times New Roman" w:eastAsia="Times New Roman" w:hAnsi="Times New Roman" w:cs="Times New Roman"/>
                <w:b/>
                <w:bCs/>
                <w:sz w:val="24"/>
                <w:szCs w:val="24"/>
              </w:rPr>
              <w:t>Total</w:t>
            </w:r>
          </w:p>
        </w:tc>
        <w:tc>
          <w:tcPr>
            <w:tcW w:w="1405"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2BAA690D"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55AE">
              <w:rPr>
                <w:rFonts w:ascii="Times New Roman" w:eastAsia="Times New Roman" w:hAnsi="Times New Roman" w:cs="Times New Roman"/>
                <w:sz w:val="24"/>
                <w:szCs w:val="24"/>
              </w:rPr>
              <w:t>53</w:t>
            </w:r>
          </w:p>
        </w:tc>
        <w:tc>
          <w:tcPr>
            <w:tcW w:w="1351"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438CE3B3"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655AE">
              <w:rPr>
                <w:rFonts w:ascii="Times New Roman" w:eastAsia="Times New Roman" w:hAnsi="Times New Roman" w:cs="Times New Roman"/>
                <w:b/>
                <w:bCs/>
                <w:sz w:val="24"/>
                <w:szCs w:val="24"/>
              </w:rPr>
              <w:t>-</w:t>
            </w:r>
          </w:p>
        </w:tc>
        <w:tc>
          <w:tcPr>
            <w:tcW w:w="1417" w:type="dxa"/>
            <w:tcBorders>
              <w:top w:val="nil"/>
              <w:left w:val="outset" w:sz="6" w:space="0" w:color="auto"/>
              <w:bottom w:val="outset" w:sz="6" w:space="0" w:color="auto"/>
              <w:right w:val="outset" w:sz="6" w:space="0" w:color="auto"/>
            </w:tcBorders>
            <w:shd w:val="clear" w:color="auto" w:fill="FDE9D9"/>
            <w:tcMar>
              <w:top w:w="15" w:type="dxa"/>
              <w:left w:w="15" w:type="dxa"/>
              <w:bottom w:w="15" w:type="dxa"/>
              <w:right w:w="15" w:type="dxa"/>
            </w:tcMar>
            <w:hideMark/>
          </w:tcPr>
          <w:p w14:paraId="0F082AEA" w14:textId="77777777" w:rsidR="009655AE" w:rsidRPr="009655AE" w:rsidRDefault="009655AE" w:rsidP="009655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655AE">
              <w:rPr>
                <w:rFonts w:ascii="Times New Roman" w:eastAsia="Times New Roman" w:hAnsi="Times New Roman" w:cs="Times New Roman"/>
                <w:b/>
                <w:bCs/>
                <w:sz w:val="24"/>
                <w:szCs w:val="24"/>
              </w:rPr>
              <w:t>-</w:t>
            </w:r>
          </w:p>
        </w:tc>
      </w:tr>
    </w:tbl>
    <w:p w14:paraId="3C307DE7" w14:textId="795F7E32" w:rsidR="009655AE" w:rsidRPr="009655AE" w:rsidRDefault="009655AE" w:rsidP="009655AE">
      <w:pPr>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Source</w:t>
      </w:r>
      <w:r w:rsidRPr="009655AE">
        <w:rPr>
          <w:rFonts w:ascii="Times New Roman" w:eastAsia="Tahoma" w:hAnsi="Times New Roman" w:cs="Times New Roman"/>
          <w:sz w:val="24"/>
          <w:szCs w:val="24"/>
        </w:rPr>
        <w:t xml:space="preserve">: </w:t>
      </w:r>
      <w:r w:rsidRPr="00B817E3">
        <w:rPr>
          <w:rFonts w:ascii="Times New Roman" w:eastAsia="Tahoma" w:hAnsi="Times New Roman" w:cs="Times New Roman"/>
          <w:sz w:val="24"/>
          <w:szCs w:val="24"/>
        </w:rPr>
        <w:t>processed secondary data</w:t>
      </w:r>
    </w:p>
    <w:p w14:paraId="67953651" w14:textId="77777777" w:rsidR="009655AE" w:rsidRPr="00B817E3" w:rsidRDefault="009655AE" w:rsidP="009655AE">
      <w:pPr>
        <w:spacing w:after="0" w:line="360" w:lineRule="auto"/>
        <w:jc w:val="both"/>
        <w:rPr>
          <w:rFonts w:ascii="Times New Roman" w:eastAsia="Tahoma" w:hAnsi="Times New Roman" w:cs="Times New Roman"/>
          <w:sz w:val="24"/>
          <w:szCs w:val="24"/>
        </w:rPr>
      </w:pPr>
    </w:p>
    <w:p w14:paraId="27DF115F" w14:textId="6DC7B42B" w:rsidR="00DF5D40" w:rsidRPr="00B817E3" w:rsidRDefault="00DF5D40" w:rsidP="00C93990">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Based on the table above, the most crime</w:t>
      </w:r>
      <w:r w:rsidR="008D6F40" w:rsidRPr="00B817E3">
        <w:rPr>
          <w:rFonts w:ascii="Times New Roman" w:eastAsia="Tahoma" w:hAnsi="Times New Roman" w:cs="Times New Roman"/>
          <w:sz w:val="24"/>
          <w:szCs w:val="24"/>
        </w:rPr>
        <w:t>s</w:t>
      </w:r>
      <w:r w:rsidRPr="00B817E3">
        <w:rPr>
          <w:rFonts w:ascii="Times New Roman" w:eastAsia="Tahoma" w:hAnsi="Times New Roman" w:cs="Times New Roman"/>
          <w:sz w:val="24"/>
          <w:szCs w:val="24"/>
        </w:rPr>
        <w:t xml:space="preserve"> committed by women was drug abuse. The data confirms the 2022 record of the Female Correctional Facility Class II A.</w:t>
      </w:r>
    </w:p>
    <w:p w14:paraId="097AA5A8" w14:textId="65435C44" w:rsidR="009655AE" w:rsidRPr="009655AE" w:rsidRDefault="00B817E3" w:rsidP="009655AE">
      <w:pPr>
        <w:spacing w:after="0"/>
        <w:jc w:val="center"/>
        <w:rPr>
          <w:rFonts w:ascii="Times New Roman" w:eastAsia="Tahoma" w:hAnsi="Times New Roman" w:cs="Times New Roman"/>
          <w:b/>
          <w:bCs/>
          <w:sz w:val="24"/>
          <w:szCs w:val="24"/>
        </w:rPr>
      </w:pPr>
      <w:r w:rsidRPr="009655AE">
        <w:rPr>
          <w:rFonts w:ascii="Times New Roman" w:eastAsia="Tahoma" w:hAnsi="Times New Roman" w:cs="Times New Roman"/>
          <w:b/>
          <w:bCs/>
          <w:sz w:val="24"/>
          <w:szCs w:val="24"/>
        </w:rPr>
        <w:t>Table</w:t>
      </w:r>
      <w:r w:rsidR="009655AE" w:rsidRPr="009655AE">
        <w:rPr>
          <w:rFonts w:ascii="Times New Roman" w:eastAsia="Tahoma" w:hAnsi="Times New Roman" w:cs="Times New Roman"/>
          <w:b/>
          <w:bCs/>
          <w:sz w:val="24"/>
          <w:szCs w:val="24"/>
        </w:rPr>
        <w:t xml:space="preserve"> 5</w:t>
      </w:r>
    </w:p>
    <w:p w14:paraId="2DBE0B3B" w14:textId="14FDBF68" w:rsidR="009655AE" w:rsidRPr="009655AE" w:rsidRDefault="00B817E3" w:rsidP="009655AE">
      <w:pPr>
        <w:spacing w:after="0"/>
        <w:jc w:val="center"/>
        <w:rPr>
          <w:rFonts w:ascii="Times New Roman" w:eastAsia="Tahoma" w:hAnsi="Times New Roman" w:cs="Times New Roman"/>
          <w:b/>
          <w:bCs/>
          <w:sz w:val="24"/>
          <w:szCs w:val="24"/>
        </w:rPr>
      </w:pPr>
      <w:r>
        <w:rPr>
          <w:rFonts w:ascii="Times New Roman" w:eastAsia="Tahoma" w:hAnsi="Times New Roman" w:cs="Times New Roman"/>
          <w:b/>
          <w:bCs/>
          <w:sz w:val="24"/>
          <w:szCs w:val="24"/>
        </w:rPr>
        <w:t>The Number of Women Having Cases Before the Law in the District Court of Palembang from January to October 2022</w:t>
      </w:r>
    </w:p>
    <w:tbl>
      <w:tblPr>
        <w:tblStyle w:val="TableGrid"/>
        <w:tblW w:w="0" w:type="auto"/>
        <w:tblLook w:val="04A0" w:firstRow="1" w:lastRow="0" w:firstColumn="1" w:lastColumn="0" w:noHBand="0" w:noVBand="1"/>
      </w:tblPr>
      <w:tblGrid>
        <w:gridCol w:w="737"/>
        <w:gridCol w:w="2516"/>
        <w:gridCol w:w="2211"/>
        <w:gridCol w:w="3175"/>
      </w:tblGrid>
      <w:tr w:rsidR="004E2981" w:rsidRPr="00B817E3" w14:paraId="64245D06" w14:textId="77777777" w:rsidTr="004E2981">
        <w:tc>
          <w:tcPr>
            <w:tcW w:w="737" w:type="dxa"/>
            <w:tcBorders>
              <w:top w:val="outset" w:sz="6" w:space="0" w:color="auto"/>
              <w:left w:val="outset" w:sz="6" w:space="0" w:color="auto"/>
              <w:bottom w:val="outset" w:sz="6" w:space="0" w:color="auto"/>
              <w:right w:val="outset" w:sz="6" w:space="0" w:color="auto"/>
            </w:tcBorders>
            <w:shd w:val="clear" w:color="auto" w:fill="8DB3E2"/>
            <w:tcMar>
              <w:top w:w="15" w:type="dxa"/>
              <w:left w:w="15" w:type="dxa"/>
              <w:bottom w:w="15" w:type="dxa"/>
              <w:right w:w="15" w:type="dxa"/>
            </w:tcMar>
            <w:hideMark/>
          </w:tcPr>
          <w:p w14:paraId="6EC19898" w14:textId="5232A36F" w:rsidR="009655AE" w:rsidRPr="009655AE" w:rsidRDefault="009655AE" w:rsidP="009655AE">
            <w:pPr>
              <w:spacing w:after="0" w:line="240" w:lineRule="auto"/>
              <w:jc w:val="center"/>
              <w:rPr>
                <w:rFonts w:ascii="Times New Roman" w:eastAsia="Calibri" w:hAnsi="Times New Roman" w:cs="Times New Roman"/>
                <w:b/>
                <w:lang w:eastAsia="en-ID"/>
              </w:rPr>
            </w:pPr>
            <w:r w:rsidRPr="009655AE">
              <w:rPr>
                <w:rFonts w:ascii="Times New Roman" w:eastAsia="Calibri" w:hAnsi="Times New Roman" w:cs="Times New Roman"/>
                <w:b/>
                <w:lang w:eastAsia="en-ID"/>
              </w:rPr>
              <w:t>N</w:t>
            </w:r>
            <w:r w:rsidRPr="00B817E3">
              <w:rPr>
                <w:rFonts w:ascii="Times New Roman" w:eastAsia="Calibri" w:hAnsi="Times New Roman" w:cs="Times New Roman"/>
                <w:b/>
                <w:lang w:eastAsia="en-ID"/>
              </w:rPr>
              <w:t>o.</w:t>
            </w:r>
          </w:p>
        </w:tc>
        <w:tc>
          <w:tcPr>
            <w:tcW w:w="2516" w:type="dxa"/>
            <w:tcBorders>
              <w:top w:val="outset" w:sz="6" w:space="0" w:color="auto"/>
              <w:left w:val="outset" w:sz="6" w:space="0" w:color="auto"/>
              <w:bottom w:val="outset" w:sz="6" w:space="0" w:color="auto"/>
              <w:right w:val="outset" w:sz="6" w:space="0" w:color="auto"/>
            </w:tcBorders>
            <w:shd w:val="clear" w:color="auto" w:fill="8DB3E2"/>
            <w:tcMar>
              <w:top w:w="15" w:type="dxa"/>
              <w:left w:w="15" w:type="dxa"/>
              <w:bottom w:w="15" w:type="dxa"/>
              <w:right w:w="15" w:type="dxa"/>
            </w:tcMar>
            <w:hideMark/>
          </w:tcPr>
          <w:p w14:paraId="1407E7F9" w14:textId="735EA6B3" w:rsidR="009655AE" w:rsidRPr="009655AE" w:rsidRDefault="009655AE" w:rsidP="009655AE">
            <w:pPr>
              <w:spacing w:after="0" w:line="240" w:lineRule="auto"/>
              <w:jc w:val="center"/>
              <w:rPr>
                <w:rFonts w:ascii="Times New Roman" w:eastAsia="Calibri" w:hAnsi="Times New Roman" w:cs="Times New Roman"/>
                <w:b/>
                <w:lang w:eastAsia="en-ID"/>
              </w:rPr>
            </w:pPr>
            <w:r w:rsidRPr="00B817E3">
              <w:rPr>
                <w:rFonts w:ascii="Times New Roman" w:eastAsia="Calibri" w:hAnsi="Times New Roman" w:cs="Times New Roman"/>
                <w:b/>
                <w:lang w:eastAsia="en-ID"/>
              </w:rPr>
              <w:t>Verdict Entry Number</w:t>
            </w:r>
          </w:p>
        </w:tc>
        <w:tc>
          <w:tcPr>
            <w:tcW w:w="2211" w:type="dxa"/>
            <w:tcBorders>
              <w:top w:val="outset" w:sz="6" w:space="0" w:color="auto"/>
              <w:left w:val="outset" w:sz="6" w:space="0" w:color="auto"/>
              <w:bottom w:val="outset" w:sz="6" w:space="0" w:color="auto"/>
              <w:right w:val="outset" w:sz="6" w:space="0" w:color="auto"/>
            </w:tcBorders>
            <w:shd w:val="clear" w:color="auto" w:fill="8DB3E2"/>
            <w:tcMar>
              <w:top w:w="15" w:type="dxa"/>
              <w:left w:w="15" w:type="dxa"/>
              <w:bottom w:w="15" w:type="dxa"/>
              <w:right w:w="15" w:type="dxa"/>
            </w:tcMar>
            <w:hideMark/>
          </w:tcPr>
          <w:p w14:paraId="0E5AEC8A" w14:textId="5C9CE308" w:rsidR="009655AE" w:rsidRPr="009655AE" w:rsidRDefault="009655AE" w:rsidP="004E2981">
            <w:pPr>
              <w:spacing w:after="0" w:line="240" w:lineRule="auto"/>
              <w:jc w:val="center"/>
              <w:rPr>
                <w:rFonts w:ascii="Times New Roman" w:eastAsia="Calibri" w:hAnsi="Times New Roman" w:cs="Times New Roman"/>
                <w:b/>
                <w:lang w:eastAsia="en-ID"/>
              </w:rPr>
            </w:pPr>
            <w:r w:rsidRPr="00B817E3">
              <w:rPr>
                <w:rFonts w:ascii="Times New Roman" w:eastAsia="Calibri" w:hAnsi="Times New Roman" w:cs="Times New Roman"/>
                <w:b/>
                <w:lang w:eastAsia="en-ID"/>
              </w:rPr>
              <w:t>Perpetrator</w:t>
            </w:r>
            <w:r w:rsidRPr="009655AE">
              <w:rPr>
                <w:rFonts w:ascii="Times New Roman" w:eastAsia="Calibri" w:hAnsi="Times New Roman" w:cs="Times New Roman"/>
                <w:b/>
                <w:lang w:eastAsia="en-ID"/>
              </w:rPr>
              <w:t>/</w:t>
            </w:r>
            <w:r w:rsidRPr="00B817E3">
              <w:rPr>
                <w:rFonts w:ascii="Times New Roman" w:eastAsia="Calibri" w:hAnsi="Times New Roman" w:cs="Times New Roman"/>
                <w:b/>
                <w:lang w:eastAsia="en-ID"/>
              </w:rPr>
              <w:t>Accused</w:t>
            </w:r>
          </w:p>
        </w:tc>
        <w:tc>
          <w:tcPr>
            <w:tcW w:w="3175" w:type="dxa"/>
            <w:tcBorders>
              <w:top w:val="outset" w:sz="6" w:space="0" w:color="auto"/>
              <w:left w:val="outset" w:sz="6" w:space="0" w:color="auto"/>
              <w:bottom w:val="outset" w:sz="6" w:space="0" w:color="auto"/>
              <w:right w:val="outset" w:sz="6" w:space="0" w:color="auto"/>
            </w:tcBorders>
            <w:shd w:val="clear" w:color="auto" w:fill="8DB3E2"/>
            <w:tcMar>
              <w:top w:w="15" w:type="dxa"/>
              <w:left w:w="15" w:type="dxa"/>
              <w:bottom w:w="15" w:type="dxa"/>
              <w:right w:w="15" w:type="dxa"/>
            </w:tcMar>
            <w:hideMark/>
          </w:tcPr>
          <w:p w14:paraId="51311CA2" w14:textId="4066F3D8" w:rsidR="009655AE" w:rsidRPr="009655AE" w:rsidRDefault="009655AE" w:rsidP="009655AE">
            <w:pPr>
              <w:spacing w:after="0" w:line="240" w:lineRule="auto"/>
              <w:jc w:val="center"/>
              <w:rPr>
                <w:rFonts w:ascii="Times New Roman" w:eastAsia="Calibri" w:hAnsi="Times New Roman" w:cs="Times New Roman"/>
                <w:b/>
                <w:lang w:eastAsia="en-ID"/>
              </w:rPr>
            </w:pPr>
            <w:r w:rsidRPr="00B817E3">
              <w:rPr>
                <w:rFonts w:ascii="Times New Roman" w:eastAsia="Calibri" w:hAnsi="Times New Roman" w:cs="Times New Roman"/>
                <w:b/>
                <w:lang w:eastAsia="en-ID"/>
              </w:rPr>
              <w:t>Crime</w:t>
            </w:r>
          </w:p>
        </w:tc>
      </w:tr>
      <w:tr w:rsidR="004E2981" w:rsidRPr="00B817E3" w14:paraId="73ABEA8B"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21197C7"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7F89D03"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1402/Pid.B/2022/PN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7AC4F42" w14:textId="35D94382"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NA</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86988A5" w14:textId="22827E4F"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1E8AD0AF"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551D713"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FB4C20D"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1321/Pid.Sus/2022/PN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48557DE"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LI</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A88D61C" w14:textId="4A5DDC4B"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4CCA7074"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E747B40"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5A9307F"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1245/Pid.B/2022/PN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6B667B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FY</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EB54FFD" w14:textId="0C1C5BAF"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351 </w:t>
            </w:r>
            <w:r w:rsidR="004E2981" w:rsidRPr="00B817E3">
              <w:rPr>
                <w:rFonts w:ascii="Times New Roman" w:eastAsia="Calibri" w:hAnsi="Times New Roman" w:cs="Times New Roman"/>
                <w:lang w:eastAsia="en-ID"/>
              </w:rPr>
              <w:t>of the Criminal Code</w:t>
            </w:r>
          </w:p>
        </w:tc>
      </w:tr>
      <w:tr w:rsidR="004E2981" w:rsidRPr="00B817E3" w14:paraId="58F2F09D"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D49004A"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49CCACF"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1246/Pid.Sus/2022/PN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E1D3C51" w14:textId="6AFFA565"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SN</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29FD674" w14:textId="5A18CBFF"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6F8D0B11"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B059405"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5</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00C6D9E"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1233/Pid.B/2022/PN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7D60C29"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RS</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99D387F" w14:textId="14B11474"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351 </w:t>
            </w:r>
            <w:r w:rsidR="004E2981" w:rsidRPr="00B817E3">
              <w:rPr>
                <w:rFonts w:ascii="Times New Roman" w:eastAsia="Calibri" w:hAnsi="Times New Roman" w:cs="Times New Roman"/>
                <w:lang w:eastAsia="en-ID"/>
              </w:rPr>
              <w:t>of the Criminal Code</w:t>
            </w:r>
          </w:p>
        </w:tc>
      </w:tr>
      <w:tr w:rsidR="004E2981" w:rsidRPr="00B817E3" w14:paraId="318A9E05"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0EE8E74"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6</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ADBB49C"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1232/Pid.B/2022/PN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9AC8E8D"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JM</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BE594CE" w14:textId="5427C69F"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263 </w:t>
            </w:r>
            <w:r w:rsidR="004E2981" w:rsidRPr="00B817E3">
              <w:rPr>
                <w:rFonts w:ascii="Times New Roman" w:eastAsia="Calibri" w:hAnsi="Times New Roman" w:cs="Times New Roman"/>
                <w:lang w:eastAsia="en-ID"/>
              </w:rPr>
              <w:t>of the Criminal Code</w:t>
            </w:r>
          </w:p>
        </w:tc>
      </w:tr>
      <w:tr w:rsidR="004E2981" w:rsidRPr="00B817E3" w14:paraId="7278BA87"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DDCF0F9"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7</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0153B0E"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1166/Pid.Sus/2022/PN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9873D36"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SP</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4441223" w14:textId="15EE789E"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02AF841B"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C98C9F3"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lastRenderedPageBreak/>
              <w:t>8</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C884153"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1177/Pid.Sus/2022/PN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23EE306"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SRW</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19816CD" w14:textId="2F3F7B1B"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4675F808"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6BAAD2"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9</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784F7CF"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1093/Pid.B/2022/PN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3238F8C"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AP</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646D569" w14:textId="127F00C7"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0AD814D0"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6B93169"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10</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9A94F33"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1095/Pid.B/2022/PN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F50515C"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FE</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74E1DBF" w14:textId="1290228D"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0FA612E3"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EA31CBF"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11</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292932A"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1025/Pid.B/2022/PN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C24B2E8" w14:textId="65A4B2C6"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EI</w:t>
            </w:r>
          </w:p>
          <w:p w14:paraId="26F069D7" w14:textId="7A6B4665"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OR</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01924CF" w14:textId="57AF895E"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20BD8647"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12F4157"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12</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CEA8D42"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1005/Pid.Sus/2022/PN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D39F120" w14:textId="00788330"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SK</w:t>
            </w:r>
          </w:p>
          <w:p w14:paraId="02E40B6E" w14:textId="2A4D6A88"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MY</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1973449" w14:textId="2ACE59EE"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596BEFE4"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1D50D48"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13</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56B5266"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1000/Pid.Sus/2022/PN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144B69D"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IS</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41E4C8F" w14:textId="092EBA7A"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24C6878C"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CDED4AC"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14</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B9191F8"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957/Pid.B/2022/PN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A999583"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MP</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10981D4" w14:textId="1ED6F845"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688F7901"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F4ABE0E"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15</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16A01C5"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960/Pid.B/2022/PN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AD29E95" w14:textId="76FCAFAE"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RG</w:t>
            </w:r>
          </w:p>
          <w:p w14:paraId="7D1AA6EC" w14:textId="56ECAE78"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RN</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282A20D" w14:textId="53C5AA2F"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362 </w:t>
            </w:r>
            <w:r w:rsidR="004E2981" w:rsidRPr="00B817E3">
              <w:rPr>
                <w:rFonts w:ascii="Times New Roman" w:eastAsia="Calibri" w:hAnsi="Times New Roman" w:cs="Times New Roman"/>
                <w:lang w:eastAsia="en-ID"/>
              </w:rPr>
              <w:t>of the Criminal Code</w:t>
            </w:r>
          </w:p>
        </w:tc>
      </w:tr>
      <w:tr w:rsidR="004E2981" w:rsidRPr="00B817E3" w14:paraId="70302F73"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322029D"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16</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ACB3D6B"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953/Pid.B/2022/PN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1FFF96D"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RJ</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410B658" w14:textId="6E63C2C8"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0D9D7C2D"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39934AF"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17</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786D240"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933/Pid.B/2022/PN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A3CAF52"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RG</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51EE756" w14:textId="6B4F71DB"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07373F2B"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DB18B15"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18</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F31A26F"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929/Pid.B/2022/PN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E315544"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EY</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5A0DC7C" w14:textId="7CB6269F"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661D83AA"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D7EF7FC"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19</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AFC748F"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899/Pid.B/2022/PN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2106F17"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AB</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B82705D" w14:textId="30045AE3"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362 </w:t>
            </w:r>
            <w:r w:rsidR="004E2981" w:rsidRPr="00B817E3">
              <w:rPr>
                <w:rFonts w:ascii="Times New Roman" w:eastAsia="Calibri" w:hAnsi="Times New Roman" w:cs="Times New Roman"/>
                <w:lang w:eastAsia="en-ID"/>
              </w:rPr>
              <w:t>of the Criminal Code</w:t>
            </w:r>
          </w:p>
        </w:tc>
      </w:tr>
      <w:tr w:rsidR="004E2981" w:rsidRPr="00B817E3" w14:paraId="2F2059E0"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5510679"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20</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0721125"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881/Pid.Sus/2022/PN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308935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LM</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B08E404" w14:textId="0A90D2B3"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55A3DA4F"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724B9D9"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21</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6FA7AA6"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871/Pid.B/2022/PN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23FEA59"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ST</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90E5371" w14:textId="7E2F662E" w:rsidR="009655AE" w:rsidRPr="009655AE" w:rsidRDefault="009655AE" w:rsidP="009655AE">
            <w:pPr>
              <w:spacing w:after="0" w:line="240" w:lineRule="auto"/>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351 </w:t>
            </w:r>
            <w:r w:rsidR="004E2981" w:rsidRPr="00B817E3">
              <w:rPr>
                <w:rFonts w:ascii="Times New Roman" w:eastAsia="Calibri" w:hAnsi="Times New Roman" w:cs="Times New Roman"/>
                <w:lang w:eastAsia="en-ID"/>
              </w:rPr>
              <w:t>of the Criminal Code</w:t>
            </w:r>
          </w:p>
        </w:tc>
      </w:tr>
      <w:tr w:rsidR="004E2981" w:rsidRPr="00B817E3" w14:paraId="15DA8908"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9FAF4C0"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22</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B8C1A60"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820/Pid.B/2022/PN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8DCD0A8"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 MT</w:t>
            </w:r>
          </w:p>
          <w:p w14:paraId="5A3D9991" w14:textId="50EE0464"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SL</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8393608" w14:textId="0F511D92"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362 </w:t>
            </w:r>
            <w:r w:rsidR="004E2981" w:rsidRPr="00B817E3">
              <w:rPr>
                <w:rFonts w:ascii="Times New Roman" w:eastAsia="Calibri" w:hAnsi="Times New Roman" w:cs="Times New Roman"/>
                <w:lang w:eastAsia="en-ID"/>
              </w:rPr>
              <w:t>of the Criminal Code</w:t>
            </w:r>
          </w:p>
        </w:tc>
      </w:tr>
      <w:tr w:rsidR="004E2981" w:rsidRPr="00B817E3" w14:paraId="658719F8"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BC7AD40"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23</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64E7D0B"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809/Pid.B/2022/PN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C1FCE28" w14:textId="2416DDD5"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ACH</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B34D974" w14:textId="258A5993"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48093584"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AFC2F6A"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24</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7B3B3B4"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805/Pid.Sus/2022/PN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401AABA"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KN</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EFF6D1A" w14:textId="38DFD067"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3C1D0800"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456F633"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25</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72FD5EC"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791/Pid.Sus/2022/PN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12E9EF1"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RA</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4946615" w14:textId="387B2D4F"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548F58DF"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0C8AFB5"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26</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E098612"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762/Pid.B/2022/PN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E696023"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FAT</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B9A2BCE" w14:textId="256EDD60"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756D5AAA"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A515774"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27</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D94BAF5"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712/Pid.Sus/2022/PN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DD51D3A"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ME</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3CEF3D7" w14:textId="77E6D349"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3A27C1FD"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F3C2A9C"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28</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23B9071"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592/Pid.B/2022/PN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2211CF1"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OT</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B5FED84" w14:textId="1A9A83A9"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6B6040EA"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49DA02"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29</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63D4311"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569/Pid.B/2022/PN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7428976" w14:textId="562B3F2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1.</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AS</w:t>
            </w:r>
          </w:p>
          <w:p w14:paraId="4EA06D1A" w14:textId="5422984E"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2.</w:t>
            </w:r>
            <w:r w:rsidR="00B817E3">
              <w:rPr>
                <w:rFonts w:ascii="Times New Roman" w:eastAsia="Calibri" w:hAnsi="Times New Roman" w:cs="Times New Roman"/>
                <w:lang w:eastAsia="en-ID"/>
              </w:rPr>
              <w:t xml:space="preserve"> </w:t>
            </w:r>
            <w:r w:rsidRPr="009655AE">
              <w:rPr>
                <w:rFonts w:ascii="Times New Roman" w:eastAsia="Calibri" w:hAnsi="Times New Roman" w:cs="Times New Roman"/>
                <w:lang w:eastAsia="en-ID"/>
              </w:rPr>
              <w:t>NH</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B865462" w14:textId="535F9DDA"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7DF0EE48"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6A74106"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30</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976724D"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576/Pid.B/2022/PN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00BB5C3"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YT</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C48BFC0" w14:textId="6BC10768"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6C0FBB5A"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EF22F94"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31</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C17F823"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547/Pid.Sus/2022/PN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E973978"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RS</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A8499DF" w14:textId="7B9A24A8"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60E8AD1B"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2936681"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32</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BD0319D"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512/Pid.B/2022/PN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D0C2A34"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NM</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6BBE262" w14:textId="04BD5FB7"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3017F78D"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945C70A"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33</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4F1A97D"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533/Pid.Sus/2022/PN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6001EF7"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TF</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DB0BB8D" w14:textId="57CC2614"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08CB4859"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80A248"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34</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BDE77A0"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440/Pid.Sus/2022/PN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0A01C4D"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RU</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96A9461" w14:textId="4A3875CD"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4A438821"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9A34297"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35</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73E86E8"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446/Pid.B/2022/PN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4CA2310"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EN</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9AFD9CE" w14:textId="588467E7"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303 </w:t>
            </w:r>
            <w:r w:rsidR="004E2981" w:rsidRPr="00B817E3">
              <w:rPr>
                <w:rFonts w:ascii="Times New Roman" w:eastAsia="Calibri" w:hAnsi="Times New Roman" w:cs="Times New Roman"/>
                <w:lang w:eastAsia="en-ID"/>
              </w:rPr>
              <w:t>of the Criminal Code</w:t>
            </w:r>
          </w:p>
        </w:tc>
      </w:tr>
      <w:tr w:rsidR="004E2981" w:rsidRPr="00B817E3" w14:paraId="04F7D32B"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BCA4118"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36</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92FE6CC"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385/Pid.Sus/2022/PN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DB5F8F9" w14:textId="1C490993"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SH</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91D52A1" w14:textId="319B523E"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2F1A263F"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26CC295"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37</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1719D2E"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386/Pid.B/2022/PN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EA7B963"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AS</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37FF657" w14:textId="59B211F9" w:rsidR="009655AE" w:rsidRPr="009655AE" w:rsidRDefault="004E2981"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Burglary</w:t>
            </w:r>
            <w:r w:rsidR="009655AE" w:rsidRPr="009655AE">
              <w:rPr>
                <w:rFonts w:ascii="Times New Roman" w:eastAsia="Calibri" w:hAnsi="Times New Roman" w:cs="Times New Roman"/>
                <w:lang w:eastAsia="en-ID"/>
              </w:rPr>
              <w:t xml:space="preserve"> </w:t>
            </w:r>
            <w:r w:rsidR="009655AE" w:rsidRPr="00B817E3">
              <w:rPr>
                <w:rFonts w:ascii="Times New Roman" w:eastAsia="Calibri" w:hAnsi="Times New Roman" w:cs="Times New Roman"/>
                <w:lang w:eastAsia="en-ID"/>
              </w:rPr>
              <w:t>Chapter</w:t>
            </w:r>
            <w:r w:rsidR="009655AE" w:rsidRPr="009655AE">
              <w:rPr>
                <w:rFonts w:ascii="Times New Roman" w:eastAsia="Calibri" w:hAnsi="Times New Roman" w:cs="Times New Roman"/>
                <w:lang w:eastAsia="en-ID"/>
              </w:rPr>
              <w:t xml:space="preserve"> 362</w:t>
            </w:r>
          </w:p>
        </w:tc>
      </w:tr>
      <w:tr w:rsidR="004E2981" w:rsidRPr="00B817E3" w14:paraId="05356482"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93A1309"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38</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3F8F312"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347/Pid.B/2022/PN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091D939"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IS</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64737D2" w14:textId="24678C3B"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4CAE8D41"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C5D944F"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39</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D0F86AB"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339/Pid.Sus/2022/PN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7AE449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HY</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389E8A3" w14:textId="087F7183"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0BF2674A"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F6DE0DC"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40</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558477E"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324/Pid.Sus/2022/PN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6BB7201"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AN</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0118A46" w14:textId="542DF4BE"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7E32963A"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D713CC6"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41</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C356F4B"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305/Pid.Sus/2022/PN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8FB515D"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MY</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C6D0A57" w14:textId="2EF0F2CD"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434E33FF"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5BA1B30"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42</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FB204D5"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303/Pid.Sus/2022/PN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B705E1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SA</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0D62B76" w14:textId="3A299780"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6568803A"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A2D8738"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43</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FA9310F"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265/Pid.Sus/2022/PN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8CBCB6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SY</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D4684FC" w14:textId="3FC18A42"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3AC247F4"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50C1240"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44</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B2511A4"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235/Pid.B/2022/PN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822AC1B"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MK</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5312E19" w14:textId="232A27A9"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378 </w:t>
            </w:r>
            <w:r w:rsidR="004E2981" w:rsidRPr="00B817E3">
              <w:rPr>
                <w:rFonts w:ascii="Times New Roman" w:eastAsia="Calibri" w:hAnsi="Times New Roman" w:cs="Times New Roman"/>
                <w:lang w:eastAsia="en-ID"/>
              </w:rPr>
              <w:t>of the Criminal Code</w:t>
            </w:r>
          </w:p>
        </w:tc>
      </w:tr>
      <w:tr w:rsidR="004E2981" w:rsidRPr="00B817E3" w14:paraId="38760731"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A4F316F"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45</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B284856"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204/Pid.B/2022/PN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36C035A"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AN</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1C9740D" w14:textId="71EB3C7D"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372 </w:t>
            </w:r>
            <w:r w:rsidR="004E2981" w:rsidRPr="00B817E3">
              <w:rPr>
                <w:rFonts w:ascii="Times New Roman" w:eastAsia="Calibri" w:hAnsi="Times New Roman" w:cs="Times New Roman"/>
                <w:lang w:eastAsia="en-ID"/>
              </w:rPr>
              <w:t>of the Criminal Code</w:t>
            </w:r>
          </w:p>
        </w:tc>
      </w:tr>
      <w:tr w:rsidR="004E2981" w:rsidRPr="00B817E3" w14:paraId="39B85823"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FEAEEE"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46</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F89A8EB"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183/Pid.Sus/2022/PN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F220BA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NH</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825B5B2" w14:textId="3C3710DF"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331B528D"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01A14D2"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47</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39DC1E3"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131/Pid.Sus/2022/PN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623F63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ID</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CA939CD" w14:textId="36CF447D"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70EAA545"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A3AC669"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48</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BDA8627"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86/Pid.B/2022/PN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9598879"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OFN</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AD538A3" w14:textId="0C9961B7"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362 </w:t>
            </w:r>
            <w:r w:rsidR="004E2981" w:rsidRPr="00B817E3">
              <w:rPr>
                <w:rFonts w:ascii="Times New Roman" w:eastAsia="Calibri" w:hAnsi="Times New Roman" w:cs="Times New Roman"/>
                <w:lang w:eastAsia="en-ID"/>
              </w:rPr>
              <w:t>of the Criminal Code</w:t>
            </w:r>
          </w:p>
        </w:tc>
      </w:tr>
      <w:tr w:rsidR="004E2981" w:rsidRPr="00B817E3" w14:paraId="479DE84B"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4D34305"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lastRenderedPageBreak/>
              <w:t>49</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7BF19DD"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79/Pid.B/2022/PN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95027A7"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YL</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30DE885" w14:textId="7000F6CD"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351 </w:t>
            </w:r>
            <w:r w:rsidR="004E2981" w:rsidRPr="00B817E3">
              <w:rPr>
                <w:rFonts w:ascii="Times New Roman" w:eastAsia="Calibri" w:hAnsi="Times New Roman" w:cs="Times New Roman"/>
                <w:lang w:eastAsia="en-ID"/>
              </w:rPr>
              <w:t>of the Criminal Code</w:t>
            </w:r>
          </w:p>
        </w:tc>
      </w:tr>
      <w:tr w:rsidR="004E2981" w:rsidRPr="00B817E3" w14:paraId="61C24DED"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FE56503"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50</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E60CD73"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59/Pid.Sus/2022/PN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2B698CF"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YO</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2110390" w14:textId="6F982E2E"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141FD835"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6347A27"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51</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63F2114"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61/Pid.Sus/2022/PN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EE4E04B"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NH</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D7D89E5" w14:textId="2B1F0985"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31A1AFE8"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4B61DB5"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52</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99E61EC"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39/Pid.Sus/2022/PN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C1F8B47"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MR</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12EF609" w14:textId="4FABA955" w:rsidR="009655AE" w:rsidRPr="009655AE" w:rsidRDefault="009655AE" w:rsidP="009655AE">
            <w:pPr>
              <w:spacing w:after="0" w:line="240" w:lineRule="auto"/>
              <w:jc w:val="both"/>
              <w:rPr>
                <w:rFonts w:ascii="Times New Roman" w:eastAsia="Calibri" w:hAnsi="Times New Roman" w:cs="Times New Roman"/>
                <w:lang w:eastAsia="en-ID"/>
              </w:rPr>
            </w:pPr>
            <w:r w:rsidRPr="00B817E3">
              <w:rPr>
                <w:rFonts w:ascii="Times New Roman" w:eastAsia="Calibri" w:hAnsi="Times New Roman" w:cs="Times New Roman"/>
                <w:lang w:eastAsia="en-ID"/>
              </w:rPr>
              <w:t>Chapter</w:t>
            </w:r>
            <w:r w:rsidRPr="009655AE">
              <w:rPr>
                <w:rFonts w:ascii="Times New Roman" w:eastAsia="Calibri" w:hAnsi="Times New Roman" w:cs="Times New Roman"/>
                <w:lang w:eastAsia="en-ID"/>
              </w:rPr>
              <w:t xml:space="preserve"> 114 </w:t>
            </w:r>
            <w:r w:rsidR="004E2981" w:rsidRPr="00B817E3">
              <w:rPr>
                <w:rFonts w:ascii="Times New Roman" w:eastAsia="Calibri" w:hAnsi="Times New Roman" w:cs="Times New Roman"/>
                <w:lang w:eastAsia="en-ID"/>
              </w:rPr>
              <w:t>of the Drug Law</w:t>
            </w:r>
          </w:p>
        </w:tc>
      </w:tr>
      <w:tr w:rsidR="004E2981" w:rsidRPr="00B817E3" w14:paraId="7CF9D514"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E61BD8" w14:textId="77777777" w:rsidR="009655AE" w:rsidRPr="009655AE" w:rsidRDefault="009655AE" w:rsidP="009655AE">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53</w:t>
            </w: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0C6E8A9" w14:textId="77777777"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17/Pid.Sus/2022/PN Plg</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9D88845" w14:textId="77777777" w:rsidR="009655AE" w:rsidRPr="009655AE" w:rsidRDefault="009655AE" w:rsidP="004E2981">
            <w:pPr>
              <w:spacing w:after="0" w:line="240" w:lineRule="auto"/>
              <w:jc w:val="center"/>
              <w:rPr>
                <w:rFonts w:ascii="Times New Roman" w:eastAsia="Calibri" w:hAnsi="Times New Roman" w:cs="Times New Roman"/>
                <w:lang w:eastAsia="en-ID"/>
              </w:rPr>
            </w:pPr>
            <w:r w:rsidRPr="009655AE">
              <w:rPr>
                <w:rFonts w:ascii="Times New Roman" w:eastAsia="Calibri" w:hAnsi="Times New Roman" w:cs="Times New Roman"/>
                <w:lang w:eastAsia="en-ID"/>
              </w:rPr>
              <w:t>YI</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F06FB2" w14:textId="7149A6BD" w:rsidR="009655AE" w:rsidRPr="009655AE" w:rsidRDefault="009655AE" w:rsidP="009655AE">
            <w:pPr>
              <w:spacing w:after="0" w:line="240" w:lineRule="auto"/>
              <w:jc w:val="both"/>
              <w:rPr>
                <w:rFonts w:ascii="Times New Roman" w:eastAsia="Calibri" w:hAnsi="Times New Roman" w:cs="Times New Roman"/>
                <w:lang w:eastAsia="en-ID"/>
              </w:rPr>
            </w:pPr>
            <w:r w:rsidRPr="009655AE">
              <w:rPr>
                <w:rFonts w:ascii="Times New Roman" w:eastAsia="Calibri" w:hAnsi="Times New Roman" w:cs="Times New Roman"/>
                <w:lang w:eastAsia="en-ID"/>
              </w:rPr>
              <w:t>Ele</w:t>
            </w:r>
            <w:r w:rsidR="004E2981" w:rsidRPr="00B817E3">
              <w:rPr>
                <w:rFonts w:ascii="Times New Roman" w:eastAsia="Calibri" w:hAnsi="Times New Roman" w:cs="Times New Roman"/>
                <w:lang w:eastAsia="en-ID"/>
              </w:rPr>
              <w:t>c</w:t>
            </w:r>
            <w:r w:rsidRPr="009655AE">
              <w:rPr>
                <w:rFonts w:ascii="Times New Roman" w:eastAsia="Calibri" w:hAnsi="Times New Roman" w:cs="Times New Roman"/>
                <w:lang w:eastAsia="en-ID"/>
              </w:rPr>
              <w:t>troni</w:t>
            </w:r>
            <w:r w:rsidR="004E2981" w:rsidRPr="00B817E3">
              <w:rPr>
                <w:rFonts w:ascii="Times New Roman" w:eastAsia="Calibri" w:hAnsi="Times New Roman" w:cs="Times New Roman"/>
                <w:lang w:eastAsia="en-ID"/>
              </w:rPr>
              <w:t>c Information and Transaction</w:t>
            </w:r>
          </w:p>
        </w:tc>
      </w:tr>
      <w:tr w:rsidR="004E2981" w:rsidRPr="00B817E3" w14:paraId="76CDF226" w14:textId="77777777" w:rsidTr="004E2981">
        <w:tc>
          <w:tcPr>
            <w:tcW w:w="737"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1770632B" w14:textId="77777777" w:rsidR="009655AE" w:rsidRPr="009655AE" w:rsidRDefault="009655AE" w:rsidP="009655AE">
            <w:pPr>
              <w:spacing w:after="0" w:line="240" w:lineRule="auto"/>
              <w:rPr>
                <w:rFonts w:ascii="Times New Roman" w:eastAsia="Calibri" w:hAnsi="Times New Roman" w:cs="Times New Roman"/>
                <w:lang w:eastAsia="en-ID"/>
              </w:rPr>
            </w:pPr>
          </w:p>
        </w:tc>
        <w:tc>
          <w:tcPr>
            <w:tcW w:w="251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D9928AF" w14:textId="77777777" w:rsidR="009655AE" w:rsidRPr="009655AE" w:rsidRDefault="009655AE" w:rsidP="009655AE">
            <w:pPr>
              <w:spacing w:after="0" w:line="240" w:lineRule="auto"/>
              <w:jc w:val="center"/>
              <w:rPr>
                <w:rFonts w:ascii="Times New Roman" w:eastAsia="Calibri" w:hAnsi="Times New Roman" w:cs="Times New Roman"/>
                <w:b/>
                <w:lang w:eastAsia="en-ID"/>
              </w:rPr>
            </w:pPr>
            <w:r w:rsidRPr="009655AE">
              <w:rPr>
                <w:rFonts w:ascii="Times New Roman" w:eastAsia="Calibri" w:hAnsi="Times New Roman" w:cs="Times New Roman"/>
                <w:b/>
                <w:lang w:eastAsia="en-ID"/>
              </w:rPr>
              <w:t>TOTAL</w:t>
            </w:r>
          </w:p>
        </w:tc>
        <w:tc>
          <w:tcPr>
            <w:tcW w:w="221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7BAA708" w14:textId="12E088E3" w:rsidR="009655AE" w:rsidRPr="009655AE" w:rsidRDefault="009655AE" w:rsidP="004E2981">
            <w:pPr>
              <w:spacing w:after="0" w:line="240" w:lineRule="auto"/>
              <w:jc w:val="center"/>
              <w:rPr>
                <w:rFonts w:ascii="Times New Roman" w:eastAsia="Calibri" w:hAnsi="Times New Roman" w:cs="Times New Roman"/>
                <w:b/>
                <w:lang w:eastAsia="en-ID"/>
              </w:rPr>
            </w:pPr>
            <w:r w:rsidRPr="009655AE">
              <w:rPr>
                <w:rFonts w:ascii="Times New Roman" w:eastAsia="Calibri" w:hAnsi="Times New Roman" w:cs="Times New Roman"/>
                <w:b/>
                <w:lang w:eastAsia="en-ID"/>
              </w:rPr>
              <w:t xml:space="preserve">53 </w:t>
            </w:r>
            <w:r w:rsidR="004E2981" w:rsidRPr="00B817E3">
              <w:rPr>
                <w:rFonts w:ascii="Times New Roman" w:eastAsia="Calibri" w:hAnsi="Times New Roman" w:cs="Times New Roman"/>
                <w:b/>
                <w:lang w:eastAsia="en-ID"/>
              </w:rPr>
              <w:t>PEOPLE</w:t>
            </w:r>
          </w:p>
        </w:tc>
        <w:tc>
          <w:tcPr>
            <w:tcW w:w="3175"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1EA68F23" w14:textId="77777777" w:rsidR="009655AE" w:rsidRPr="009655AE" w:rsidRDefault="009655AE" w:rsidP="009655AE">
            <w:pPr>
              <w:spacing w:after="0" w:line="240" w:lineRule="auto"/>
              <w:rPr>
                <w:rFonts w:ascii="Times New Roman" w:eastAsia="Calibri" w:hAnsi="Times New Roman" w:cs="Times New Roman"/>
                <w:lang w:eastAsia="en-ID"/>
              </w:rPr>
            </w:pPr>
          </w:p>
        </w:tc>
      </w:tr>
    </w:tbl>
    <w:p w14:paraId="55CFA419" w14:textId="4B8A38CB" w:rsidR="009655AE" w:rsidRPr="009655AE" w:rsidRDefault="004E2981" w:rsidP="009655AE">
      <w:pPr>
        <w:spacing w:line="360" w:lineRule="auto"/>
        <w:rPr>
          <w:rFonts w:ascii="Times New Roman" w:eastAsia="Tahoma" w:hAnsi="Times New Roman" w:cs="Times New Roman"/>
          <w:sz w:val="24"/>
          <w:szCs w:val="24"/>
        </w:rPr>
      </w:pPr>
      <w:r w:rsidRPr="00B817E3">
        <w:rPr>
          <w:rFonts w:ascii="Times New Roman" w:eastAsia="Tahoma" w:hAnsi="Times New Roman" w:cs="Times New Roman"/>
          <w:sz w:val="24"/>
          <w:szCs w:val="24"/>
        </w:rPr>
        <w:t>Source</w:t>
      </w:r>
      <w:r w:rsidR="009655AE" w:rsidRPr="009655AE">
        <w:rPr>
          <w:rFonts w:ascii="Times New Roman" w:eastAsia="Tahoma" w:hAnsi="Times New Roman" w:cs="Times New Roman"/>
          <w:sz w:val="24"/>
          <w:szCs w:val="24"/>
        </w:rPr>
        <w:t xml:space="preserve">: </w:t>
      </w:r>
      <w:r w:rsidRPr="00B817E3">
        <w:rPr>
          <w:rFonts w:ascii="Times New Roman" w:eastAsia="Tahoma" w:hAnsi="Times New Roman" w:cs="Times New Roman"/>
          <w:sz w:val="24"/>
          <w:szCs w:val="24"/>
        </w:rPr>
        <w:t>processed secondary data</w:t>
      </w:r>
    </w:p>
    <w:p w14:paraId="7910A75C" w14:textId="77777777" w:rsidR="009655AE" w:rsidRPr="00B817E3" w:rsidRDefault="009655AE" w:rsidP="009655AE">
      <w:pPr>
        <w:spacing w:after="0" w:line="360" w:lineRule="auto"/>
        <w:jc w:val="both"/>
        <w:rPr>
          <w:rFonts w:ascii="Times New Roman" w:eastAsia="Tahoma" w:hAnsi="Times New Roman" w:cs="Times New Roman"/>
          <w:sz w:val="24"/>
          <w:szCs w:val="24"/>
        </w:rPr>
      </w:pPr>
    </w:p>
    <w:p w14:paraId="33AA2142" w14:textId="2E0F0AE5" w:rsidR="00DF5D40" w:rsidRPr="00B817E3" w:rsidRDefault="00DF5D40" w:rsidP="004E7A11">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 xml:space="preserve">The </w:t>
      </w:r>
      <w:r w:rsidR="008D6F40" w:rsidRPr="00B817E3">
        <w:rPr>
          <w:rFonts w:ascii="Times New Roman" w:eastAsia="Tahoma" w:hAnsi="Times New Roman" w:cs="Times New Roman"/>
          <w:sz w:val="24"/>
          <w:szCs w:val="24"/>
        </w:rPr>
        <w:t xml:space="preserve">law enforcement </w:t>
      </w:r>
      <w:r w:rsidRPr="00B817E3">
        <w:rPr>
          <w:rFonts w:ascii="Times New Roman" w:eastAsia="Tahoma" w:hAnsi="Times New Roman" w:cs="Times New Roman"/>
          <w:sz w:val="24"/>
          <w:szCs w:val="24"/>
        </w:rPr>
        <w:t>process, in general, must be based on four principles: equality before law, legal certainty (</w:t>
      </w:r>
      <w:r w:rsidRPr="00B817E3">
        <w:rPr>
          <w:rFonts w:ascii="Times New Roman" w:eastAsia="Tahoma" w:hAnsi="Times New Roman" w:cs="Times New Roman"/>
          <w:i/>
          <w:iCs/>
          <w:sz w:val="24"/>
          <w:szCs w:val="24"/>
        </w:rPr>
        <w:t>rechtssicherkeit</w:t>
      </w:r>
      <w:r w:rsidRPr="00B817E3">
        <w:rPr>
          <w:rFonts w:ascii="Times New Roman" w:eastAsia="Tahoma" w:hAnsi="Times New Roman" w:cs="Times New Roman"/>
          <w:sz w:val="24"/>
          <w:szCs w:val="24"/>
        </w:rPr>
        <w:t>), justice (</w:t>
      </w:r>
      <w:r w:rsidRPr="00B817E3">
        <w:rPr>
          <w:rFonts w:ascii="Times New Roman" w:eastAsia="Tahoma" w:hAnsi="Times New Roman" w:cs="Times New Roman"/>
          <w:i/>
          <w:iCs/>
          <w:sz w:val="24"/>
          <w:szCs w:val="24"/>
        </w:rPr>
        <w:t>gerechtigkeit</w:t>
      </w:r>
      <w:r w:rsidRPr="00B817E3">
        <w:rPr>
          <w:rFonts w:ascii="Times New Roman" w:eastAsia="Tahoma" w:hAnsi="Times New Roman" w:cs="Times New Roman"/>
          <w:sz w:val="24"/>
          <w:szCs w:val="24"/>
        </w:rPr>
        <w:t xml:space="preserve">), and </w:t>
      </w:r>
      <w:r w:rsidR="008D6F40" w:rsidRPr="00B817E3">
        <w:rPr>
          <w:rFonts w:ascii="Times New Roman" w:eastAsia="Tahoma" w:hAnsi="Times New Roman" w:cs="Times New Roman"/>
          <w:sz w:val="24"/>
          <w:szCs w:val="24"/>
        </w:rPr>
        <w:t xml:space="preserve">legal </w:t>
      </w:r>
      <w:r w:rsidRPr="00B817E3">
        <w:rPr>
          <w:rFonts w:ascii="Times New Roman" w:eastAsia="Tahoma" w:hAnsi="Times New Roman" w:cs="Times New Roman"/>
          <w:sz w:val="24"/>
          <w:szCs w:val="24"/>
        </w:rPr>
        <w:t>expediency (</w:t>
      </w:r>
      <w:r w:rsidRPr="00B817E3">
        <w:rPr>
          <w:rFonts w:ascii="Times New Roman" w:eastAsia="Tahoma" w:hAnsi="Times New Roman" w:cs="Times New Roman"/>
          <w:i/>
          <w:iCs/>
          <w:sz w:val="24"/>
          <w:szCs w:val="24"/>
        </w:rPr>
        <w:t>zweckmasigkneit</w:t>
      </w:r>
      <w:r w:rsidRPr="00B817E3">
        <w:rPr>
          <w:rFonts w:ascii="Times New Roman" w:eastAsia="Tahoma" w:hAnsi="Times New Roman" w:cs="Times New Roman"/>
          <w:sz w:val="24"/>
          <w:szCs w:val="24"/>
        </w:rPr>
        <w:t>).</w:t>
      </w:r>
      <w:r w:rsidR="00DE70AC" w:rsidRPr="00B817E3">
        <w:rPr>
          <w:rFonts w:eastAsia="Tahoma"/>
          <w:vertAlign w:val="superscript"/>
        </w:rPr>
        <w:t xml:space="preserve"> </w:t>
      </w:r>
      <w:r w:rsidR="00DE70AC" w:rsidRPr="00B817E3">
        <w:rPr>
          <w:rFonts w:ascii="Times New Roman" w:eastAsia="Tahoma" w:hAnsi="Times New Roman" w:cs="Times New Roman"/>
          <w:sz w:val="24"/>
          <w:szCs w:val="24"/>
          <w:vertAlign w:val="superscript"/>
        </w:rPr>
        <w:footnoteReference w:id="17"/>
      </w:r>
      <w:r w:rsidR="00DE70AC" w:rsidRPr="00B817E3">
        <w:rPr>
          <w:rFonts w:ascii="Times New Roman" w:eastAsia="Tahoma" w:hAnsi="Times New Roman" w:cs="Times New Roman"/>
          <w:sz w:val="24"/>
          <w:szCs w:val="24"/>
        </w:rPr>
        <w:t xml:space="preserve"> </w:t>
      </w:r>
      <w:r w:rsidRPr="00B817E3">
        <w:rPr>
          <w:rFonts w:ascii="Times New Roman" w:eastAsia="Tahoma" w:hAnsi="Times New Roman" w:cs="Times New Roman"/>
          <w:sz w:val="24"/>
          <w:szCs w:val="24"/>
        </w:rPr>
        <w:t>According to the Regulation of the Supreme Court of the Republic of Indonesia number 3 of 2017 on the Guidelines for Adjudicating Women's Cases Before the Law, three principles must be added; they are recognition to human dignity</w:t>
      </w:r>
      <w:r w:rsidR="009C56BF" w:rsidRPr="00B817E3">
        <w:rPr>
          <w:rFonts w:ascii="Times New Roman" w:eastAsia="Tahoma" w:hAnsi="Times New Roman" w:cs="Times New Roman"/>
          <w:sz w:val="24"/>
          <w:szCs w:val="24"/>
        </w:rPr>
        <w:t xml:space="preserve"> and honor</w:t>
      </w:r>
      <w:r w:rsidRPr="00B817E3">
        <w:rPr>
          <w:rFonts w:ascii="Times New Roman" w:eastAsia="Tahoma" w:hAnsi="Times New Roman" w:cs="Times New Roman"/>
          <w:sz w:val="24"/>
          <w:szCs w:val="24"/>
        </w:rPr>
        <w:t xml:space="preserve">, non-discriminatory conduct, and gender equality. In terms of non-discriminatory conduct, judges are prohibited from discriminating, </w:t>
      </w:r>
      <w:r w:rsidR="008A3DB7" w:rsidRPr="00B817E3">
        <w:rPr>
          <w:rFonts w:ascii="Times New Roman" w:eastAsia="Tahoma" w:hAnsi="Times New Roman" w:cs="Times New Roman"/>
          <w:sz w:val="24"/>
          <w:szCs w:val="24"/>
        </w:rPr>
        <w:t>isolating,</w:t>
      </w:r>
      <w:r w:rsidRPr="00B817E3">
        <w:rPr>
          <w:rFonts w:ascii="Times New Roman" w:eastAsia="Tahoma" w:hAnsi="Times New Roman" w:cs="Times New Roman"/>
          <w:sz w:val="24"/>
          <w:szCs w:val="24"/>
        </w:rPr>
        <w:t xml:space="preserve"> and making restrictions </w:t>
      </w:r>
      <w:r w:rsidR="008A3DB7" w:rsidRPr="00B817E3">
        <w:rPr>
          <w:rFonts w:ascii="Times New Roman" w:eastAsia="Tahoma" w:hAnsi="Times New Roman" w:cs="Times New Roman"/>
          <w:sz w:val="24"/>
          <w:szCs w:val="24"/>
        </w:rPr>
        <w:t>based on</w:t>
      </w:r>
      <w:r w:rsidRPr="00B817E3">
        <w:rPr>
          <w:rFonts w:ascii="Times New Roman" w:eastAsia="Tahoma" w:hAnsi="Times New Roman" w:cs="Times New Roman"/>
          <w:sz w:val="24"/>
          <w:szCs w:val="24"/>
        </w:rPr>
        <w:t xml:space="preserve"> gender, especially against women having cases before the law. Chapter 4 of the regulation above states that</w:t>
      </w:r>
      <w:r w:rsidR="008D6F40" w:rsidRPr="00B817E3">
        <w:rPr>
          <w:rFonts w:ascii="Times New Roman" w:eastAsia="Tahoma" w:hAnsi="Times New Roman" w:cs="Times New Roman"/>
          <w:sz w:val="24"/>
          <w:szCs w:val="24"/>
        </w:rPr>
        <w:t>,</w:t>
      </w:r>
      <w:r w:rsidRPr="00B817E3">
        <w:rPr>
          <w:rFonts w:ascii="Times New Roman" w:eastAsia="Tahoma" w:hAnsi="Times New Roman" w:cs="Times New Roman"/>
          <w:sz w:val="24"/>
          <w:szCs w:val="24"/>
        </w:rPr>
        <w:t xml:space="preserve"> in investigating cases, judges must consider gender equality and </w:t>
      </w:r>
      <w:r w:rsidR="008D6F40" w:rsidRPr="00B817E3">
        <w:rPr>
          <w:rFonts w:ascii="Times New Roman" w:eastAsia="Tahoma" w:hAnsi="Times New Roman" w:cs="Times New Roman"/>
          <w:sz w:val="24"/>
          <w:szCs w:val="24"/>
        </w:rPr>
        <w:t xml:space="preserve">must </w:t>
      </w:r>
      <w:r w:rsidRPr="00B817E3">
        <w:rPr>
          <w:rFonts w:ascii="Times New Roman" w:eastAsia="Tahoma" w:hAnsi="Times New Roman" w:cs="Times New Roman"/>
          <w:sz w:val="24"/>
          <w:szCs w:val="24"/>
        </w:rPr>
        <w:t>not discriminat</w:t>
      </w:r>
      <w:r w:rsidR="008D6F40" w:rsidRPr="00B817E3">
        <w:rPr>
          <w:rFonts w:ascii="Times New Roman" w:eastAsia="Tahoma" w:hAnsi="Times New Roman" w:cs="Times New Roman"/>
          <w:sz w:val="24"/>
          <w:szCs w:val="24"/>
        </w:rPr>
        <w:t>e</w:t>
      </w:r>
      <w:r w:rsidRPr="00B817E3">
        <w:rPr>
          <w:rFonts w:ascii="Times New Roman" w:eastAsia="Tahoma" w:hAnsi="Times New Roman" w:cs="Times New Roman"/>
          <w:sz w:val="24"/>
          <w:szCs w:val="24"/>
        </w:rPr>
        <w:t xml:space="preserve"> them by identifying the facts of the trial </w:t>
      </w:r>
      <w:r w:rsidR="004E7A11" w:rsidRPr="00B817E3">
        <w:rPr>
          <w:rFonts w:ascii="Times New Roman" w:eastAsia="Tahoma" w:hAnsi="Times New Roman" w:cs="Times New Roman"/>
          <w:sz w:val="24"/>
          <w:szCs w:val="24"/>
          <w:vertAlign w:val="superscript"/>
        </w:rPr>
        <w:footnoteReference w:id="18"/>
      </w:r>
      <w:r w:rsidR="004E7A11" w:rsidRPr="00B817E3">
        <w:rPr>
          <w:rFonts w:ascii="Times New Roman" w:eastAsia="Tahoma" w:hAnsi="Times New Roman" w:cs="Times New Roman"/>
          <w:sz w:val="24"/>
          <w:szCs w:val="24"/>
        </w:rPr>
        <w:t xml:space="preserve"> </w:t>
      </w:r>
      <w:r w:rsidR="008D6F40" w:rsidRPr="00B817E3">
        <w:rPr>
          <w:rFonts w:ascii="Times New Roman" w:eastAsia="Tahoma" w:hAnsi="Times New Roman" w:cs="Times New Roman"/>
          <w:sz w:val="24"/>
          <w:szCs w:val="24"/>
        </w:rPr>
        <w:t xml:space="preserve">concerning </w:t>
      </w:r>
      <w:r w:rsidRPr="00B817E3">
        <w:rPr>
          <w:rFonts w:ascii="Times New Roman" w:eastAsia="Tahoma" w:hAnsi="Times New Roman" w:cs="Times New Roman"/>
          <w:sz w:val="24"/>
          <w:szCs w:val="24"/>
        </w:rPr>
        <w:t xml:space="preserve">(a) inequality of social status between the litigants, (b) inequality in legal protection that impacts on access to justice, (c) discrimination, (d) the psychological impact on the victim, (e) the physical and psychological powerlessness of the victim, (f) power relations that result in the victim/witness being helpless, and (g) </w:t>
      </w:r>
      <w:r w:rsidR="008D6F40" w:rsidRPr="00B817E3">
        <w:rPr>
          <w:rFonts w:ascii="Times New Roman" w:eastAsia="Tahoma" w:hAnsi="Times New Roman" w:cs="Times New Roman"/>
          <w:sz w:val="24"/>
          <w:szCs w:val="24"/>
        </w:rPr>
        <w:t>the perpetrators violence</w:t>
      </w:r>
      <w:r w:rsidRPr="00B817E3">
        <w:rPr>
          <w:rFonts w:ascii="Times New Roman" w:eastAsia="Tahoma" w:hAnsi="Times New Roman" w:cs="Times New Roman"/>
          <w:sz w:val="24"/>
          <w:szCs w:val="24"/>
        </w:rPr>
        <w:t xml:space="preserve"> history. Chapter 5 states that, in investigating women having cases before the law, judges may not (a) show attitudes or </w:t>
      </w:r>
      <w:r w:rsidR="008D6F40" w:rsidRPr="00B817E3">
        <w:rPr>
          <w:rFonts w:ascii="Times New Roman" w:eastAsia="Tahoma" w:hAnsi="Times New Roman" w:cs="Times New Roman"/>
          <w:sz w:val="24"/>
          <w:szCs w:val="24"/>
        </w:rPr>
        <w:t>make</w:t>
      </w:r>
      <w:r w:rsidRPr="00B817E3">
        <w:rPr>
          <w:rFonts w:ascii="Times New Roman" w:eastAsia="Tahoma" w:hAnsi="Times New Roman" w:cs="Times New Roman"/>
          <w:sz w:val="24"/>
          <w:szCs w:val="24"/>
        </w:rPr>
        <w:t xml:space="preserve"> statements that demean, blame</w:t>
      </w:r>
      <w:r w:rsidR="008D6F40" w:rsidRPr="00B817E3">
        <w:rPr>
          <w:rFonts w:ascii="Times New Roman" w:eastAsia="Tahoma" w:hAnsi="Times New Roman" w:cs="Times New Roman"/>
          <w:sz w:val="24"/>
          <w:szCs w:val="24"/>
        </w:rPr>
        <w:t>,</w:t>
      </w:r>
      <w:r w:rsidRPr="00B817E3">
        <w:rPr>
          <w:rFonts w:ascii="Times New Roman" w:eastAsia="Tahoma" w:hAnsi="Times New Roman" w:cs="Times New Roman"/>
          <w:sz w:val="24"/>
          <w:szCs w:val="24"/>
        </w:rPr>
        <w:t xml:space="preserve"> and/or intimidate them; (b) allow discrimination against women using culture, customary rules</w:t>
      </w:r>
      <w:r w:rsidR="008D6F40" w:rsidRPr="00B817E3">
        <w:rPr>
          <w:rFonts w:ascii="Times New Roman" w:eastAsia="Tahoma" w:hAnsi="Times New Roman" w:cs="Times New Roman"/>
          <w:sz w:val="24"/>
          <w:szCs w:val="24"/>
        </w:rPr>
        <w:t>,</w:t>
      </w:r>
      <w:r w:rsidRPr="00B817E3">
        <w:rPr>
          <w:rFonts w:ascii="Times New Roman" w:eastAsia="Tahoma" w:hAnsi="Times New Roman" w:cs="Times New Roman"/>
          <w:sz w:val="24"/>
          <w:szCs w:val="24"/>
        </w:rPr>
        <w:t xml:space="preserve"> and other traditional practices, or gender-biased interpretations of experts; (c) question and/or consider the experience or </w:t>
      </w:r>
      <w:r w:rsidR="008D6F40" w:rsidRPr="00B817E3">
        <w:rPr>
          <w:rFonts w:ascii="Times New Roman" w:eastAsia="Tahoma" w:hAnsi="Times New Roman" w:cs="Times New Roman"/>
          <w:sz w:val="24"/>
          <w:szCs w:val="24"/>
        </w:rPr>
        <w:t xml:space="preserve">the sexual </w:t>
      </w:r>
      <w:r w:rsidRPr="00B817E3">
        <w:rPr>
          <w:rFonts w:ascii="Times New Roman" w:eastAsia="Tahoma" w:hAnsi="Times New Roman" w:cs="Times New Roman"/>
          <w:sz w:val="24"/>
          <w:szCs w:val="24"/>
        </w:rPr>
        <w:t xml:space="preserve">background of the victim as a basis for releasing the perpetrator or </w:t>
      </w:r>
      <w:r w:rsidR="008D6F40" w:rsidRPr="00B817E3">
        <w:rPr>
          <w:rFonts w:ascii="Times New Roman" w:eastAsia="Tahoma" w:hAnsi="Times New Roman" w:cs="Times New Roman"/>
          <w:sz w:val="24"/>
          <w:szCs w:val="24"/>
        </w:rPr>
        <w:t xml:space="preserve">reducing </w:t>
      </w:r>
      <w:r w:rsidRPr="00B817E3">
        <w:rPr>
          <w:rFonts w:ascii="Times New Roman" w:eastAsia="Tahoma" w:hAnsi="Times New Roman" w:cs="Times New Roman"/>
          <w:sz w:val="24"/>
          <w:szCs w:val="24"/>
        </w:rPr>
        <w:t xml:space="preserve">the perpetrator's </w:t>
      </w:r>
      <w:r w:rsidR="008D6F40" w:rsidRPr="00B817E3">
        <w:rPr>
          <w:rFonts w:ascii="Times New Roman" w:eastAsia="Tahoma" w:hAnsi="Times New Roman" w:cs="Times New Roman"/>
          <w:sz w:val="24"/>
          <w:szCs w:val="24"/>
        </w:rPr>
        <w:t>punishment</w:t>
      </w:r>
      <w:r w:rsidRPr="00B817E3">
        <w:rPr>
          <w:rFonts w:ascii="Times New Roman" w:eastAsia="Tahoma" w:hAnsi="Times New Roman" w:cs="Times New Roman"/>
          <w:sz w:val="24"/>
          <w:szCs w:val="24"/>
        </w:rPr>
        <w:t>; and (d) issu</w:t>
      </w:r>
      <w:r w:rsidR="008D6F40" w:rsidRPr="00B817E3">
        <w:rPr>
          <w:rFonts w:ascii="Times New Roman" w:eastAsia="Tahoma" w:hAnsi="Times New Roman" w:cs="Times New Roman"/>
          <w:sz w:val="24"/>
          <w:szCs w:val="24"/>
        </w:rPr>
        <w:t>e</w:t>
      </w:r>
      <w:r w:rsidRPr="00B817E3">
        <w:rPr>
          <w:rFonts w:ascii="Times New Roman" w:eastAsia="Tahoma" w:hAnsi="Times New Roman" w:cs="Times New Roman"/>
          <w:sz w:val="24"/>
          <w:szCs w:val="24"/>
        </w:rPr>
        <w:t xml:space="preserve"> gender-stereotyping statements or views.</w:t>
      </w:r>
    </w:p>
    <w:p w14:paraId="20CAC036" w14:textId="65E724DF" w:rsidR="00DF5D40" w:rsidRPr="00B817E3" w:rsidRDefault="00DF5D40" w:rsidP="00C93990">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lastRenderedPageBreak/>
        <w:t xml:space="preserve">Chapter 6 of the regulation states that, in adjudicating woman's cases before the law, judges must (a) consider gender equality and gender stereotypes in statutory regulations and unwritten laws, (b) interpret statutory regulations and/or unwritten laws that can guarantee gender equality, (c) explore legal values, local wisdom, and </w:t>
      </w:r>
      <w:r w:rsidR="008D6F40" w:rsidRPr="00B817E3">
        <w:rPr>
          <w:rFonts w:ascii="Times New Roman" w:eastAsia="Tahoma" w:hAnsi="Times New Roman" w:cs="Times New Roman"/>
          <w:sz w:val="24"/>
          <w:szCs w:val="24"/>
        </w:rPr>
        <w:t xml:space="preserve">justice </w:t>
      </w:r>
      <w:r w:rsidRPr="00B817E3">
        <w:rPr>
          <w:rFonts w:ascii="Times New Roman" w:eastAsia="Tahoma" w:hAnsi="Times New Roman" w:cs="Times New Roman"/>
          <w:sz w:val="24"/>
          <w:szCs w:val="24"/>
        </w:rPr>
        <w:t xml:space="preserve">values that </w:t>
      </w:r>
      <w:r w:rsidR="008D6F40" w:rsidRPr="00B817E3">
        <w:rPr>
          <w:rFonts w:ascii="Times New Roman" w:eastAsia="Tahoma" w:hAnsi="Times New Roman" w:cs="Times New Roman"/>
          <w:sz w:val="24"/>
          <w:szCs w:val="24"/>
        </w:rPr>
        <w:t xml:space="preserve">exist </w:t>
      </w:r>
      <w:r w:rsidRPr="00B817E3">
        <w:rPr>
          <w:rFonts w:ascii="Times New Roman" w:eastAsia="Tahoma" w:hAnsi="Times New Roman" w:cs="Times New Roman"/>
          <w:sz w:val="24"/>
          <w:szCs w:val="24"/>
        </w:rPr>
        <w:t xml:space="preserve">in </w:t>
      </w:r>
      <w:r w:rsidR="008D6F40" w:rsidRPr="00B817E3">
        <w:rPr>
          <w:rFonts w:ascii="Times New Roman" w:eastAsia="Tahoma" w:hAnsi="Times New Roman" w:cs="Times New Roman"/>
          <w:sz w:val="24"/>
          <w:szCs w:val="24"/>
        </w:rPr>
        <w:t xml:space="preserve">the </w:t>
      </w:r>
      <w:r w:rsidRPr="00B817E3">
        <w:rPr>
          <w:rFonts w:ascii="Times New Roman" w:eastAsia="Tahoma" w:hAnsi="Times New Roman" w:cs="Times New Roman"/>
          <w:sz w:val="24"/>
          <w:szCs w:val="24"/>
        </w:rPr>
        <w:t>society to guarantee gender equality, provide equal and non-discriminative protection, and (d) consider the application of ratified conventions and international agreements on gender equality. Chapter 7 states that, during the court investigation, judge</w:t>
      </w:r>
      <w:r w:rsidR="008D6F40" w:rsidRPr="00B817E3">
        <w:rPr>
          <w:rFonts w:ascii="Times New Roman" w:eastAsia="Tahoma" w:hAnsi="Times New Roman" w:cs="Times New Roman"/>
          <w:sz w:val="24"/>
          <w:szCs w:val="24"/>
        </w:rPr>
        <w:t>s</w:t>
      </w:r>
      <w:r w:rsidRPr="00B817E3">
        <w:rPr>
          <w:rFonts w:ascii="Times New Roman" w:eastAsia="Tahoma" w:hAnsi="Times New Roman" w:cs="Times New Roman"/>
          <w:sz w:val="24"/>
          <w:szCs w:val="24"/>
        </w:rPr>
        <w:t xml:space="preserve"> must prevent the parties, legal advisers, public prosecutors, and/or attorneys from behaving or making statements that demean, blame, and intimidate women having cases before the law and/or </w:t>
      </w:r>
      <w:r w:rsidR="008D6F40" w:rsidRPr="00B817E3">
        <w:rPr>
          <w:rFonts w:ascii="Times New Roman" w:eastAsia="Tahoma" w:hAnsi="Times New Roman" w:cs="Times New Roman"/>
          <w:sz w:val="24"/>
          <w:szCs w:val="24"/>
        </w:rPr>
        <w:t>exploit</w:t>
      </w:r>
      <w:r w:rsidRPr="00B817E3">
        <w:rPr>
          <w:rFonts w:ascii="Times New Roman" w:eastAsia="Tahoma" w:hAnsi="Times New Roman" w:cs="Times New Roman"/>
          <w:sz w:val="24"/>
          <w:szCs w:val="24"/>
        </w:rPr>
        <w:t xml:space="preserve"> their sexual experience or background.</w:t>
      </w:r>
    </w:p>
    <w:p w14:paraId="591F7B09" w14:textId="6E7ACAA6" w:rsidR="00DF5D40" w:rsidRPr="00B817E3" w:rsidRDefault="00DF5D40" w:rsidP="00C93990">
      <w:pPr>
        <w:spacing w:after="0" w:line="360" w:lineRule="auto"/>
        <w:ind w:firstLine="720"/>
        <w:jc w:val="both"/>
        <w:rPr>
          <w:rFonts w:ascii="Times New Roman" w:eastAsia="Tahoma" w:hAnsi="Times New Roman" w:cs="Times New Roman"/>
          <w:sz w:val="24"/>
          <w:szCs w:val="24"/>
        </w:rPr>
      </w:pPr>
      <w:r w:rsidRPr="00B817E3">
        <w:rPr>
          <w:rFonts w:ascii="Times New Roman" w:eastAsia="Tahoma" w:hAnsi="Times New Roman" w:cs="Times New Roman"/>
          <w:sz w:val="24"/>
          <w:szCs w:val="24"/>
        </w:rPr>
        <w:t xml:space="preserve">Efforts of </w:t>
      </w:r>
      <w:r w:rsidR="008D6F40" w:rsidRPr="00B817E3">
        <w:rPr>
          <w:rFonts w:ascii="Times New Roman" w:eastAsia="Tahoma" w:hAnsi="Times New Roman" w:cs="Times New Roman"/>
          <w:sz w:val="24"/>
          <w:szCs w:val="24"/>
        </w:rPr>
        <w:t xml:space="preserve">restoring the victim’s condition </w:t>
      </w:r>
      <w:r w:rsidRPr="00B817E3">
        <w:rPr>
          <w:rFonts w:ascii="Times New Roman" w:eastAsia="Tahoma" w:hAnsi="Times New Roman" w:cs="Times New Roman"/>
          <w:sz w:val="24"/>
          <w:szCs w:val="24"/>
        </w:rPr>
        <w:t xml:space="preserve">to </w:t>
      </w:r>
      <w:r w:rsidR="008D6F40" w:rsidRPr="00B817E3">
        <w:rPr>
          <w:rFonts w:ascii="Times New Roman" w:eastAsia="Tahoma" w:hAnsi="Times New Roman" w:cs="Times New Roman"/>
          <w:sz w:val="24"/>
          <w:szCs w:val="24"/>
        </w:rPr>
        <w:t xml:space="preserve">its </w:t>
      </w:r>
      <w:r w:rsidRPr="00B817E3">
        <w:rPr>
          <w:rFonts w:ascii="Times New Roman" w:eastAsia="Tahoma" w:hAnsi="Times New Roman" w:cs="Times New Roman"/>
          <w:sz w:val="24"/>
          <w:szCs w:val="24"/>
        </w:rPr>
        <w:t>original state are contained in Chapter 8 article 1</w:t>
      </w:r>
      <w:r w:rsidR="008D6F40" w:rsidRPr="00B817E3">
        <w:rPr>
          <w:rFonts w:ascii="Times New Roman" w:eastAsia="Tahoma" w:hAnsi="Times New Roman" w:cs="Times New Roman"/>
          <w:sz w:val="24"/>
          <w:szCs w:val="24"/>
        </w:rPr>
        <w:t>.</w:t>
      </w:r>
      <w:r w:rsidRPr="00B817E3">
        <w:rPr>
          <w:rFonts w:ascii="Times New Roman" w:eastAsia="Tahoma" w:hAnsi="Times New Roman" w:cs="Times New Roman"/>
          <w:sz w:val="24"/>
          <w:szCs w:val="24"/>
        </w:rPr>
        <w:t xml:space="preserve"> </w:t>
      </w:r>
      <w:r w:rsidR="008D6F40" w:rsidRPr="00B817E3">
        <w:rPr>
          <w:rFonts w:ascii="Times New Roman" w:eastAsia="Tahoma" w:hAnsi="Times New Roman" w:cs="Times New Roman"/>
          <w:sz w:val="24"/>
          <w:szCs w:val="24"/>
        </w:rPr>
        <w:t xml:space="preserve">At this point </w:t>
      </w:r>
      <w:r w:rsidRPr="00B817E3">
        <w:rPr>
          <w:rFonts w:ascii="Times New Roman" w:eastAsia="Tahoma" w:hAnsi="Times New Roman" w:cs="Times New Roman"/>
          <w:sz w:val="24"/>
          <w:szCs w:val="24"/>
        </w:rPr>
        <w:t>judge</w:t>
      </w:r>
      <w:r w:rsidR="008D6F40" w:rsidRPr="00B817E3">
        <w:rPr>
          <w:rFonts w:ascii="Times New Roman" w:eastAsia="Tahoma" w:hAnsi="Times New Roman" w:cs="Times New Roman"/>
          <w:sz w:val="24"/>
          <w:szCs w:val="24"/>
        </w:rPr>
        <w:t>s</w:t>
      </w:r>
      <w:r w:rsidRPr="00B817E3">
        <w:rPr>
          <w:rFonts w:ascii="Times New Roman" w:eastAsia="Tahoma" w:hAnsi="Times New Roman" w:cs="Times New Roman"/>
          <w:sz w:val="24"/>
          <w:szCs w:val="24"/>
        </w:rPr>
        <w:t xml:space="preserve"> must ask </w:t>
      </w:r>
      <w:r w:rsidR="008D6F40" w:rsidRPr="00B817E3">
        <w:rPr>
          <w:rFonts w:ascii="Times New Roman" w:eastAsia="Tahoma" w:hAnsi="Times New Roman" w:cs="Times New Roman"/>
          <w:sz w:val="24"/>
          <w:szCs w:val="24"/>
        </w:rPr>
        <w:t xml:space="preserve">the </w:t>
      </w:r>
      <w:r w:rsidRPr="00B817E3">
        <w:rPr>
          <w:rFonts w:ascii="Times New Roman" w:eastAsia="Tahoma" w:hAnsi="Times New Roman" w:cs="Times New Roman"/>
          <w:sz w:val="24"/>
          <w:szCs w:val="24"/>
        </w:rPr>
        <w:t xml:space="preserve">women as victims of crimes about </w:t>
      </w:r>
      <w:r w:rsidR="008D6F40" w:rsidRPr="00B817E3">
        <w:rPr>
          <w:rFonts w:ascii="Times New Roman" w:eastAsia="Tahoma" w:hAnsi="Times New Roman" w:cs="Times New Roman"/>
          <w:sz w:val="24"/>
          <w:szCs w:val="24"/>
        </w:rPr>
        <w:t xml:space="preserve">their </w:t>
      </w:r>
      <w:r w:rsidRPr="00B817E3">
        <w:rPr>
          <w:rFonts w:ascii="Times New Roman" w:eastAsia="Tahoma" w:hAnsi="Times New Roman" w:cs="Times New Roman"/>
          <w:sz w:val="24"/>
          <w:szCs w:val="24"/>
        </w:rPr>
        <w:t xml:space="preserve">losses and the impact of </w:t>
      </w:r>
      <w:r w:rsidR="008D6F40" w:rsidRPr="00B817E3">
        <w:rPr>
          <w:rFonts w:ascii="Times New Roman" w:eastAsia="Tahoma" w:hAnsi="Times New Roman" w:cs="Times New Roman"/>
          <w:sz w:val="24"/>
          <w:szCs w:val="24"/>
        </w:rPr>
        <w:t xml:space="preserve">the </w:t>
      </w:r>
      <w:r w:rsidRPr="00B817E3">
        <w:rPr>
          <w:rFonts w:ascii="Times New Roman" w:eastAsia="Tahoma" w:hAnsi="Times New Roman" w:cs="Times New Roman"/>
          <w:sz w:val="24"/>
          <w:szCs w:val="24"/>
        </w:rPr>
        <w:t xml:space="preserve">crimes on them and </w:t>
      </w:r>
      <w:r w:rsidR="0045410C" w:rsidRPr="00B817E3">
        <w:rPr>
          <w:rFonts w:ascii="Times New Roman" w:eastAsia="Tahoma" w:hAnsi="Times New Roman" w:cs="Times New Roman"/>
          <w:sz w:val="24"/>
          <w:szCs w:val="24"/>
        </w:rPr>
        <w:t xml:space="preserve">about </w:t>
      </w:r>
      <w:r w:rsidRPr="00B817E3">
        <w:rPr>
          <w:rFonts w:ascii="Times New Roman" w:eastAsia="Tahoma" w:hAnsi="Times New Roman" w:cs="Times New Roman"/>
          <w:sz w:val="24"/>
          <w:szCs w:val="24"/>
        </w:rPr>
        <w:t xml:space="preserve">anything needed for </w:t>
      </w:r>
      <w:r w:rsidR="0045410C" w:rsidRPr="00B817E3">
        <w:rPr>
          <w:rFonts w:ascii="Times New Roman" w:eastAsia="Tahoma" w:hAnsi="Times New Roman" w:cs="Times New Roman"/>
          <w:sz w:val="24"/>
          <w:szCs w:val="24"/>
        </w:rPr>
        <w:t xml:space="preserve">their </w:t>
      </w:r>
      <w:r w:rsidRPr="00B817E3">
        <w:rPr>
          <w:rFonts w:ascii="Times New Roman" w:eastAsia="Tahoma" w:hAnsi="Times New Roman" w:cs="Times New Roman"/>
          <w:sz w:val="24"/>
          <w:szCs w:val="24"/>
        </w:rPr>
        <w:t>recovery. Article 3 states that, in terms of restoring the victim</w:t>
      </w:r>
      <w:r w:rsidR="0045410C" w:rsidRPr="00B817E3">
        <w:rPr>
          <w:rFonts w:ascii="Times New Roman" w:eastAsia="Tahoma" w:hAnsi="Times New Roman" w:cs="Times New Roman"/>
          <w:sz w:val="24"/>
          <w:szCs w:val="24"/>
        </w:rPr>
        <w:t>’s</w:t>
      </w:r>
      <w:r w:rsidRPr="00B817E3">
        <w:rPr>
          <w:rFonts w:ascii="Times New Roman" w:eastAsia="Tahoma" w:hAnsi="Times New Roman" w:cs="Times New Roman"/>
          <w:sz w:val="24"/>
          <w:szCs w:val="24"/>
        </w:rPr>
        <w:t xml:space="preserve"> or </w:t>
      </w:r>
      <w:r w:rsidR="0045410C" w:rsidRPr="00B817E3">
        <w:rPr>
          <w:rFonts w:ascii="Times New Roman" w:eastAsia="Tahoma" w:hAnsi="Times New Roman" w:cs="Times New Roman"/>
          <w:sz w:val="24"/>
          <w:szCs w:val="24"/>
        </w:rPr>
        <w:t xml:space="preserve">harmed </w:t>
      </w:r>
      <w:r w:rsidRPr="00B817E3">
        <w:rPr>
          <w:rFonts w:ascii="Times New Roman" w:eastAsia="Tahoma" w:hAnsi="Times New Roman" w:cs="Times New Roman"/>
          <w:sz w:val="24"/>
          <w:szCs w:val="24"/>
        </w:rPr>
        <w:t>party</w:t>
      </w:r>
      <w:r w:rsidR="0045410C" w:rsidRPr="00B817E3">
        <w:rPr>
          <w:rFonts w:ascii="Times New Roman" w:eastAsia="Tahoma" w:hAnsi="Times New Roman" w:cs="Times New Roman"/>
          <w:sz w:val="24"/>
          <w:szCs w:val="24"/>
        </w:rPr>
        <w:t>’s condition</w:t>
      </w:r>
      <w:r w:rsidRPr="00B817E3">
        <w:rPr>
          <w:rFonts w:ascii="Times New Roman" w:eastAsia="Tahoma" w:hAnsi="Times New Roman" w:cs="Times New Roman"/>
          <w:sz w:val="24"/>
          <w:szCs w:val="24"/>
        </w:rPr>
        <w:t>, judge</w:t>
      </w:r>
      <w:r w:rsidR="0045410C" w:rsidRPr="00B817E3">
        <w:rPr>
          <w:rFonts w:ascii="Times New Roman" w:eastAsia="Tahoma" w:hAnsi="Times New Roman" w:cs="Times New Roman"/>
          <w:sz w:val="24"/>
          <w:szCs w:val="24"/>
        </w:rPr>
        <w:t>s</w:t>
      </w:r>
      <w:r w:rsidRPr="00B817E3">
        <w:rPr>
          <w:rFonts w:ascii="Times New Roman" w:eastAsia="Tahoma" w:hAnsi="Times New Roman" w:cs="Times New Roman"/>
          <w:sz w:val="24"/>
          <w:szCs w:val="24"/>
        </w:rPr>
        <w:t xml:space="preserve"> must (a) be consistent with the principles and standards for human rights, (b) be free from gender-stereotyping views, and (c) consider the situation and interests of the victims </w:t>
      </w:r>
      <w:r w:rsidR="0045410C" w:rsidRPr="00B817E3">
        <w:rPr>
          <w:rFonts w:ascii="Times New Roman" w:eastAsia="Tahoma" w:hAnsi="Times New Roman" w:cs="Times New Roman"/>
          <w:sz w:val="24"/>
          <w:szCs w:val="24"/>
        </w:rPr>
        <w:t>from the</w:t>
      </w:r>
      <w:r w:rsidRPr="00B817E3">
        <w:rPr>
          <w:rFonts w:ascii="Times New Roman" w:eastAsia="Tahoma" w:hAnsi="Times New Roman" w:cs="Times New Roman"/>
          <w:sz w:val="24"/>
          <w:szCs w:val="24"/>
        </w:rPr>
        <w:t xml:space="preserve"> disproportionate </w:t>
      </w:r>
      <w:r w:rsidR="0045410C" w:rsidRPr="00B817E3">
        <w:rPr>
          <w:rFonts w:ascii="Times New Roman" w:eastAsia="Tahoma" w:hAnsi="Times New Roman" w:cs="Times New Roman"/>
          <w:sz w:val="24"/>
          <w:szCs w:val="24"/>
        </w:rPr>
        <w:t xml:space="preserve">losses </w:t>
      </w:r>
      <w:r w:rsidRPr="00B817E3">
        <w:rPr>
          <w:rFonts w:ascii="Times New Roman" w:eastAsia="Tahoma" w:hAnsi="Times New Roman" w:cs="Times New Roman"/>
          <w:sz w:val="24"/>
          <w:szCs w:val="24"/>
        </w:rPr>
        <w:t>due to gender inequality.</w:t>
      </w:r>
    </w:p>
    <w:p w14:paraId="70AC09E9" w14:textId="00C0D1AA" w:rsidR="004E7A11" w:rsidRPr="00B817E3" w:rsidRDefault="00DF5D40" w:rsidP="0045410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Chapter 9 explains about the escorts for women having cases before the law. </w:t>
      </w:r>
      <w:r w:rsidR="0045410C" w:rsidRPr="00B817E3">
        <w:rPr>
          <w:rFonts w:ascii="Times New Roman" w:hAnsi="Times New Roman" w:cs="Times New Roman"/>
          <w:sz w:val="24"/>
          <w:szCs w:val="24"/>
        </w:rPr>
        <w:t xml:space="preserve">It is </w:t>
      </w:r>
      <w:r w:rsidRPr="00B817E3">
        <w:rPr>
          <w:rFonts w:ascii="Times New Roman" w:hAnsi="Times New Roman" w:cs="Times New Roman"/>
          <w:sz w:val="24"/>
          <w:szCs w:val="24"/>
        </w:rPr>
        <w:t xml:space="preserve">stated that, if the women who are having cases before the law have physical and psychological </w:t>
      </w:r>
      <w:r w:rsidR="0045410C" w:rsidRPr="00B817E3">
        <w:rPr>
          <w:rFonts w:ascii="Times New Roman" w:hAnsi="Times New Roman" w:cs="Times New Roman"/>
          <w:sz w:val="24"/>
          <w:szCs w:val="24"/>
        </w:rPr>
        <w:t>difficulties</w:t>
      </w:r>
      <w:r w:rsidRPr="00B817E3">
        <w:rPr>
          <w:rFonts w:ascii="Times New Roman" w:hAnsi="Times New Roman" w:cs="Times New Roman"/>
          <w:sz w:val="24"/>
          <w:szCs w:val="24"/>
        </w:rPr>
        <w:t xml:space="preserve"> so that they need accompaniment, (a) judge</w:t>
      </w:r>
      <w:r w:rsidR="0045410C" w:rsidRPr="00B817E3">
        <w:rPr>
          <w:rFonts w:ascii="Times New Roman" w:hAnsi="Times New Roman" w:cs="Times New Roman"/>
          <w:sz w:val="24"/>
          <w:szCs w:val="24"/>
        </w:rPr>
        <w:t>s</w:t>
      </w:r>
      <w:r w:rsidRPr="00B817E3">
        <w:rPr>
          <w:rFonts w:ascii="Times New Roman" w:hAnsi="Times New Roman" w:cs="Times New Roman"/>
          <w:sz w:val="24"/>
          <w:szCs w:val="24"/>
        </w:rPr>
        <w:t xml:space="preserve"> can </w:t>
      </w:r>
      <w:r w:rsidR="0045410C" w:rsidRPr="00B817E3">
        <w:rPr>
          <w:rFonts w:ascii="Times New Roman" w:hAnsi="Times New Roman" w:cs="Times New Roman"/>
          <w:sz w:val="24"/>
          <w:szCs w:val="24"/>
        </w:rPr>
        <w:t xml:space="preserve">advise </w:t>
      </w:r>
      <w:r w:rsidRPr="00B817E3">
        <w:rPr>
          <w:rFonts w:ascii="Times New Roman" w:hAnsi="Times New Roman" w:cs="Times New Roman"/>
          <w:sz w:val="24"/>
          <w:szCs w:val="24"/>
        </w:rPr>
        <w:t xml:space="preserve">the women to have an escort, and (b) </w:t>
      </w:r>
      <w:r w:rsidR="0045410C" w:rsidRPr="00B817E3">
        <w:rPr>
          <w:rFonts w:ascii="Times New Roman" w:hAnsi="Times New Roman" w:cs="Times New Roman"/>
          <w:sz w:val="24"/>
          <w:szCs w:val="24"/>
        </w:rPr>
        <w:t xml:space="preserve">they should </w:t>
      </w:r>
      <w:r w:rsidRPr="00B817E3">
        <w:rPr>
          <w:rFonts w:ascii="Times New Roman" w:hAnsi="Times New Roman" w:cs="Times New Roman"/>
          <w:sz w:val="24"/>
          <w:szCs w:val="24"/>
        </w:rPr>
        <w:t>grant the</w:t>
      </w:r>
      <w:r w:rsidR="0045410C" w:rsidRPr="00B817E3">
        <w:rPr>
          <w:rFonts w:ascii="Times New Roman" w:hAnsi="Times New Roman" w:cs="Times New Roman"/>
          <w:sz w:val="24"/>
          <w:szCs w:val="24"/>
        </w:rPr>
        <w:t>ir</w:t>
      </w:r>
      <w:r w:rsidRPr="00B817E3">
        <w:rPr>
          <w:rFonts w:ascii="Times New Roman" w:hAnsi="Times New Roman" w:cs="Times New Roman"/>
          <w:sz w:val="24"/>
          <w:szCs w:val="24"/>
        </w:rPr>
        <w:t xml:space="preserve"> request of hav</w:t>
      </w:r>
      <w:r w:rsidR="0045410C" w:rsidRPr="00B817E3">
        <w:rPr>
          <w:rFonts w:ascii="Times New Roman" w:hAnsi="Times New Roman" w:cs="Times New Roman"/>
          <w:sz w:val="24"/>
          <w:szCs w:val="24"/>
        </w:rPr>
        <w:t>ing</w:t>
      </w:r>
      <w:r w:rsidRPr="00B817E3">
        <w:rPr>
          <w:rFonts w:ascii="Times New Roman" w:hAnsi="Times New Roman" w:cs="Times New Roman"/>
          <w:sz w:val="24"/>
          <w:szCs w:val="24"/>
        </w:rPr>
        <w:t xml:space="preserve"> an escort. Chapter 10 states that a judge, on his own initiative and/or </w:t>
      </w:r>
      <w:r w:rsidR="0045410C" w:rsidRPr="00B817E3">
        <w:rPr>
          <w:rFonts w:ascii="Times New Roman" w:hAnsi="Times New Roman" w:cs="Times New Roman"/>
          <w:sz w:val="24"/>
          <w:szCs w:val="24"/>
        </w:rPr>
        <w:t>by</w:t>
      </w:r>
      <w:r w:rsidRPr="00B817E3">
        <w:rPr>
          <w:rFonts w:ascii="Times New Roman" w:hAnsi="Times New Roman" w:cs="Times New Roman"/>
          <w:sz w:val="24"/>
          <w:szCs w:val="24"/>
        </w:rPr>
        <w:t xml:space="preserve"> the request of the parties, the public prosecutor, legal advisers and/or the victim, can order the court to have the statement of the women who are having cases before the law to be heard through remote audio visual communication if (a)</w:t>
      </w:r>
      <w:r w:rsidR="0045410C" w:rsidRPr="00B817E3">
        <w:rPr>
          <w:rFonts w:ascii="Times New Roman" w:hAnsi="Times New Roman" w:cs="Times New Roman"/>
          <w:sz w:val="24"/>
          <w:szCs w:val="24"/>
        </w:rPr>
        <w:t>, based on the assessment of a doctor or psychologist,</w:t>
      </w:r>
      <w:r w:rsidRPr="00B817E3">
        <w:rPr>
          <w:rFonts w:ascii="Times New Roman" w:hAnsi="Times New Roman" w:cs="Times New Roman"/>
          <w:sz w:val="24"/>
          <w:szCs w:val="24"/>
        </w:rPr>
        <w:t xml:space="preserve"> the mental or </w:t>
      </w:r>
      <w:r w:rsidR="0045410C" w:rsidRPr="00B817E3">
        <w:rPr>
          <w:rFonts w:ascii="Times New Roman" w:hAnsi="Times New Roman" w:cs="Times New Roman"/>
          <w:sz w:val="24"/>
          <w:szCs w:val="24"/>
        </w:rPr>
        <w:t xml:space="preserve">psychological </w:t>
      </w:r>
      <w:r w:rsidRPr="00B817E3">
        <w:rPr>
          <w:rFonts w:ascii="Times New Roman" w:hAnsi="Times New Roman" w:cs="Times New Roman"/>
          <w:sz w:val="24"/>
          <w:szCs w:val="24"/>
        </w:rPr>
        <w:t xml:space="preserve">condition of the woman is low due to fear or trauma, (b) based on </w:t>
      </w:r>
      <w:r w:rsidR="0045410C" w:rsidRPr="00B817E3">
        <w:rPr>
          <w:rFonts w:ascii="Times New Roman" w:hAnsi="Times New Roman" w:cs="Times New Roman"/>
          <w:sz w:val="24"/>
          <w:szCs w:val="24"/>
        </w:rPr>
        <w:t>his</w:t>
      </w:r>
      <w:r w:rsidRPr="00B817E3">
        <w:rPr>
          <w:rFonts w:ascii="Times New Roman" w:hAnsi="Times New Roman" w:cs="Times New Roman"/>
          <w:sz w:val="24"/>
          <w:szCs w:val="24"/>
        </w:rPr>
        <w:t xml:space="preserve"> assessment, the safety of the women </w:t>
      </w:r>
      <w:r w:rsidR="0045410C" w:rsidRPr="00B817E3">
        <w:rPr>
          <w:rFonts w:ascii="Times New Roman" w:hAnsi="Times New Roman" w:cs="Times New Roman"/>
          <w:sz w:val="24"/>
          <w:szCs w:val="24"/>
        </w:rPr>
        <w:t xml:space="preserve">is at a risk </w:t>
      </w:r>
      <w:r w:rsidRPr="00B817E3">
        <w:rPr>
          <w:rFonts w:ascii="Times New Roman" w:hAnsi="Times New Roman" w:cs="Times New Roman"/>
          <w:sz w:val="24"/>
          <w:szCs w:val="24"/>
        </w:rPr>
        <w:t xml:space="preserve">if </w:t>
      </w:r>
      <w:r w:rsidR="0045410C" w:rsidRPr="00B817E3">
        <w:rPr>
          <w:rFonts w:ascii="Times New Roman" w:hAnsi="Times New Roman" w:cs="Times New Roman"/>
          <w:sz w:val="24"/>
          <w:szCs w:val="24"/>
        </w:rPr>
        <w:t xml:space="preserve">they are </w:t>
      </w:r>
      <w:r w:rsidRPr="00B817E3">
        <w:rPr>
          <w:rFonts w:ascii="Times New Roman" w:hAnsi="Times New Roman" w:cs="Times New Roman"/>
          <w:sz w:val="24"/>
          <w:szCs w:val="24"/>
        </w:rPr>
        <w:t>out in public or in the open, or (c)</w:t>
      </w:r>
      <w:r w:rsidR="0045410C" w:rsidRPr="00B817E3">
        <w:rPr>
          <w:rFonts w:ascii="Times New Roman" w:hAnsi="Times New Roman" w:cs="Times New Roman"/>
          <w:sz w:val="24"/>
          <w:szCs w:val="24"/>
        </w:rPr>
        <w:t>,</w:t>
      </w:r>
      <w:r w:rsidRPr="00B817E3">
        <w:rPr>
          <w:rFonts w:ascii="Times New Roman" w:hAnsi="Times New Roman" w:cs="Times New Roman"/>
          <w:sz w:val="24"/>
          <w:szCs w:val="24"/>
        </w:rPr>
        <w:t xml:space="preserve"> based on the decision of the Witness and Victim Protection Agency, the women are declared to be under the protection program and/or, according to the assessment of the </w:t>
      </w:r>
      <w:r w:rsidR="00992793" w:rsidRPr="00B817E3">
        <w:rPr>
          <w:rFonts w:ascii="Times New Roman" w:hAnsi="Times New Roman" w:cs="Times New Roman"/>
          <w:sz w:val="24"/>
          <w:szCs w:val="24"/>
        </w:rPr>
        <w:t>Witness and Victim Protection Agency</w:t>
      </w:r>
      <w:r w:rsidRPr="00B817E3">
        <w:rPr>
          <w:rFonts w:ascii="Times New Roman" w:hAnsi="Times New Roman" w:cs="Times New Roman"/>
          <w:sz w:val="24"/>
          <w:szCs w:val="24"/>
        </w:rPr>
        <w:t xml:space="preserve">, they cannot be presented in trials </w:t>
      </w:r>
      <w:r w:rsidR="0045410C" w:rsidRPr="00B817E3">
        <w:rPr>
          <w:rFonts w:ascii="Times New Roman" w:hAnsi="Times New Roman" w:cs="Times New Roman"/>
          <w:sz w:val="24"/>
          <w:szCs w:val="24"/>
        </w:rPr>
        <w:t xml:space="preserve">due to either </w:t>
      </w:r>
      <w:r w:rsidRPr="00B817E3">
        <w:rPr>
          <w:rFonts w:ascii="Times New Roman" w:hAnsi="Times New Roman" w:cs="Times New Roman"/>
          <w:sz w:val="24"/>
          <w:szCs w:val="24"/>
        </w:rPr>
        <w:t xml:space="preserve">security reasons </w:t>
      </w:r>
      <w:r w:rsidR="0045410C" w:rsidRPr="00B817E3">
        <w:rPr>
          <w:rFonts w:ascii="Times New Roman" w:hAnsi="Times New Roman" w:cs="Times New Roman"/>
          <w:sz w:val="24"/>
          <w:szCs w:val="24"/>
        </w:rPr>
        <w:t xml:space="preserve">or </w:t>
      </w:r>
      <w:r w:rsidRPr="00B817E3">
        <w:rPr>
          <w:rFonts w:ascii="Times New Roman" w:hAnsi="Times New Roman" w:cs="Times New Roman"/>
          <w:sz w:val="24"/>
          <w:szCs w:val="24"/>
        </w:rPr>
        <w:t xml:space="preserve">physical and psychological </w:t>
      </w:r>
      <w:r w:rsidR="004E7A11" w:rsidRPr="00B817E3">
        <w:rPr>
          <w:rFonts w:ascii="Times New Roman" w:hAnsi="Times New Roman" w:cs="Times New Roman"/>
          <w:sz w:val="24"/>
          <w:szCs w:val="24"/>
        </w:rPr>
        <w:t>hindrance</w:t>
      </w:r>
      <w:r w:rsidRPr="00B817E3">
        <w:rPr>
          <w:rFonts w:ascii="Times New Roman" w:hAnsi="Times New Roman" w:cs="Times New Roman"/>
          <w:sz w:val="24"/>
          <w:szCs w:val="24"/>
        </w:rPr>
        <w:t>.</w:t>
      </w:r>
      <w:r w:rsidR="004E7A11" w:rsidRPr="00B817E3">
        <w:rPr>
          <w:vertAlign w:val="superscript"/>
        </w:rPr>
        <w:t xml:space="preserve"> </w:t>
      </w:r>
      <w:r w:rsidR="004E7A11" w:rsidRPr="00B817E3">
        <w:rPr>
          <w:rFonts w:ascii="Times New Roman" w:hAnsi="Times New Roman" w:cs="Times New Roman"/>
          <w:sz w:val="24"/>
          <w:szCs w:val="24"/>
          <w:vertAlign w:val="superscript"/>
        </w:rPr>
        <w:footnoteReference w:id="19"/>
      </w:r>
      <w:r w:rsidR="004E7A11" w:rsidRPr="00B817E3">
        <w:rPr>
          <w:rFonts w:ascii="Times New Roman" w:hAnsi="Times New Roman" w:cs="Times New Roman"/>
          <w:sz w:val="24"/>
          <w:szCs w:val="24"/>
        </w:rPr>
        <w:t xml:space="preserve"> </w:t>
      </w:r>
    </w:p>
    <w:p w14:paraId="38A853A6" w14:textId="08344DE0" w:rsidR="00DF5D40" w:rsidRPr="00B817E3" w:rsidRDefault="00DF5D40" w:rsidP="0045410C">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lastRenderedPageBreak/>
        <w:t>Regarding the accompaniment of women who are having cases before the law, the judge must ask the women whether they</w:t>
      </w:r>
      <w:r w:rsidR="0045410C" w:rsidRPr="00B817E3">
        <w:rPr>
          <w:rFonts w:ascii="Times New Roman" w:hAnsi="Times New Roman" w:cs="Times New Roman"/>
          <w:sz w:val="24"/>
          <w:szCs w:val="24"/>
        </w:rPr>
        <w:t xml:space="preserve"> would</w:t>
      </w:r>
      <w:r w:rsidRPr="00B817E3">
        <w:rPr>
          <w:rFonts w:ascii="Times New Roman" w:hAnsi="Times New Roman" w:cs="Times New Roman"/>
          <w:sz w:val="24"/>
          <w:szCs w:val="24"/>
        </w:rPr>
        <w:t xml:space="preserve"> come to the court by themselves or </w:t>
      </w:r>
      <w:r w:rsidR="0045410C" w:rsidRPr="00B817E3">
        <w:rPr>
          <w:rFonts w:ascii="Times New Roman" w:hAnsi="Times New Roman" w:cs="Times New Roman"/>
          <w:sz w:val="24"/>
          <w:szCs w:val="24"/>
        </w:rPr>
        <w:t xml:space="preserve">accompanied by their </w:t>
      </w:r>
      <w:r w:rsidRPr="00B817E3">
        <w:rPr>
          <w:rFonts w:ascii="Times New Roman" w:hAnsi="Times New Roman" w:cs="Times New Roman"/>
          <w:sz w:val="24"/>
          <w:szCs w:val="24"/>
        </w:rPr>
        <w:t xml:space="preserve">legal </w:t>
      </w:r>
      <w:r w:rsidR="00414C3D" w:rsidRPr="00B817E3">
        <w:rPr>
          <w:rFonts w:ascii="Times New Roman" w:hAnsi="Times New Roman" w:cs="Times New Roman"/>
          <w:sz w:val="24"/>
          <w:szCs w:val="24"/>
        </w:rPr>
        <w:t>advisors</w:t>
      </w:r>
      <w:r w:rsidRPr="00B817E3">
        <w:rPr>
          <w:rFonts w:ascii="Times New Roman" w:hAnsi="Times New Roman" w:cs="Times New Roman"/>
          <w:sz w:val="24"/>
          <w:szCs w:val="24"/>
        </w:rPr>
        <w:t xml:space="preserve">. According to one of the female judges, Erica Mardeleni, accompaniments </w:t>
      </w:r>
      <w:r w:rsidR="0045410C" w:rsidRPr="00B817E3">
        <w:rPr>
          <w:rFonts w:ascii="Times New Roman" w:hAnsi="Times New Roman" w:cs="Times New Roman"/>
          <w:sz w:val="24"/>
          <w:szCs w:val="24"/>
        </w:rPr>
        <w:t xml:space="preserve">are more common to be </w:t>
      </w:r>
      <w:r w:rsidRPr="00B817E3">
        <w:rPr>
          <w:rFonts w:ascii="Times New Roman" w:hAnsi="Times New Roman" w:cs="Times New Roman"/>
          <w:sz w:val="24"/>
          <w:szCs w:val="24"/>
        </w:rPr>
        <w:t xml:space="preserve">given by the Women's Empowerment and Child Protection Service where the female witnesses or victims of a crime (especially </w:t>
      </w:r>
      <w:r w:rsidR="0045410C" w:rsidRPr="00B817E3">
        <w:rPr>
          <w:rFonts w:ascii="Times New Roman" w:hAnsi="Times New Roman" w:cs="Times New Roman"/>
          <w:sz w:val="24"/>
          <w:szCs w:val="24"/>
        </w:rPr>
        <w:t xml:space="preserve">the </w:t>
      </w:r>
      <w:r w:rsidRPr="00B817E3">
        <w:rPr>
          <w:rFonts w:ascii="Times New Roman" w:hAnsi="Times New Roman" w:cs="Times New Roman"/>
          <w:sz w:val="24"/>
          <w:szCs w:val="24"/>
        </w:rPr>
        <w:t xml:space="preserve">crimes against morality, obscenity, and crimes that may threaten their children) live. For women </w:t>
      </w:r>
      <w:r w:rsidR="0045410C" w:rsidRPr="00B817E3">
        <w:rPr>
          <w:rFonts w:ascii="Times New Roman" w:hAnsi="Times New Roman" w:cs="Times New Roman"/>
          <w:sz w:val="24"/>
          <w:szCs w:val="24"/>
        </w:rPr>
        <w:t>who violate the law</w:t>
      </w:r>
      <w:r w:rsidRPr="00B817E3">
        <w:rPr>
          <w:rFonts w:ascii="Times New Roman" w:hAnsi="Times New Roman" w:cs="Times New Roman"/>
          <w:sz w:val="24"/>
          <w:szCs w:val="24"/>
        </w:rPr>
        <w:t xml:space="preserve">, the accompaniment is usually given by their legal </w:t>
      </w:r>
      <w:r w:rsidR="00414C3D" w:rsidRPr="00B817E3">
        <w:rPr>
          <w:rFonts w:ascii="Times New Roman" w:hAnsi="Times New Roman" w:cs="Times New Roman"/>
          <w:sz w:val="24"/>
          <w:szCs w:val="24"/>
        </w:rPr>
        <w:t>advisors</w:t>
      </w:r>
      <w:r w:rsidRPr="00B817E3">
        <w:rPr>
          <w:rFonts w:ascii="Times New Roman" w:hAnsi="Times New Roman" w:cs="Times New Roman"/>
          <w:sz w:val="24"/>
          <w:szCs w:val="24"/>
        </w:rPr>
        <w:t xml:space="preserve">, by referring to Chapter 56 article 1 of the Code of Criminal Procedure. This chapter states that, in the event that a suspect or defendant is charged </w:t>
      </w:r>
      <w:r w:rsidR="00414C3D" w:rsidRPr="00B817E3">
        <w:rPr>
          <w:rFonts w:ascii="Times New Roman" w:hAnsi="Times New Roman" w:cs="Times New Roman"/>
          <w:sz w:val="24"/>
          <w:szCs w:val="24"/>
        </w:rPr>
        <w:t xml:space="preserve">for </w:t>
      </w:r>
      <w:r w:rsidRPr="00B817E3">
        <w:rPr>
          <w:rFonts w:ascii="Times New Roman" w:hAnsi="Times New Roman" w:cs="Times New Roman"/>
          <w:sz w:val="24"/>
          <w:szCs w:val="24"/>
        </w:rPr>
        <w:t xml:space="preserve">committing a crime that might lead to death penalty or fifteen years of imprisonment or more and </w:t>
      </w:r>
      <w:r w:rsidR="0045410C" w:rsidRPr="00B817E3">
        <w:rPr>
          <w:rFonts w:ascii="Times New Roman" w:hAnsi="Times New Roman" w:cs="Times New Roman"/>
          <w:sz w:val="24"/>
          <w:szCs w:val="24"/>
        </w:rPr>
        <w:t>in the event that</w:t>
      </w:r>
      <w:r w:rsidRPr="00B817E3">
        <w:rPr>
          <w:rFonts w:ascii="Times New Roman" w:hAnsi="Times New Roman" w:cs="Times New Roman"/>
          <w:sz w:val="24"/>
          <w:szCs w:val="24"/>
        </w:rPr>
        <w:t xml:space="preserve"> they are unable to appoint or have their own legal </w:t>
      </w:r>
      <w:r w:rsidR="00414C3D" w:rsidRPr="00B817E3">
        <w:rPr>
          <w:rFonts w:ascii="Times New Roman" w:hAnsi="Times New Roman" w:cs="Times New Roman"/>
          <w:sz w:val="24"/>
          <w:szCs w:val="24"/>
        </w:rPr>
        <w:t>advisor</w:t>
      </w:r>
      <w:r w:rsidRPr="00B817E3">
        <w:rPr>
          <w:rFonts w:ascii="Times New Roman" w:hAnsi="Times New Roman" w:cs="Times New Roman"/>
          <w:sz w:val="24"/>
          <w:szCs w:val="24"/>
        </w:rPr>
        <w:t>, the related law enforcers at all level</w:t>
      </w:r>
      <w:r w:rsidR="008A3DB7" w:rsidRPr="00B817E3">
        <w:rPr>
          <w:rFonts w:ascii="Times New Roman" w:hAnsi="Times New Roman" w:cs="Times New Roman"/>
          <w:sz w:val="24"/>
          <w:szCs w:val="24"/>
        </w:rPr>
        <w:t>s</w:t>
      </w:r>
      <w:r w:rsidRPr="00B817E3">
        <w:rPr>
          <w:rFonts w:ascii="Times New Roman" w:hAnsi="Times New Roman" w:cs="Times New Roman"/>
          <w:sz w:val="24"/>
          <w:szCs w:val="24"/>
        </w:rPr>
        <w:t xml:space="preserve"> of investigation in the trial process must appoint a legal advis</w:t>
      </w:r>
      <w:r w:rsidR="00414C3D" w:rsidRPr="00B817E3">
        <w:rPr>
          <w:rFonts w:ascii="Times New Roman" w:hAnsi="Times New Roman" w:cs="Times New Roman"/>
          <w:sz w:val="24"/>
          <w:szCs w:val="24"/>
        </w:rPr>
        <w:t>o</w:t>
      </w:r>
      <w:r w:rsidRPr="00B817E3">
        <w:rPr>
          <w:rFonts w:ascii="Times New Roman" w:hAnsi="Times New Roman" w:cs="Times New Roman"/>
          <w:sz w:val="24"/>
          <w:szCs w:val="24"/>
        </w:rPr>
        <w:t xml:space="preserve">r for </w:t>
      </w:r>
      <w:r w:rsidR="0045410C" w:rsidRPr="00B817E3">
        <w:rPr>
          <w:rFonts w:ascii="Times New Roman" w:hAnsi="Times New Roman" w:cs="Times New Roman"/>
          <w:sz w:val="24"/>
          <w:szCs w:val="24"/>
        </w:rPr>
        <w:t>him/her</w:t>
      </w:r>
      <w:r w:rsidRPr="00B817E3">
        <w:rPr>
          <w:rFonts w:ascii="Times New Roman" w:hAnsi="Times New Roman" w:cs="Times New Roman"/>
          <w:sz w:val="24"/>
          <w:szCs w:val="24"/>
        </w:rPr>
        <w:t>.</w:t>
      </w:r>
    </w:p>
    <w:p w14:paraId="4FD421C7" w14:textId="28CEBEE5" w:rsidR="00DF5D40" w:rsidRPr="00B817E3" w:rsidRDefault="00DF5D40" w:rsidP="00C93990">
      <w:pPr>
        <w:spacing w:after="0" w:line="360" w:lineRule="auto"/>
        <w:ind w:firstLine="720"/>
        <w:jc w:val="both"/>
        <w:rPr>
          <w:rFonts w:ascii="Times New Roman" w:hAnsi="Times New Roman" w:cs="Times New Roman"/>
          <w:sz w:val="24"/>
          <w:szCs w:val="24"/>
        </w:rPr>
      </w:pPr>
      <w:r w:rsidRPr="00B817E3">
        <w:rPr>
          <w:rFonts w:ascii="Times New Roman" w:hAnsi="Times New Roman" w:cs="Times New Roman"/>
          <w:sz w:val="24"/>
          <w:szCs w:val="24"/>
        </w:rPr>
        <w:t xml:space="preserve">Based on the details above, when a </w:t>
      </w:r>
      <w:r w:rsidR="006C34E7" w:rsidRPr="00B817E3">
        <w:rPr>
          <w:rFonts w:ascii="Times New Roman" w:hAnsi="Times New Roman" w:cs="Times New Roman"/>
          <w:sz w:val="24"/>
          <w:szCs w:val="24"/>
        </w:rPr>
        <w:t xml:space="preserve">judge </w:t>
      </w:r>
      <w:r w:rsidR="0045410C" w:rsidRPr="00B817E3">
        <w:rPr>
          <w:rFonts w:ascii="Times New Roman" w:hAnsi="Times New Roman" w:cs="Times New Roman"/>
          <w:sz w:val="24"/>
          <w:szCs w:val="24"/>
        </w:rPr>
        <w:t>is leading</w:t>
      </w:r>
      <w:r w:rsidRPr="00B817E3">
        <w:rPr>
          <w:rFonts w:ascii="Times New Roman" w:hAnsi="Times New Roman" w:cs="Times New Roman"/>
          <w:sz w:val="24"/>
          <w:szCs w:val="24"/>
        </w:rPr>
        <w:t xml:space="preserve"> a court </w:t>
      </w:r>
      <w:r w:rsidR="006C34E7" w:rsidRPr="00B817E3">
        <w:rPr>
          <w:rFonts w:ascii="Times New Roman" w:hAnsi="Times New Roman" w:cs="Times New Roman"/>
          <w:sz w:val="24"/>
          <w:szCs w:val="24"/>
        </w:rPr>
        <w:t xml:space="preserve">in which the perpetrator is facing a punishment of </w:t>
      </w:r>
      <w:r w:rsidRPr="00B817E3">
        <w:rPr>
          <w:rFonts w:ascii="Times New Roman" w:hAnsi="Times New Roman" w:cs="Times New Roman"/>
          <w:sz w:val="24"/>
          <w:szCs w:val="24"/>
        </w:rPr>
        <w:t>more than 15 years</w:t>
      </w:r>
      <w:r w:rsidR="006C34E7" w:rsidRPr="00B817E3">
        <w:rPr>
          <w:rFonts w:ascii="Times New Roman" w:hAnsi="Times New Roman" w:cs="Times New Roman"/>
          <w:sz w:val="24"/>
          <w:szCs w:val="24"/>
        </w:rPr>
        <w:t xml:space="preserve"> of imprisonment</w:t>
      </w:r>
      <w:r w:rsidRPr="00B817E3">
        <w:rPr>
          <w:rFonts w:ascii="Times New Roman" w:hAnsi="Times New Roman" w:cs="Times New Roman"/>
          <w:sz w:val="24"/>
          <w:szCs w:val="24"/>
        </w:rPr>
        <w:t xml:space="preserve">, he must appoint pro bono legal assistance for the defendant. However, if the </w:t>
      </w:r>
      <w:r w:rsidR="00B817E3" w:rsidRPr="00B817E3">
        <w:rPr>
          <w:rFonts w:ascii="Times New Roman" w:hAnsi="Times New Roman" w:cs="Times New Roman"/>
          <w:sz w:val="24"/>
          <w:szCs w:val="24"/>
        </w:rPr>
        <w:t xml:space="preserve">potential punishment </w:t>
      </w:r>
      <w:r w:rsidRPr="00B817E3">
        <w:rPr>
          <w:rFonts w:ascii="Times New Roman" w:hAnsi="Times New Roman" w:cs="Times New Roman"/>
          <w:sz w:val="24"/>
          <w:szCs w:val="24"/>
        </w:rPr>
        <w:t xml:space="preserve">is </w:t>
      </w:r>
      <w:r w:rsidR="00B817E3" w:rsidRPr="00B817E3">
        <w:rPr>
          <w:rFonts w:ascii="Times New Roman" w:hAnsi="Times New Roman" w:cs="Times New Roman"/>
          <w:sz w:val="24"/>
          <w:szCs w:val="24"/>
        </w:rPr>
        <w:t xml:space="preserve">shorter </w:t>
      </w:r>
      <w:r w:rsidRPr="00B817E3">
        <w:rPr>
          <w:rFonts w:ascii="Times New Roman" w:hAnsi="Times New Roman" w:cs="Times New Roman"/>
          <w:sz w:val="24"/>
          <w:szCs w:val="24"/>
        </w:rPr>
        <w:t xml:space="preserve">than 15 years, the defendant may or may not be accompanied by legal </w:t>
      </w:r>
      <w:r w:rsidR="00414C3D" w:rsidRPr="00B817E3">
        <w:rPr>
          <w:rFonts w:ascii="Times New Roman" w:hAnsi="Times New Roman" w:cs="Times New Roman"/>
          <w:sz w:val="24"/>
          <w:szCs w:val="24"/>
        </w:rPr>
        <w:t>advisors</w:t>
      </w:r>
      <w:r w:rsidRPr="00B817E3">
        <w:rPr>
          <w:rFonts w:ascii="Times New Roman" w:hAnsi="Times New Roman" w:cs="Times New Roman"/>
          <w:sz w:val="24"/>
          <w:szCs w:val="24"/>
        </w:rPr>
        <w:t>, and if he</w:t>
      </w:r>
      <w:r w:rsidR="00B817E3" w:rsidRPr="00B817E3">
        <w:rPr>
          <w:rFonts w:ascii="Times New Roman" w:hAnsi="Times New Roman" w:cs="Times New Roman"/>
          <w:sz w:val="24"/>
          <w:szCs w:val="24"/>
        </w:rPr>
        <w:t>/she</w:t>
      </w:r>
      <w:r w:rsidRPr="00B817E3">
        <w:rPr>
          <w:rFonts w:ascii="Times New Roman" w:hAnsi="Times New Roman" w:cs="Times New Roman"/>
          <w:sz w:val="24"/>
          <w:szCs w:val="24"/>
        </w:rPr>
        <w:t xml:space="preserve"> chooses to be accompanied, </w:t>
      </w:r>
      <w:r w:rsidR="00B817E3" w:rsidRPr="00B817E3">
        <w:rPr>
          <w:rFonts w:ascii="Times New Roman" w:hAnsi="Times New Roman" w:cs="Times New Roman"/>
          <w:sz w:val="24"/>
          <w:szCs w:val="24"/>
        </w:rPr>
        <w:t>he/she</w:t>
      </w:r>
      <w:r w:rsidRPr="00B817E3">
        <w:rPr>
          <w:rFonts w:ascii="Times New Roman" w:hAnsi="Times New Roman" w:cs="Times New Roman"/>
          <w:sz w:val="24"/>
          <w:szCs w:val="24"/>
        </w:rPr>
        <w:t xml:space="preserve"> must </w:t>
      </w:r>
      <w:r w:rsidR="00414C3D" w:rsidRPr="00B817E3">
        <w:rPr>
          <w:rFonts w:ascii="Times New Roman" w:hAnsi="Times New Roman" w:cs="Times New Roman"/>
          <w:sz w:val="24"/>
          <w:szCs w:val="24"/>
        </w:rPr>
        <w:t>find</w:t>
      </w:r>
      <w:r w:rsidRPr="00B817E3">
        <w:rPr>
          <w:rFonts w:ascii="Times New Roman" w:hAnsi="Times New Roman" w:cs="Times New Roman"/>
          <w:sz w:val="24"/>
          <w:szCs w:val="24"/>
        </w:rPr>
        <w:t xml:space="preserve"> </w:t>
      </w:r>
      <w:r w:rsidR="00B817E3" w:rsidRPr="00B817E3">
        <w:rPr>
          <w:rFonts w:ascii="Times New Roman" w:hAnsi="Times New Roman" w:cs="Times New Roman"/>
          <w:sz w:val="24"/>
          <w:szCs w:val="24"/>
        </w:rPr>
        <w:t>his/her</w:t>
      </w:r>
      <w:r w:rsidR="00414C3D" w:rsidRPr="00B817E3">
        <w:rPr>
          <w:rFonts w:ascii="Times New Roman" w:hAnsi="Times New Roman" w:cs="Times New Roman"/>
          <w:sz w:val="24"/>
          <w:szCs w:val="24"/>
        </w:rPr>
        <w:t xml:space="preserve"> </w:t>
      </w:r>
      <w:r w:rsidRPr="00B817E3">
        <w:rPr>
          <w:rFonts w:ascii="Times New Roman" w:hAnsi="Times New Roman" w:cs="Times New Roman"/>
          <w:sz w:val="24"/>
          <w:szCs w:val="24"/>
        </w:rPr>
        <w:t xml:space="preserve">legal </w:t>
      </w:r>
      <w:r w:rsidR="00414C3D" w:rsidRPr="00B817E3">
        <w:rPr>
          <w:rFonts w:ascii="Times New Roman" w:hAnsi="Times New Roman" w:cs="Times New Roman"/>
          <w:sz w:val="24"/>
          <w:szCs w:val="24"/>
        </w:rPr>
        <w:t xml:space="preserve">advisor by </w:t>
      </w:r>
      <w:r w:rsidR="00B817E3" w:rsidRPr="00B817E3">
        <w:rPr>
          <w:rFonts w:ascii="Times New Roman" w:hAnsi="Times New Roman" w:cs="Times New Roman"/>
          <w:sz w:val="24"/>
          <w:szCs w:val="24"/>
        </w:rPr>
        <w:t xml:space="preserve">himself or </w:t>
      </w:r>
      <w:r w:rsidR="00414C3D" w:rsidRPr="00B817E3">
        <w:rPr>
          <w:rFonts w:ascii="Times New Roman" w:hAnsi="Times New Roman" w:cs="Times New Roman"/>
          <w:sz w:val="24"/>
          <w:szCs w:val="24"/>
        </w:rPr>
        <w:t>her</w:t>
      </w:r>
      <w:r w:rsidRPr="00B817E3">
        <w:rPr>
          <w:rFonts w:ascii="Times New Roman" w:hAnsi="Times New Roman" w:cs="Times New Roman"/>
          <w:sz w:val="24"/>
          <w:szCs w:val="24"/>
        </w:rPr>
        <w:t>self.</w:t>
      </w:r>
    </w:p>
    <w:p w14:paraId="54B0FD46" w14:textId="2BFB8DA8" w:rsidR="00284864" w:rsidRPr="00B817E3" w:rsidRDefault="001768C0" w:rsidP="00C93990">
      <w:pPr>
        <w:spacing w:after="0" w:line="360" w:lineRule="auto"/>
        <w:jc w:val="both"/>
        <w:rPr>
          <w:rFonts w:ascii="Times New Roman" w:hAnsi="Times New Roman" w:cs="Times New Roman"/>
          <w:bCs/>
          <w:sz w:val="24"/>
          <w:szCs w:val="24"/>
        </w:rPr>
      </w:pPr>
      <w:r w:rsidRPr="00B817E3">
        <w:rPr>
          <w:rFonts w:ascii="Times New Roman" w:hAnsi="Times New Roman" w:cs="Times New Roman"/>
          <w:b/>
          <w:sz w:val="24"/>
          <w:szCs w:val="24"/>
        </w:rPr>
        <w:t>CONCLUSION</w:t>
      </w:r>
    </w:p>
    <w:p w14:paraId="1A31BAD5" w14:textId="2E5C4240" w:rsidR="00DF5D40" w:rsidRPr="00B817E3" w:rsidRDefault="00DF5D40" w:rsidP="00C93990">
      <w:pPr>
        <w:pStyle w:val="ListParagraph"/>
        <w:numPr>
          <w:ilvl w:val="0"/>
          <w:numId w:val="35"/>
        </w:numPr>
        <w:spacing w:before="0" w:beforeAutospacing="0" w:after="0" w:afterAutospacing="0" w:line="360" w:lineRule="auto"/>
        <w:ind w:left="392"/>
        <w:jc w:val="both"/>
        <w:rPr>
          <w:rFonts w:ascii="Times New Roman" w:hAnsi="Times New Roman" w:cs="Times New Roman"/>
          <w:lang w:val="en-US"/>
        </w:rPr>
      </w:pPr>
      <w:r w:rsidRPr="00B817E3">
        <w:rPr>
          <w:rFonts w:ascii="Times New Roman" w:hAnsi="Times New Roman" w:cs="Times New Roman"/>
          <w:lang w:val="en-US"/>
        </w:rPr>
        <w:t xml:space="preserve">The arrangement of escorts for women having cases before the law in the legal jurisdiction of Palembang City has </w:t>
      </w:r>
      <w:r w:rsidR="00992793" w:rsidRPr="00B817E3">
        <w:rPr>
          <w:rFonts w:ascii="Times New Roman" w:hAnsi="Times New Roman" w:cs="Times New Roman"/>
          <w:lang w:val="en-US"/>
        </w:rPr>
        <w:t>complied</w:t>
      </w:r>
      <w:r w:rsidRPr="00B817E3">
        <w:rPr>
          <w:rFonts w:ascii="Times New Roman" w:hAnsi="Times New Roman" w:cs="Times New Roman"/>
          <w:lang w:val="en-US"/>
        </w:rPr>
        <w:t xml:space="preserve"> the Regulation of the Supreme Court of the Republic of Indonesia number 3 of 2017 on the Guidelines for Adjudicating Women's Cases Before the Law. The regulation has run well and has been implemented according to the positive law in force in Indonesia.</w:t>
      </w:r>
    </w:p>
    <w:p w14:paraId="2192853C" w14:textId="059A692B" w:rsidR="00DF5D40" w:rsidRPr="00B817E3" w:rsidRDefault="00DF5D40" w:rsidP="00C93990">
      <w:pPr>
        <w:pStyle w:val="ListParagraph"/>
        <w:numPr>
          <w:ilvl w:val="0"/>
          <w:numId w:val="35"/>
        </w:numPr>
        <w:spacing w:before="0" w:beforeAutospacing="0" w:after="0" w:afterAutospacing="0" w:line="360" w:lineRule="auto"/>
        <w:ind w:left="392"/>
        <w:jc w:val="both"/>
        <w:rPr>
          <w:rFonts w:ascii="Times New Roman" w:hAnsi="Times New Roman" w:cs="Times New Roman"/>
          <w:lang w:val="en-US"/>
        </w:rPr>
      </w:pPr>
      <w:r w:rsidRPr="00B817E3">
        <w:rPr>
          <w:rFonts w:ascii="Times New Roman" w:hAnsi="Times New Roman" w:cs="Times New Roman"/>
          <w:lang w:val="en-US"/>
        </w:rPr>
        <w:t xml:space="preserve">Regarding the effectiveness of the regulation in court, </w:t>
      </w:r>
      <w:r w:rsidR="00B817E3" w:rsidRPr="00B817E3">
        <w:rPr>
          <w:rFonts w:ascii="Times New Roman" w:hAnsi="Times New Roman" w:cs="Times New Roman"/>
          <w:lang w:val="en-US"/>
        </w:rPr>
        <w:t xml:space="preserve">a </w:t>
      </w:r>
      <w:r w:rsidRPr="00B817E3">
        <w:rPr>
          <w:rFonts w:ascii="Times New Roman" w:hAnsi="Times New Roman" w:cs="Times New Roman"/>
          <w:lang w:val="en-US"/>
        </w:rPr>
        <w:t>judge must actively fulfill the rights of women who are having cases before the law as either perpetrators, victims, or witnesses of criminal acts in each</w:t>
      </w:r>
      <w:r w:rsidR="00B817E3" w:rsidRPr="00B817E3">
        <w:rPr>
          <w:rFonts w:ascii="Times New Roman" w:hAnsi="Times New Roman" w:cs="Times New Roman"/>
          <w:lang w:val="en-US"/>
        </w:rPr>
        <w:t xml:space="preserve"> trial</w:t>
      </w:r>
      <w:r w:rsidRPr="00B817E3">
        <w:rPr>
          <w:rFonts w:ascii="Times New Roman" w:hAnsi="Times New Roman" w:cs="Times New Roman"/>
          <w:lang w:val="en-US"/>
        </w:rPr>
        <w:t xml:space="preserve"> process</w:t>
      </w:r>
      <w:r w:rsidR="00B817E3" w:rsidRPr="00B817E3">
        <w:rPr>
          <w:rFonts w:ascii="Times New Roman" w:hAnsi="Times New Roman" w:cs="Times New Roman"/>
          <w:lang w:val="en-US"/>
        </w:rPr>
        <w:t>,</w:t>
      </w:r>
      <w:r w:rsidRPr="00B817E3">
        <w:rPr>
          <w:rFonts w:ascii="Times New Roman" w:hAnsi="Times New Roman" w:cs="Times New Roman"/>
          <w:lang w:val="en-US"/>
        </w:rPr>
        <w:t xml:space="preserve"> from investigation to verdict. </w:t>
      </w:r>
      <w:r w:rsidR="00B817E3" w:rsidRPr="00B817E3">
        <w:rPr>
          <w:rFonts w:ascii="Times New Roman" w:hAnsi="Times New Roman" w:cs="Times New Roman"/>
          <w:lang w:val="en-US"/>
        </w:rPr>
        <w:t>He</w:t>
      </w:r>
      <w:r w:rsidRPr="00B817E3">
        <w:rPr>
          <w:rFonts w:ascii="Times New Roman" w:hAnsi="Times New Roman" w:cs="Times New Roman"/>
          <w:lang w:val="en-US"/>
        </w:rPr>
        <w:t xml:space="preserve"> must always recognize the</w:t>
      </w:r>
      <w:r w:rsidR="00B817E3" w:rsidRPr="00B817E3">
        <w:rPr>
          <w:rFonts w:ascii="Times New Roman" w:hAnsi="Times New Roman" w:cs="Times New Roman"/>
          <w:lang w:val="en-US"/>
        </w:rPr>
        <w:t>ir</w:t>
      </w:r>
      <w:r w:rsidRPr="00B817E3">
        <w:rPr>
          <w:rFonts w:ascii="Times New Roman" w:hAnsi="Times New Roman" w:cs="Times New Roman"/>
          <w:lang w:val="en-US"/>
        </w:rPr>
        <w:t xml:space="preserve"> dignity </w:t>
      </w:r>
      <w:r w:rsidR="009C56BF" w:rsidRPr="00B817E3">
        <w:rPr>
          <w:rFonts w:ascii="Times New Roman" w:hAnsi="Times New Roman" w:cs="Times New Roman"/>
          <w:lang w:val="en-US"/>
        </w:rPr>
        <w:t>and the honor</w:t>
      </w:r>
      <w:r w:rsidR="00B817E3" w:rsidRPr="00B817E3">
        <w:rPr>
          <w:rFonts w:ascii="Times New Roman" w:hAnsi="Times New Roman" w:cs="Times New Roman"/>
          <w:lang w:val="en-US"/>
        </w:rPr>
        <w:t xml:space="preserve"> and</w:t>
      </w:r>
      <w:r w:rsidRPr="00B817E3">
        <w:rPr>
          <w:rFonts w:ascii="Times New Roman" w:hAnsi="Times New Roman" w:cs="Times New Roman"/>
          <w:lang w:val="en-US"/>
        </w:rPr>
        <w:t xml:space="preserve"> eliminate gender bias in </w:t>
      </w:r>
      <w:r w:rsidR="00B817E3" w:rsidRPr="00B817E3">
        <w:rPr>
          <w:rFonts w:ascii="Times New Roman" w:hAnsi="Times New Roman" w:cs="Times New Roman"/>
          <w:lang w:val="en-US"/>
        </w:rPr>
        <w:t xml:space="preserve">his </w:t>
      </w:r>
      <w:r w:rsidRPr="00B817E3">
        <w:rPr>
          <w:rFonts w:ascii="Times New Roman" w:hAnsi="Times New Roman" w:cs="Times New Roman"/>
          <w:lang w:val="en-US"/>
        </w:rPr>
        <w:t xml:space="preserve">treatment and judgment. Accompaniment in the first-level court is fully decided by the woman who is having cases before the law; they can choose whether or not </w:t>
      </w:r>
      <w:r w:rsidR="008A3DB7" w:rsidRPr="00B817E3">
        <w:rPr>
          <w:rFonts w:ascii="Times New Roman" w:hAnsi="Times New Roman" w:cs="Times New Roman"/>
          <w:lang w:val="en-US"/>
        </w:rPr>
        <w:t xml:space="preserve">they </w:t>
      </w:r>
      <w:r w:rsidRPr="00B817E3">
        <w:rPr>
          <w:rFonts w:ascii="Times New Roman" w:hAnsi="Times New Roman" w:cs="Times New Roman"/>
          <w:lang w:val="en-US"/>
        </w:rPr>
        <w:t>tak</w:t>
      </w:r>
      <w:r w:rsidR="008A3DB7" w:rsidRPr="00B817E3">
        <w:rPr>
          <w:rFonts w:ascii="Times New Roman" w:hAnsi="Times New Roman" w:cs="Times New Roman"/>
          <w:lang w:val="en-US"/>
        </w:rPr>
        <w:t>e</w:t>
      </w:r>
      <w:r w:rsidRPr="00B817E3">
        <w:rPr>
          <w:rFonts w:ascii="Times New Roman" w:hAnsi="Times New Roman" w:cs="Times New Roman"/>
          <w:lang w:val="en-US"/>
        </w:rPr>
        <w:t xml:space="preserve"> the accompaniment </w:t>
      </w:r>
      <w:r w:rsidR="008A3DB7" w:rsidRPr="00B817E3">
        <w:rPr>
          <w:rFonts w:ascii="Times New Roman" w:hAnsi="Times New Roman" w:cs="Times New Roman"/>
          <w:lang w:val="en-US"/>
        </w:rPr>
        <w:t xml:space="preserve">of escorts throughout </w:t>
      </w:r>
      <w:r w:rsidRPr="00B817E3">
        <w:rPr>
          <w:rFonts w:ascii="Times New Roman" w:hAnsi="Times New Roman" w:cs="Times New Roman"/>
          <w:lang w:val="en-US"/>
        </w:rPr>
        <w:t xml:space="preserve">the trial processes. However, in most events, women who are having cases before the law refuse the accompaniment, regardless who the escorts are, neither from their families nor from the NGOs. They think that their problems are private matters, </w:t>
      </w:r>
      <w:r w:rsidR="00B817E3" w:rsidRPr="00B817E3">
        <w:rPr>
          <w:rFonts w:ascii="Times New Roman" w:hAnsi="Times New Roman" w:cs="Times New Roman"/>
          <w:lang w:val="en-US"/>
        </w:rPr>
        <w:t>shameful</w:t>
      </w:r>
      <w:r w:rsidRPr="00B817E3">
        <w:rPr>
          <w:rFonts w:ascii="Times New Roman" w:hAnsi="Times New Roman" w:cs="Times New Roman"/>
          <w:lang w:val="en-US"/>
        </w:rPr>
        <w:t xml:space="preserve">, and </w:t>
      </w:r>
      <w:r w:rsidRPr="00B817E3">
        <w:rPr>
          <w:rFonts w:ascii="Times New Roman" w:hAnsi="Times New Roman" w:cs="Times New Roman"/>
          <w:lang w:val="en-US"/>
        </w:rPr>
        <w:lastRenderedPageBreak/>
        <w:t xml:space="preserve">something they </w:t>
      </w:r>
      <w:r w:rsidR="008A3DB7" w:rsidRPr="00B817E3">
        <w:rPr>
          <w:rFonts w:ascii="Times New Roman" w:hAnsi="Times New Roman" w:cs="Times New Roman"/>
          <w:lang w:val="en-US"/>
        </w:rPr>
        <w:t>do not</w:t>
      </w:r>
      <w:r w:rsidRPr="00B817E3">
        <w:rPr>
          <w:rFonts w:ascii="Times New Roman" w:hAnsi="Times New Roman" w:cs="Times New Roman"/>
          <w:lang w:val="en-US"/>
        </w:rPr>
        <w:t xml:space="preserve"> want other people to know. The second obstacle for the application of the regulation is the absence of punishment for</w:t>
      </w:r>
      <w:r w:rsidR="00B817E3" w:rsidRPr="00B817E3">
        <w:rPr>
          <w:rFonts w:ascii="Times New Roman" w:hAnsi="Times New Roman" w:cs="Times New Roman"/>
          <w:lang w:val="en-US"/>
        </w:rPr>
        <w:t xml:space="preserve"> the</w:t>
      </w:r>
      <w:r w:rsidRPr="00B817E3">
        <w:rPr>
          <w:rFonts w:ascii="Times New Roman" w:hAnsi="Times New Roman" w:cs="Times New Roman"/>
          <w:lang w:val="en-US"/>
        </w:rPr>
        <w:t xml:space="preserve"> ex-husbands who have not fulfilled their obligation to provide allowances for the </w:t>
      </w:r>
      <w:r w:rsidRPr="00B817E3">
        <w:rPr>
          <w:rFonts w:ascii="Times New Roman" w:hAnsi="Times New Roman" w:cs="Times New Roman"/>
          <w:i/>
          <w:iCs/>
          <w:lang w:val="en-US"/>
        </w:rPr>
        <w:t>iddah</w:t>
      </w:r>
      <w:r w:rsidRPr="00B817E3">
        <w:rPr>
          <w:rFonts w:ascii="Times New Roman" w:hAnsi="Times New Roman" w:cs="Times New Roman"/>
          <w:lang w:val="en-US"/>
        </w:rPr>
        <w:t xml:space="preserve"> period. This puts losses for the wife's side, making them have other hard times due</w:t>
      </w:r>
      <w:r w:rsidR="00992793" w:rsidRPr="00B817E3">
        <w:rPr>
          <w:rFonts w:ascii="Times New Roman" w:hAnsi="Times New Roman" w:cs="Times New Roman"/>
          <w:lang w:val="en-US"/>
        </w:rPr>
        <w:t xml:space="preserve"> </w:t>
      </w:r>
      <w:r w:rsidRPr="00B817E3">
        <w:rPr>
          <w:rFonts w:ascii="Times New Roman" w:hAnsi="Times New Roman" w:cs="Times New Roman"/>
          <w:lang w:val="en-US"/>
        </w:rPr>
        <w:t xml:space="preserve">to their </w:t>
      </w:r>
      <w:r w:rsidR="00992793" w:rsidRPr="00B817E3">
        <w:rPr>
          <w:rFonts w:ascii="Times New Roman" w:hAnsi="Times New Roman" w:cs="Times New Roman"/>
          <w:lang w:val="en-US"/>
        </w:rPr>
        <w:t>ex-husband’s</w:t>
      </w:r>
      <w:r w:rsidRPr="00B817E3">
        <w:rPr>
          <w:rFonts w:ascii="Times New Roman" w:hAnsi="Times New Roman" w:cs="Times New Roman"/>
          <w:lang w:val="en-US"/>
        </w:rPr>
        <w:t xml:space="preserve"> negligence who intentionally avoid giving the right of his divorced wife. The third obstacle is that most women victims of crime are reluctant in </w:t>
      </w:r>
      <w:r w:rsidR="00B817E3" w:rsidRPr="00B817E3">
        <w:rPr>
          <w:rFonts w:ascii="Times New Roman" w:hAnsi="Times New Roman" w:cs="Times New Roman"/>
          <w:lang w:val="en-US"/>
        </w:rPr>
        <w:t xml:space="preserve">giving </w:t>
      </w:r>
      <w:r w:rsidRPr="00B817E3">
        <w:rPr>
          <w:rFonts w:ascii="Times New Roman" w:hAnsi="Times New Roman" w:cs="Times New Roman"/>
          <w:lang w:val="en-US"/>
        </w:rPr>
        <w:t xml:space="preserve">testimony since they are </w:t>
      </w:r>
      <w:r w:rsidR="00992793" w:rsidRPr="00B817E3">
        <w:rPr>
          <w:rFonts w:ascii="Times New Roman" w:hAnsi="Times New Roman" w:cs="Times New Roman"/>
          <w:lang w:val="en-US"/>
        </w:rPr>
        <w:t>afraid</w:t>
      </w:r>
      <w:r w:rsidRPr="00B817E3">
        <w:rPr>
          <w:rFonts w:ascii="Times New Roman" w:hAnsi="Times New Roman" w:cs="Times New Roman"/>
          <w:lang w:val="en-US"/>
        </w:rPr>
        <w:t xml:space="preserve"> of the threat posed by other parties. For example, women who are </w:t>
      </w:r>
      <w:r w:rsidR="00B817E3" w:rsidRPr="00B817E3">
        <w:rPr>
          <w:rFonts w:ascii="Times New Roman" w:hAnsi="Times New Roman" w:cs="Times New Roman"/>
          <w:lang w:val="en-US"/>
        </w:rPr>
        <w:t xml:space="preserve">charged for </w:t>
      </w:r>
      <w:r w:rsidRPr="00B817E3">
        <w:rPr>
          <w:rFonts w:ascii="Times New Roman" w:hAnsi="Times New Roman" w:cs="Times New Roman"/>
          <w:lang w:val="en-US"/>
        </w:rPr>
        <w:t>drug abuse cases tend to be uncooperative, and this makes judges slow in their investigation</w:t>
      </w:r>
      <w:r w:rsidR="00B817E3" w:rsidRPr="00B817E3">
        <w:rPr>
          <w:rFonts w:ascii="Times New Roman" w:hAnsi="Times New Roman" w:cs="Times New Roman"/>
          <w:lang w:val="en-US"/>
        </w:rPr>
        <w:t>,</w:t>
      </w:r>
      <w:r w:rsidRPr="00B817E3">
        <w:rPr>
          <w:rFonts w:ascii="Times New Roman" w:hAnsi="Times New Roman" w:cs="Times New Roman"/>
          <w:lang w:val="en-US"/>
        </w:rPr>
        <w:t xml:space="preserve"> and the effort to cut the illegal drug selling </w:t>
      </w:r>
      <w:r w:rsidR="00B817E3" w:rsidRPr="00B817E3">
        <w:rPr>
          <w:rFonts w:ascii="Times New Roman" w:hAnsi="Times New Roman" w:cs="Times New Roman"/>
          <w:lang w:val="en-US"/>
        </w:rPr>
        <w:t xml:space="preserve">chain </w:t>
      </w:r>
      <w:r w:rsidRPr="00B817E3">
        <w:rPr>
          <w:rFonts w:ascii="Times New Roman" w:hAnsi="Times New Roman" w:cs="Times New Roman"/>
          <w:lang w:val="en-US"/>
        </w:rPr>
        <w:t>becomes futile.</w:t>
      </w:r>
    </w:p>
    <w:p w14:paraId="3FC9939D" w14:textId="77777777" w:rsidR="00C93990" w:rsidRPr="00B817E3" w:rsidRDefault="00C93990" w:rsidP="004E7A11">
      <w:pPr>
        <w:spacing w:after="0" w:line="360" w:lineRule="auto"/>
        <w:ind w:left="32"/>
        <w:jc w:val="both"/>
        <w:rPr>
          <w:rFonts w:ascii="Times New Roman" w:hAnsi="Times New Roman" w:cs="Times New Roman"/>
        </w:rPr>
      </w:pPr>
    </w:p>
    <w:p w14:paraId="5BC755CC" w14:textId="6327DC1A" w:rsidR="00C65136" w:rsidRPr="00B817E3" w:rsidRDefault="00992793" w:rsidP="00C93990">
      <w:pPr>
        <w:spacing w:after="0" w:line="360" w:lineRule="auto"/>
        <w:jc w:val="both"/>
        <w:rPr>
          <w:rFonts w:ascii="Times New Roman" w:hAnsi="Times New Roman" w:cs="Times New Roman"/>
          <w:b/>
          <w:color w:val="000000"/>
          <w:sz w:val="24"/>
          <w:szCs w:val="24"/>
        </w:rPr>
      </w:pPr>
      <w:r w:rsidRPr="00B817E3">
        <w:rPr>
          <w:rFonts w:ascii="Times New Roman" w:hAnsi="Times New Roman" w:cs="Times New Roman"/>
          <w:b/>
          <w:color w:val="000000"/>
          <w:sz w:val="24"/>
          <w:szCs w:val="24"/>
        </w:rPr>
        <w:t>REFERENCES</w:t>
      </w:r>
    </w:p>
    <w:p w14:paraId="25F1349E" w14:textId="22FAB32C"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Times New Roman" w:hAnsi="Times New Roman" w:cs="Times New Roman"/>
          <w:b/>
          <w:sz w:val="24"/>
          <w:szCs w:val="24"/>
        </w:rPr>
        <w:fldChar w:fldCharType="begin" w:fldLock="1"/>
      </w:r>
      <w:r w:rsidRPr="004E7A11">
        <w:rPr>
          <w:rFonts w:ascii="Times New Roman" w:eastAsia="Times New Roman" w:hAnsi="Times New Roman" w:cs="Times New Roman"/>
          <w:b/>
          <w:sz w:val="24"/>
          <w:szCs w:val="24"/>
        </w:rPr>
        <w:instrText xml:space="preserve">ADDIN Mendeley Bibliography CSL_BIBLIOGRAPHY </w:instrText>
      </w:r>
      <w:r w:rsidRPr="004E7A11">
        <w:rPr>
          <w:rFonts w:ascii="Times New Roman" w:eastAsia="Times New Roman" w:hAnsi="Times New Roman" w:cs="Times New Roman"/>
          <w:b/>
          <w:sz w:val="24"/>
          <w:szCs w:val="24"/>
        </w:rPr>
        <w:fldChar w:fldCharType="separate"/>
      </w:r>
      <w:r w:rsidRPr="004E7A11">
        <w:rPr>
          <w:rFonts w:ascii="Times New Roman" w:eastAsia="Calibri" w:hAnsi="Times New Roman" w:cs="Times New Roman"/>
          <w:sz w:val="24"/>
          <w:szCs w:val="24"/>
        </w:rPr>
        <w:t xml:space="preserve">Amsori, Amsori. “Penanggulangan Tindak Pidana Perkosaan Dalam </w:t>
      </w:r>
      <w:r w:rsidR="004E2981" w:rsidRPr="00B817E3">
        <w:rPr>
          <w:rFonts w:ascii="Times New Roman" w:eastAsia="Calibri" w:hAnsi="Times New Roman" w:cs="Times New Roman"/>
          <w:sz w:val="24"/>
          <w:szCs w:val="24"/>
        </w:rPr>
        <w:t>of the Criminal Code</w:t>
      </w:r>
      <w:r w:rsidRPr="004E7A11">
        <w:rPr>
          <w:rFonts w:ascii="Times New Roman" w:eastAsia="Calibri" w:hAnsi="Times New Roman" w:cs="Times New Roman"/>
          <w:sz w:val="24"/>
          <w:szCs w:val="24"/>
        </w:rPr>
        <w:t xml:space="preserve"> Dan Qanun Jinayat Melalui Pendekatan Keadilan Restoratif.” </w:t>
      </w:r>
      <w:r w:rsidRPr="004E7A11">
        <w:rPr>
          <w:rFonts w:ascii="Times New Roman" w:eastAsia="Calibri" w:hAnsi="Times New Roman" w:cs="Times New Roman"/>
          <w:i/>
          <w:iCs/>
          <w:sz w:val="24"/>
          <w:szCs w:val="24"/>
        </w:rPr>
        <w:t>Jurnal Hukum Indonesia</w:t>
      </w:r>
      <w:r w:rsidRPr="004E7A11">
        <w:rPr>
          <w:rFonts w:ascii="Times New Roman" w:eastAsia="Calibri" w:hAnsi="Times New Roman" w:cs="Times New Roman"/>
          <w:sz w:val="24"/>
          <w:szCs w:val="24"/>
        </w:rPr>
        <w:t xml:space="preserve"> 1, no. 1 (2022): 1–9.</w:t>
      </w:r>
    </w:p>
    <w:p w14:paraId="317C5AFB"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 xml:space="preserve">Fauziyah, Aliani, Lilis Ratnaningsih, and Yuyut Prayuti. “Perlindungan Hukum Bagi Perempuan Yang Berhadapan Dengan Hukum Ditinjau Dari Peraturan Mahkamah Agung Republik Indonesia Nomor 3 Tahun 2017 Tentang Pedoman Mengadili Perkara Perempuan Berhadapan Dengan Hukum.” </w:t>
      </w:r>
      <w:r w:rsidRPr="004E7A11">
        <w:rPr>
          <w:rFonts w:ascii="Times New Roman" w:eastAsia="Calibri" w:hAnsi="Times New Roman" w:cs="Times New Roman"/>
          <w:i/>
          <w:iCs/>
          <w:sz w:val="24"/>
          <w:szCs w:val="24"/>
        </w:rPr>
        <w:t>Jurnal Pemuliaan Hukum</w:t>
      </w:r>
      <w:r w:rsidRPr="004E7A11">
        <w:rPr>
          <w:rFonts w:ascii="Times New Roman" w:eastAsia="Calibri" w:hAnsi="Times New Roman" w:cs="Times New Roman"/>
          <w:sz w:val="24"/>
          <w:szCs w:val="24"/>
        </w:rPr>
        <w:t xml:space="preserve"> 1, no. 2 (2019).</w:t>
      </w:r>
    </w:p>
    <w:p w14:paraId="0ABB10E6"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 xml:space="preserve">Ilhami, Haniah. “KEDUDUKAN ASAS KEADILAN BERIMBANG DALAM HUKUM KEWARISAN ISLAM DIKAITKAN DENGAN PERATURAN MAHKAMAH AGUNG RI NOMOR 3 TAHUN 2017 TENTANG PEDOMAN MENGADILI PERKARA PEREMPUAN BERHADAPAN DENGAN HUKUM.” </w:t>
      </w:r>
      <w:r w:rsidRPr="004E7A11">
        <w:rPr>
          <w:rFonts w:ascii="Times New Roman" w:eastAsia="Calibri" w:hAnsi="Times New Roman" w:cs="Times New Roman"/>
          <w:i/>
          <w:iCs/>
          <w:sz w:val="24"/>
          <w:szCs w:val="24"/>
        </w:rPr>
        <w:t>Mimbar Hukum-Fakultas Hukum Universitas Gadjah Mada</w:t>
      </w:r>
      <w:r w:rsidRPr="004E7A11">
        <w:rPr>
          <w:rFonts w:ascii="Times New Roman" w:eastAsia="Calibri" w:hAnsi="Times New Roman" w:cs="Times New Roman"/>
          <w:sz w:val="24"/>
          <w:szCs w:val="24"/>
        </w:rPr>
        <w:t xml:space="preserve"> 32, no. 2 (2020): 243–59.</w:t>
      </w:r>
    </w:p>
    <w:p w14:paraId="4584067F"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 xml:space="preserve">Indrayanti, Kadek Wiwik. “Kajian Parameter Gender Dalam Substansi Peraturan Perundang-Undangan Di Indonesia.” </w:t>
      </w:r>
      <w:r w:rsidRPr="004E7A11">
        <w:rPr>
          <w:rFonts w:ascii="Times New Roman" w:eastAsia="Calibri" w:hAnsi="Times New Roman" w:cs="Times New Roman"/>
          <w:i/>
          <w:iCs/>
          <w:sz w:val="24"/>
          <w:szCs w:val="24"/>
        </w:rPr>
        <w:t>Jurnal Cakrawala Hukum</w:t>
      </w:r>
      <w:r w:rsidRPr="004E7A11">
        <w:rPr>
          <w:rFonts w:ascii="Times New Roman" w:eastAsia="Calibri" w:hAnsi="Times New Roman" w:cs="Times New Roman"/>
          <w:sz w:val="24"/>
          <w:szCs w:val="24"/>
        </w:rPr>
        <w:t xml:space="preserve"> 12, no. 2 (2021): 195–204.</w:t>
      </w:r>
    </w:p>
    <w:p w14:paraId="74F9FFCA"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Mursidah, Silmi. “Analisis Maslahah Terhadap PERMA Nomor 3 Tahun 2017 Tentang Pedoman Mengadili Perkara Perempuan Berhadapan Dengan Hukum.” UIN Sunan Ampel Surabaya, 2018.</w:t>
      </w:r>
    </w:p>
    <w:p w14:paraId="35D6D76D"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kern w:val="2"/>
          <w:sz w:val="24"/>
          <w:szCs w:val="24"/>
          <w14:ligatures w14:val="standardContextual"/>
        </w:rPr>
        <w:fldChar w:fldCharType="begin" w:fldLock="1"/>
      </w:r>
      <w:r w:rsidRPr="004E7A11">
        <w:rPr>
          <w:rFonts w:ascii="Times New Roman" w:eastAsia="Calibri" w:hAnsi="Times New Roman" w:cs="Times New Roman"/>
          <w:kern w:val="2"/>
          <w:sz w:val="24"/>
          <w:szCs w:val="24"/>
          <w14:ligatures w14:val="standardContextual"/>
        </w:rPr>
        <w:instrText>ADDIN CSL_CITATION {"citationItems":[{"id":"ITEM-1","itemData":{"ISSN":"2775-7161","author":[{"dropping-particle":"","family":"Yusmad","given":"Muammar Arafat","non-dropping-particle":"","parse-names":false,"suffix":""},{"dropping-particle":"","family":"Arif","given":"Firman Muhammad","non-dropping-particle":"","parse-names":false,"suffix":""}],"container-title":"MADDIKA: Journal of Islamic Family Law","id":"ITEM-1","issue":"2","issued":{"date-parts":[["2020"]]},"page":"11-24","title":"Menyoal Penerapan PERMA NO. 03 Tahun 2017 Tentang Pedoman Mengadili Perkara Perempuan Berhadapan Dengan Hukum Di Pengadilan (Studi di Pengadila Negeri Palopo)","type":"article-journal","volume":"1"},"uris":["http://www.mendeley.com/documents/?uuid=c83629d6-9cb7-4789-86dc-b409b105885a"]}],"mendeley":{"formattedCitation":"Muammar Arafat Yusmad and Firman Muhammad Arif, “Menyoal Penerapan PERMA NO. 03 Tahun 2017 Tentang Pedoman Mengadili Perkara Perempuan Berhadapan Dengan Hukum Di Pengadilan (Studi Di Pengadila Negeri Palopo),” &lt;i&gt;MADDIKA: Journal of Islamic Family Law&lt;/i&gt; 1, no. 2 (2020): 11–24.","plainTextFormattedCitation":"Muammar Arafat Yusmad and Firman Muhammad Arif, “Menyoal Penerapan PERMA NO. 03 Tahun 2017 Tentang Pedoman Mengadili Perkara Perempuan Berhadapan Dengan Hukum Di Pengadilan (Studi Di Pengadila Negeri Palopo),” MADDIKA: Journal of Islamic Family Law 1, no. 2 (2020): 11–24.","previouslyFormattedCitation":"Muammar Arafat Yusmad and Firman Muhammad Arif, “Menyoal Penerapan PERMA NO. 03 Tahun 2017 Tentang Pedoman Mengadili Perkara Perempuan Berhadapan Dengan Hukum Di Pengadilan (Studi Di Pengadila Negeri Palopo),” &lt;i&gt;MADDIKA: Journal of Islamic Family Law&lt;/i&gt; 1, no. 2 (2020): 11–24."},"properties":{"noteIndex":7},"schema":"https://github.com/citation-style-language/schema/raw/master/csl-citation.json"}</w:instrText>
      </w:r>
      <w:r w:rsidRPr="004E7A11">
        <w:rPr>
          <w:rFonts w:ascii="Times New Roman" w:eastAsia="Calibri" w:hAnsi="Times New Roman" w:cs="Times New Roman"/>
          <w:kern w:val="2"/>
          <w:sz w:val="24"/>
          <w:szCs w:val="24"/>
          <w14:ligatures w14:val="standardContextual"/>
        </w:rPr>
        <w:fldChar w:fldCharType="separate"/>
      </w:r>
      <w:r w:rsidRPr="004E7A11">
        <w:rPr>
          <w:rFonts w:ascii="Times New Roman" w:eastAsia="Calibri" w:hAnsi="Times New Roman" w:cs="Times New Roman"/>
          <w:kern w:val="2"/>
          <w:sz w:val="24"/>
          <w:szCs w:val="24"/>
          <w14:ligatures w14:val="standardContextual"/>
        </w:rPr>
        <w:t>Muammar Arafat Yusmad and Firman Muhammad Arif, “Menyoal Penerapan PERMA NO. 03 Tahun 2017 Tentang Pedoman Mengadili Perkara Perempuan Berhadapan Dengan Hukum Di Pengadilan (Studi Di Pengadila Negeri Palopo),” MADDIKA: Journal of Islamic Family Law 1, no. 2 (2020): 11–24.</w:t>
      </w:r>
      <w:r w:rsidRPr="004E7A11">
        <w:rPr>
          <w:rFonts w:ascii="Times New Roman" w:eastAsia="Calibri" w:hAnsi="Times New Roman" w:cs="Times New Roman"/>
          <w:kern w:val="2"/>
          <w:sz w:val="24"/>
          <w:szCs w:val="24"/>
          <w14:ligatures w14:val="standardContextual"/>
        </w:rPr>
        <w:fldChar w:fldCharType="end"/>
      </w:r>
    </w:p>
    <w:p w14:paraId="0E1351EF"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 xml:space="preserve">Nurhilmiyah, Nurhilmiyah. “Perlindungan Hukum Terhadap Perempuan Berhadapan Dengan Hukum Sebelum Dan Sesudah Lahirnya Perma Nomor 3 Tahun 2017 Tentang Pedoman Mengadili Perkara Perempuan Berhadapan Dengan Hukum.” </w:t>
      </w:r>
      <w:r w:rsidRPr="004E7A11">
        <w:rPr>
          <w:rFonts w:ascii="Times New Roman" w:eastAsia="Calibri" w:hAnsi="Times New Roman" w:cs="Times New Roman"/>
          <w:i/>
          <w:iCs/>
          <w:sz w:val="24"/>
          <w:szCs w:val="24"/>
        </w:rPr>
        <w:t>De Lega Lata: Jurnal Ilmu Hukum</w:t>
      </w:r>
      <w:r w:rsidRPr="004E7A11">
        <w:rPr>
          <w:rFonts w:ascii="Times New Roman" w:eastAsia="Calibri" w:hAnsi="Times New Roman" w:cs="Times New Roman"/>
          <w:sz w:val="24"/>
          <w:szCs w:val="24"/>
        </w:rPr>
        <w:t xml:space="preserve"> 4, no. 2 (2019): 211–19.</w:t>
      </w:r>
    </w:p>
    <w:p w14:paraId="163AEF6E"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Perempuan, Pokja, and Anak Mahkamah Agung Republik Indonesia MaPPI. “FHUI. Pedoman Mengadili Perkara Perempuan Berhadapan Dengan Hukum.” Jakarta: AIPJ, 2018.</w:t>
      </w:r>
    </w:p>
    <w:p w14:paraId="6E000BE0"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 xml:space="preserve">Suci Flambonita. “PERLINDUNGAN HUKUM TERHADAP HAK PEKERJA PEREMPUAN DI BIDANG KETENAGAKERJAAN.” </w:t>
      </w:r>
      <w:r w:rsidRPr="004E7A11">
        <w:rPr>
          <w:rFonts w:ascii="Times New Roman" w:eastAsia="Calibri" w:hAnsi="Times New Roman" w:cs="Times New Roman"/>
          <w:i/>
          <w:iCs/>
          <w:sz w:val="24"/>
          <w:szCs w:val="24"/>
        </w:rPr>
        <w:t>Simbur Cahaya</w:t>
      </w:r>
      <w:r w:rsidRPr="004E7A11">
        <w:rPr>
          <w:rFonts w:ascii="Times New Roman" w:eastAsia="Calibri" w:hAnsi="Times New Roman" w:cs="Times New Roman"/>
          <w:sz w:val="24"/>
          <w:szCs w:val="24"/>
        </w:rPr>
        <w:t xml:space="preserve"> 24, no. 1 (2017): 4397–4424. https://doi.org/http://dx.doi.org/10.28946/sc.v24i1%20Jan%202017.50.</w:t>
      </w:r>
    </w:p>
    <w:p w14:paraId="12D48411"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lastRenderedPageBreak/>
        <w:t>SUSYLAWATI, S H, and M Musawwamah. “PENERAPAN PERATURAN MAHKAMAH AGUNG TENTANG PEDOMAN MENGADILI PERKARA PEREMPUAN BERHADAPAN DENGAN HUKUM DI PERADILAN AGAMA.” Duta Media Publishing, 2020.</w:t>
      </w:r>
    </w:p>
    <w:p w14:paraId="7DDB4508"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szCs w:val="24"/>
        </w:rPr>
      </w:pPr>
      <w:r w:rsidRPr="004E7A11">
        <w:rPr>
          <w:rFonts w:ascii="Times New Roman" w:eastAsia="Calibri" w:hAnsi="Times New Roman" w:cs="Times New Roman"/>
          <w:sz w:val="24"/>
          <w:szCs w:val="24"/>
        </w:rPr>
        <w:t xml:space="preserve">Triwati, Ani. “Akses Keadilan Sebagai Perlindungan Hukum Bagi Perempuan Berhadapan Dengan Hukum Dalam Sistem Peradilan Pidana.” </w:t>
      </w:r>
      <w:r w:rsidRPr="004E7A11">
        <w:rPr>
          <w:rFonts w:ascii="Times New Roman" w:eastAsia="Calibri" w:hAnsi="Times New Roman" w:cs="Times New Roman"/>
          <w:i/>
          <w:iCs/>
          <w:sz w:val="24"/>
          <w:szCs w:val="24"/>
        </w:rPr>
        <w:t>Humani (Hukum Dan Masyarakat Madani)</w:t>
      </w:r>
      <w:r w:rsidRPr="004E7A11">
        <w:rPr>
          <w:rFonts w:ascii="Times New Roman" w:eastAsia="Calibri" w:hAnsi="Times New Roman" w:cs="Times New Roman"/>
          <w:sz w:val="24"/>
          <w:szCs w:val="24"/>
        </w:rPr>
        <w:t xml:space="preserve"> 9, no. 1 (2019): 72–91.</w:t>
      </w:r>
    </w:p>
    <w:p w14:paraId="5FF44156" w14:textId="77777777" w:rsidR="004E7A11" w:rsidRPr="004E7A11" w:rsidRDefault="004E7A11" w:rsidP="004E7A11">
      <w:pPr>
        <w:widowControl w:val="0"/>
        <w:autoSpaceDE w:val="0"/>
        <w:autoSpaceDN w:val="0"/>
        <w:adjustRightInd w:val="0"/>
        <w:spacing w:after="0" w:line="240" w:lineRule="auto"/>
        <w:ind w:left="480" w:hanging="480"/>
        <w:jc w:val="both"/>
        <w:rPr>
          <w:rFonts w:ascii="Times New Roman" w:eastAsia="Calibri" w:hAnsi="Times New Roman" w:cs="Times New Roman"/>
          <w:sz w:val="24"/>
        </w:rPr>
      </w:pPr>
      <w:r w:rsidRPr="004E7A11">
        <w:rPr>
          <w:rFonts w:ascii="Times New Roman" w:eastAsia="Calibri" w:hAnsi="Times New Roman" w:cs="Times New Roman"/>
          <w:sz w:val="24"/>
          <w:szCs w:val="24"/>
        </w:rPr>
        <w:t xml:space="preserve">Yusmad, Muammar Arafat, and Firman Muhammad Arif. “Menyoal Penerapan PERMA NO. 03 Tahun 2017 Tentang Pedoman Mengadili Perkara Perempuan Berhadapan Dengan Hukum Di Pengadilan (Studi Di Pengadila Negeri Palopo).” </w:t>
      </w:r>
      <w:r w:rsidRPr="004E7A11">
        <w:rPr>
          <w:rFonts w:ascii="Times New Roman" w:eastAsia="Calibri" w:hAnsi="Times New Roman" w:cs="Times New Roman"/>
          <w:i/>
          <w:iCs/>
          <w:sz w:val="24"/>
          <w:szCs w:val="24"/>
        </w:rPr>
        <w:t>MADDIKA: Journal of Islamic Family Law</w:t>
      </w:r>
      <w:r w:rsidRPr="004E7A11">
        <w:rPr>
          <w:rFonts w:ascii="Times New Roman" w:eastAsia="Calibri" w:hAnsi="Times New Roman" w:cs="Times New Roman"/>
          <w:sz w:val="24"/>
          <w:szCs w:val="24"/>
        </w:rPr>
        <w:t xml:space="preserve"> 1, no. 2 (2020): 11–24.</w:t>
      </w:r>
    </w:p>
    <w:p w14:paraId="387B5CC8" w14:textId="77777777" w:rsidR="004E7A11" w:rsidRPr="004E7A11" w:rsidRDefault="004E7A11" w:rsidP="004E7A11">
      <w:pPr>
        <w:spacing w:after="0" w:line="240" w:lineRule="auto"/>
        <w:jc w:val="both"/>
        <w:rPr>
          <w:rFonts w:ascii="Times New Roman" w:eastAsia="Times New Roman" w:hAnsi="Times New Roman" w:cs="Times New Roman"/>
          <w:b/>
          <w:sz w:val="24"/>
          <w:szCs w:val="24"/>
        </w:rPr>
      </w:pPr>
      <w:r w:rsidRPr="004E7A11">
        <w:rPr>
          <w:rFonts w:ascii="Times New Roman" w:eastAsia="Times New Roman" w:hAnsi="Times New Roman" w:cs="Times New Roman"/>
          <w:b/>
          <w:sz w:val="24"/>
          <w:szCs w:val="24"/>
        </w:rPr>
        <w:fldChar w:fldCharType="end"/>
      </w:r>
    </w:p>
    <w:p w14:paraId="6FA324A4" w14:textId="77777777" w:rsidR="004E7A11" w:rsidRPr="004E7A11" w:rsidRDefault="004E7A11" w:rsidP="004E7A11">
      <w:pPr>
        <w:spacing w:after="0" w:line="240" w:lineRule="auto"/>
        <w:jc w:val="both"/>
        <w:rPr>
          <w:rFonts w:ascii="Times New Roman" w:eastAsia="Times New Roman" w:hAnsi="Times New Roman" w:cs="Times New Roman"/>
          <w:b/>
          <w:sz w:val="24"/>
          <w:szCs w:val="24"/>
        </w:rPr>
      </w:pPr>
    </w:p>
    <w:p w14:paraId="1B6547F9" w14:textId="77777777" w:rsidR="004E7A11" w:rsidRPr="00B817E3" w:rsidRDefault="004E7A11" w:rsidP="00C93990">
      <w:pPr>
        <w:spacing w:after="0" w:line="360" w:lineRule="auto"/>
        <w:jc w:val="both"/>
        <w:rPr>
          <w:rFonts w:ascii="Times New Roman" w:hAnsi="Times New Roman" w:cs="Times New Roman"/>
          <w:bCs/>
          <w:color w:val="000000"/>
          <w:sz w:val="24"/>
          <w:szCs w:val="24"/>
        </w:rPr>
      </w:pPr>
    </w:p>
    <w:sectPr w:rsidR="004E7A11" w:rsidRPr="00B817E3" w:rsidSect="00284864">
      <w:footerReference w:type="default" r:id="rId9"/>
      <w:type w:val="continuous"/>
      <w:pgSz w:w="12240" w:h="15840"/>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6369" w14:textId="77777777" w:rsidR="003A0322" w:rsidRDefault="003A0322">
      <w:pPr>
        <w:spacing w:after="0" w:line="240" w:lineRule="auto"/>
      </w:pPr>
      <w:r>
        <w:separator/>
      </w:r>
    </w:p>
  </w:endnote>
  <w:endnote w:type="continuationSeparator" w:id="0">
    <w:p w14:paraId="373C8E4D" w14:textId="77777777" w:rsidR="003A0322" w:rsidRDefault="003A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294970"/>
      <w:docPartObj>
        <w:docPartGallery w:val="Page Numbers (Bottom of Page)"/>
        <w:docPartUnique/>
      </w:docPartObj>
    </w:sdtPr>
    <w:sdtEndPr>
      <w:rPr>
        <w:noProof/>
      </w:rPr>
    </w:sdtEndPr>
    <w:sdtContent>
      <w:p w14:paraId="5D1D3AAC" w14:textId="3362E2C7" w:rsidR="00BB238A" w:rsidRDefault="00BB23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776F58" w14:textId="77777777" w:rsidR="00C65136" w:rsidRDefault="00C651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10E6" w14:textId="77777777" w:rsidR="003A0322" w:rsidRDefault="003A0322">
      <w:pPr>
        <w:spacing w:after="0" w:line="240" w:lineRule="auto"/>
      </w:pPr>
      <w:r>
        <w:separator/>
      </w:r>
    </w:p>
  </w:footnote>
  <w:footnote w:type="continuationSeparator" w:id="0">
    <w:p w14:paraId="3C3B8C0B" w14:textId="77777777" w:rsidR="003A0322" w:rsidRDefault="003A0322">
      <w:pPr>
        <w:spacing w:after="0" w:line="240" w:lineRule="auto"/>
      </w:pPr>
      <w:r>
        <w:continuationSeparator/>
      </w:r>
    </w:p>
  </w:footnote>
  <w:footnote w:id="1">
    <w:p w14:paraId="59AA73EE" w14:textId="0AFA346F" w:rsidR="005C72E5" w:rsidRDefault="005C72E5" w:rsidP="005C72E5">
      <w:pPr>
        <w:pStyle w:val="FootnoteText"/>
        <w:ind w:firstLine="284"/>
      </w:pPr>
      <w:r>
        <w:t xml:space="preserve"> </w:t>
      </w:r>
      <w:r>
        <w:rPr>
          <w:rStyle w:val="FootnoteReference"/>
        </w:rPr>
        <w:footnoteRef/>
      </w:r>
      <w:r>
        <w:t xml:space="preserve"> Faculty of Law </w:t>
      </w:r>
      <w:proofErr w:type="spellStart"/>
      <w:r>
        <w:t>Sriwijaya</w:t>
      </w:r>
      <w:proofErr w:type="spellEnd"/>
      <w:r>
        <w:t xml:space="preserve"> University </w:t>
      </w:r>
    </w:p>
  </w:footnote>
  <w:footnote w:id="2">
    <w:p w14:paraId="6C87B069" w14:textId="3BBA2D5D" w:rsidR="006A2B7B" w:rsidRDefault="005C72E5" w:rsidP="006A2B7B">
      <w:pPr>
        <w:pStyle w:val="FootnoteText"/>
        <w:ind w:firstLine="284"/>
        <w:jc w:val="both"/>
      </w:pPr>
      <w:r>
        <w:t xml:space="preserve"> </w:t>
      </w:r>
      <w:r w:rsidR="006A2B7B">
        <w:rPr>
          <w:rStyle w:val="FootnoteReference"/>
        </w:rPr>
        <w:footnoteRef/>
      </w:r>
      <w:r w:rsidR="006A2B7B">
        <w:t xml:space="preserve"> </w:t>
      </w:r>
      <w:r w:rsidR="006A2B7B">
        <w:fldChar w:fldCharType="begin" w:fldLock="1"/>
      </w:r>
      <w:r w:rsidR="006A2B7B">
        <w:instrText>ADDIN CSL_CITATION {"citationItems":[{"id":"ITEM-1","itemData":{"author":[{"dropping-particle":"","family":"Perempuan","given":"Pokja","non-dropping-particle":"","parse-names":false,"suffix":""},{"dropping-particle":"","family":"MaPPI","given":"Anak Mahkamah Agung Republik Indonesia","non-dropping-particle":"","parse-names":false,"suffix":""}],"id":"ITEM-1","issued":{"date-parts":[["2018"]]},"publisher":"Jakarta: AIPJ","title":"FHUI. Pedoman Mengadili Perkara Perempuan Berhadapan Dengan Hukum","type":"article"},"uris":["http://www.mendeley.com/documents/?uuid=6b184b1a-a906-4b85-87e1-8210d1347541"]}],"mendeley":{"formattedCitation":"Pokja Perempuan and Anak Mahkamah Agung Republik Indonesia MaPPI, “FHUI. Pedoman Mengadili Perkara Perempuan Berhadapan Dengan Hukum” (Jakarta: AIPJ, 2018).","plainTextFormattedCitation":"Pokja Perempuan and Anak Mahkamah Agung Republik Indonesia MaPPI, “FHUI. Pedoman Mengadili Perkara Perempuan Berhadapan Dengan Hukum” (Jakarta: AIPJ, 2018).","previouslyFormattedCitation":"Pokja Perempuan and Anak Mahkamah Agung Republik Indonesia MaPPI, “FHUI. Pedoman Mengadili Perkara Perempuan Berhadapan Dengan Hukum” (Jakarta: AIPJ, 2018)."},"properties":{"noteIndex":1},"schema":"https://github.com/citation-style-language/schema/raw/master/csl-citation.json"}</w:instrText>
      </w:r>
      <w:r w:rsidR="006A2B7B">
        <w:fldChar w:fldCharType="separate"/>
      </w:r>
      <w:r w:rsidR="006A2B7B">
        <w:rPr>
          <w:noProof/>
        </w:rPr>
        <w:t>Pokja Perempuan and Anak Mahkamah Agung Republik Indonesia MaPPI, “FHUI. Pedoman Mengadili Perkara Perempuan Berhadapan Dengan Hukum” (Jakarta: AIPJ, 2018).</w:t>
      </w:r>
      <w:r w:rsidR="006A2B7B">
        <w:fldChar w:fldCharType="end"/>
      </w:r>
    </w:p>
  </w:footnote>
  <w:footnote w:id="3">
    <w:p w14:paraId="5D992CCE" w14:textId="77777777" w:rsidR="00DE70AC" w:rsidRDefault="00DE70AC" w:rsidP="00DE70AC">
      <w:pPr>
        <w:pStyle w:val="FootnoteText"/>
        <w:ind w:firstLine="284"/>
        <w:jc w:val="both"/>
      </w:pPr>
      <w:r>
        <w:rPr>
          <w:rStyle w:val="FootnoteReference"/>
        </w:rPr>
        <w:footnoteRef/>
      </w:r>
      <w:r>
        <w:t xml:space="preserve"> </w:t>
      </w:r>
      <w:r>
        <w:fldChar w:fldCharType="begin" w:fldLock="1"/>
      </w:r>
      <w:r>
        <w:instrText>ADDIN CSL_CITATION {"citationItems":[{"id":"ITEM-1","itemData":{"ISSN":"2654-2722","author":[{"dropping-particle":"","family":"Fauziyah","given":"Aliani","non-dropping-particle":"","parse-names":false,"suffix":""},{"dropping-particle":"","family":"Ratnaningsih","given":"Lilis","non-dropping-particle":"","parse-names":false,"suffix":""},{"dropping-particle":"","family":"Prayuti","given":"Yuyut","non-dropping-particle":"","parse-names":false,"suffix":""}],"container-title":"Jurnal Pemuliaan Hukum","id":"ITEM-1","issue":"2","issued":{"date-parts":[["2019"]]},"title":"Perlindungan Hukum Bagi Perempuan Yang Berhadapan Dengan Hukum Ditinjau Dari Peraturan Mahkamah Agung Republik Indonesia Nomor 3 Tahun 2017 Tentang Pedoman Mengadili Perkara Perempuan Berhadapan Dengan Hukum","type":"article-journal","volume":"1"},"uris":["http://www.mendeley.com/documents/?uuid=0b147d48-0be1-41da-a29e-e23d2ca94574"]}],"mendeley":{"formattedCitation":"Aliani Fauziyah, Lilis Ratnaningsih, and Yuyut Prayuti, “Perlindungan Hukum Bagi Perempuan Yang Berhadapan Dengan Hukum Ditinjau Dari Peraturan Mahkamah Agung Republik Indonesia Nomor 3 Tahun 2017 Tentang Pedoman Mengadili Perkara Perempuan Berhadapan Dengan Hukum,” &lt;i&gt;Jurnal Pemuliaan Hukum&lt;/i&gt; 1, no. 2 (2019).","plainTextFormattedCitation":"Aliani Fauziyah, Lilis Ratnaningsih, and Yuyut Prayuti, “Perlindungan Hukum Bagi Perempuan Yang Berhadapan Dengan Hukum Ditinjau Dari Peraturan Mahkamah Agung Republik Indonesia Nomor 3 Tahun 2017 Tentang Pedoman Mengadili Perkara Perempuan Berhadapan Dengan Hukum,” Jurnal Pemuliaan Hukum 1, no. 2 (2019).","previouslyFormattedCitation":"Aliani Fauziyah, Lilis Ratnaningsih, and Yuyut Prayuti, “Perlindungan Hukum Bagi Perempuan Yang Berhadapan Dengan Hukum Ditinjau Dari Peraturan Mahkamah Agung Republik Indonesia Nomor 3 Tahun 2017 Tentang Pedoman Mengadili Perkara Perempuan Berhadapan Dengan Hukum,” &lt;i&gt;Jurnal Pemuliaan Hukum&lt;/i&gt; 1, no. 2 (2019)."},"properties":{"noteIndex":2},"schema":"https://github.com/citation-style-language/schema/raw/master/csl-citation.json"}</w:instrText>
      </w:r>
      <w:r>
        <w:fldChar w:fldCharType="separate"/>
      </w:r>
      <w:r>
        <w:rPr>
          <w:noProof/>
        </w:rPr>
        <w:t xml:space="preserve">Aliani Fauziyah, Lilis Ratnaningsih, and Yuyut Prayuti, “Perlindungan Hukum Bagi Perempuan Yang Berhadapan Dengan Hukum Ditinjau Dari Peraturan Mahkamah Agung Republik Indonesia Nomor 3 Tahun 2017 Tentang Pedoman Mengadili Perkara Perempuan Berhadapan Dengan Hukum,” </w:t>
      </w:r>
      <w:r>
        <w:rPr>
          <w:i/>
          <w:noProof/>
        </w:rPr>
        <w:t>Jurnal Pemuliaan Hukum</w:t>
      </w:r>
      <w:r>
        <w:rPr>
          <w:noProof/>
        </w:rPr>
        <w:t xml:space="preserve"> 1, no. 2 (2019).</w:t>
      </w:r>
      <w:r>
        <w:fldChar w:fldCharType="end"/>
      </w:r>
    </w:p>
  </w:footnote>
  <w:footnote w:id="4">
    <w:p w14:paraId="51DA6591" w14:textId="1B1EB7D9" w:rsidR="00DE70AC" w:rsidRDefault="00DE70AC" w:rsidP="00DE70AC">
      <w:pPr>
        <w:pStyle w:val="FootnoteText"/>
        <w:ind w:firstLine="284"/>
      </w:pPr>
      <w:r>
        <w:rPr>
          <w:rStyle w:val="FootnoteReference"/>
        </w:rPr>
        <w:footnoteRef/>
      </w:r>
      <w:r>
        <w:t xml:space="preserve"> </w:t>
      </w:r>
      <w:r>
        <w:fldChar w:fldCharType="begin" w:fldLock="1"/>
      </w:r>
      <w:r>
        <w:instrText>ADDIN CSL_CITATION {"citationItems":[{"id":"ITEM-1","itemData":{"ISSN":"2477-7889","author":[{"dropping-particle":"","family":"Nurhilmiyah","given":"Nurhilmiyah","non-dropping-particle":"","parse-names":false,"suffix":""}],"container-title":"De Lega Lata: Jurnal Ilmu Hukum","id":"ITEM-1","issue":"2","issued":{"date-parts":[["2019"]]},"page":"211-219","title":"Perlindungan Hukum Terhadap Perempuan Berhadapan Dengan Hukum Sebelum Dan Sesudah Lahirnya Perma Nomor 3 Tahun 2017 Tentang Pedoman Mengadili Perkara Perempuan Berhadapan Dengan Hukum","type":"article-journal","volume":"4"},"uris":["http://www.mendeley.com/documents/?uuid=6e1c0298-d7fc-4978-89cd-afa791c3a672"]}],"mendeley":{"formattedCitation":"Nurhilmiyah Nurhilmiyah, “Perlindungan Hukum Terhadap Perempuan Berhadapan Dengan Hukum Sebelum Dan Sesudah Lahirnya Perma Nomor 3 Tahun 2017 Tentang Pedoman Mengadili Perkara Perempuan Berhadapan Dengan Hukum,” &lt;i&gt;De Lega Lata: Jurnal Ilmu Hukum&lt;/i&gt; 4, no. 2 (2019): 211–19.","plainTextFormattedCitation":"Nurhilmiyah Nurhilmiyah, “Perlindungan Hukum Terhadap Perempuan Berhadapan Dengan Hukum Sebelum Dan Sesudah Lahirnya Perma Nomor 3 Tahun 2017 Tentang Pedoman Mengadili Perkara Perempuan Berhadapan Dengan Hukum,” De Lega Lata: Jurnal Ilmu Hukum 4, no. 2 (2019): 211–19.","previouslyFormattedCitation":"Nurhilmiyah Nurhilmiyah, “Perlindungan Hukum Terhadap Perempuan Berhadapan Dengan Hukum Sebelum Dan Sesudah Lahirnya Perma Nomor 3 Tahun 2017 Tentang Pedoman Mengadili Perkara Perempuan Berhadapan Dengan Hukum,” &lt;i&gt;De Lega Lata: Jurnal Ilmu Hukum&lt;/i&gt; 4, no. 2 (2019): 211–19."},"properties":{"noteIndex":3},"schema":"https://github.com/citation-style-language/schema/raw/master/csl-citation.json"}</w:instrText>
      </w:r>
      <w:r>
        <w:fldChar w:fldCharType="separate"/>
      </w:r>
      <w:r>
        <w:rPr>
          <w:noProof/>
        </w:rPr>
        <w:t>Nurhilmiyah</w:t>
      </w:r>
      <w:r w:rsidR="004E2981">
        <w:rPr>
          <w:noProof/>
        </w:rPr>
        <w:t>,</w:t>
      </w:r>
      <w:r>
        <w:rPr>
          <w:noProof/>
        </w:rPr>
        <w:t xml:space="preserve"> Nurhilmiyah, “Perlindungan Hukum Terhadap Perempuan Berhadapan Dengan Hukum Sebelum Dan Sesudah Lahirnya Perma Nomor 3 Tahun 2017 Tentang Pedoman Mengadili Perkara Perempuan Berhadapan Dengan Hukum,” </w:t>
      </w:r>
      <w:r>
        <w:rPr>
          <w:i/>
          <w:noProof/>
        </w:rPr>
        <w:t>De Lega Lata: Jurnal Ilmu Hukum</w:t>
      </w:r>
      <w:r>
        <w:rPr>
          <w:noProof/>
        </w:rPr>
        <w:t xml:space="preserve"> 4, no. 2 (2019): 211–19.</w:t>
      </w:r>
      <w:r>
        <w:fldChar w:fldCharType="end"/>
      </w:r>
    </w:p>
  </w:footnote>
  <w:footnote w:id="5">
    <w:p w14:paraId="733BC60D" w14:textId="77777777" w:rsidR="00DE70AC" w:rsidRDefault="00DE70AC" w:rsidP="00DE70AC">
      <w:pPr>
        <w:pStyle w:val="FootnoteText"/>
        <w:ind w:firstLine="284"/>
        <w:rPr>
          <w:i/>
          <w:iCs/>
        </w:rPr>
      </w:pPr>
      <w:r>
        <w:rPr>
          <w:rStyle w:val="FootnoteReference"/>
        </w:rPr>
        <w:footnoteRef/>
      </w:r>
      <w:r>
        <w:t xml:space="preserve"> </w:t>
      </w:r>
      <w:r>
        <w:fldChar w:fldCharType="begin" w:fldLock="1"/>
      </w:r>
      <w:r>
        <w:instrText>ADDIN CSL_CITATION {"citationItems":[{"id":"ITEM-1","itemData":{"ISSN":"2477-7889","author":[{"dropping-particle":"","family":"Nurhilmiyah","given":"Nurhilmiyah","non-dropping-particle":"","parse-names":false,"suffix":""}],"container-title":"De Lega Lata: Jurnal Ilmu Hukum","id":"ITEM-1","issue":"2","issued":{"date-parts":[["2019"]]},"page":"211-219","title":"Perlindungan Hukum Terhadap Perempuan Berhadapan Dengan Hukum Sebelum Dan Sesudah Lahirnya Perma Nomor 3 Tahun 2017 Tentang Pedoman Mengadili Perkara Perempuan Berhadapan Dengan Hukum","type":"article-journal","volume":"4"},"uris":["http://www.mendeley.com/documents/?uuid=6e1c0298-d7fc-4978-89cd-afa791c3a672"]}],"mendeley":{"formattedCitation":"Nurhilmiyah.","plainTextFormattedCitation":"Nurhilmiyah.","previouslyFormattedCitation":"Nurhilmiyah."},"properties":{"noteIndex":4},"schema":"https://github.com/citation-style-language/schema/raw/master/csl-citation.json"}</w:instrText>
      </w:r>
      <w:r>
        <w:fldChar w:fldCharType="separate"/>
      </w:r>
      <w:r>
        <w:rPr>
          <w:noProof/>
        </w:rPr>
        <w:t>Nurhilmiyah.</w:t>
      </w:r>
      <w:r>
        <w:fldChar w:fldCharType="end"/>
      </w:r>
      <w:r>
        <w:t xml:space="preserve"> </w:t>
      </w:r>
      <w:r>
        <w:rPr>
          <w:i/>
          <w:iCs/>
        </w:rPr>
        <w:t>Ibid</w:t>
      </w:r>
    </w:p>
  </w:footnote>
  <w:footnote w:id="6">
    <w:p w14:paraId="7C2A76C2" w14:textId="77777777" w:rsidR="00DE70AC" w:rsidRDefault="00DE70AC" w:rsidP="00DE70AC">
      <w:pPr>
        <w:pStyle w:val="FootnoteText"/>
        <w:ind w:firstLine="284"/>
      </w:pPr>
      <w:r>
        <w:rPr>
          <w:rStyle w:val="FootnoteReference"/>
        </w:rPr>
        <w:footnoteRef/>
      </w:r>
      <w:r>
        <w:t xml:space="preserve"> </w:t>
      </w:r>
      <w:r>
        <w:rPr>
          <w:i/>
          <w:iCs/>
        </w:rPr>
        <w:t>Ibid</w:t>
      </w:r>
    </w:p>
  </w:footnote>
  <w:footnote w:id="7">
    <w:p w14:paraId="4FA73DA3" w14:textId="77777777" w:rsidR="00DE70AC" w:rsidRDefault="00DE70AC" w:rsidP="00DE70AC">
      <w:pPr>
        <w:pStyle w:val="FootnoteText"/>
        <w:ind w:firstLine="284"/>
        <w:jc w:val="both"/>
      </w:pPr>
      <w:r>
        <w:rPr>
          <w:rStyle w:val="FootnoteReference"/>
        </w:rPr>
        <w:footnoteRef/>
      </w:r>
      <w:r>
        <w:t xml:space="preserve"> </w:t>
      </w:r>
      <w:r>
        <w:fldChar w:fldCharType="begin" w:fldLock="1"/>
      </w:r>
      <w:r>
        <w:instrText>ADDIN CSL_CITATION {"citationItems":[{"id":"ITEM-1","itemData":{"ISSN":"2598-6538","author":[{"dropping-particle":"","family":"Indrayanti","given":"Kadek Wiwik","non-dropping-particle":"","parse-names":false,"suffix":""}],"container-title":"Jurnal Cakrawala Hukum","id":"ITEM-1","issue":"2","issued":{"date-parts":[["2021"]]},"page":"195-204","title":"Kajian parameter gender dalam substansi peraturan perundang-undangan di Indonesia","type":"article-journal","volume":"12"},"uris":["http://www.mendeley.com/documents/?uuid=5eaa6a8d-39f8-4ad3-9009-43719c24f97a"]}],"mendeley":{"formattedCitation":"Kadek Wiwik Indrayanti, “Kajian Parameter Gender Dalam Substansi Peraturan Perundang-Undangan Di Indonesia,” &lt;i&gt;Jurnal Cakrawala Hukum&lt;/i&gt; 12, no. 2 (2021): 195–204.","plainTextFormattedCitation":"Kadek Wiwik Indrayanti, “Kajian Parameter Gender Dalam Substansi Peraturan Perundang-Undangan Di Indonesia,” Jurnal Cakrawala Hukum 12, no. 2 (2021): 195–204.","previouslyFormattedCitation":"Kadek Wiwik Indrayanti, “Kajian Parameter Gender Dalam Substansi Peraturan Perundang-Undangan Di Indonesia,” &lt;i&gt;Jurnal Cakrawala Hukum&lt;/i&gt; 12, no. 2 (2021): 195–204."},"properties":{"noteIndex":6},"schema":"https://github.com/citation-style-language/schema/raw/master/csl-citation.json"}</w:instrText>
      </w:r>
      <w:r>
        <w:fldChar w:fldCharType="separate"/>
      </w:r>
      <w:r>
        <w:rPr>
          <w:noProof/>
        </w:rPr>
        <w:t xml:space="preserve">Kadek Wiwik Indrayanti, “Kajian Parameter Gender Dalam Substansi Peraturan Perundang-Undangan Di Indonesia,” </w:t>
      </w:r>
      <w:r>
        <w:rPr>
          <w:i/>
          <w:noProof/>
        </w:rPr>
        <w:t>Jurnal Cakrawala Hukum</w:t>
      </w:r>
      <w:r>
        <w:rPr>
          <w:noProof/>
        </w:rPr>
        <w:t xml:space="preserve"> 12, no. 2 (2021): 195–204.</w:t>
      </w:r>
      <w:r>
        <w:fldChar w:fldCharType="end"/>
      </w:r>
    </w:p>
  </w:footnote>
  <w:footnote w:id="8">
    <w:p w14:paraId="0AA5B700" w14:textId="047FB87B" w:rsidR="00DE70AC" w:rsidRDefault="00DE70AC" w:rsidP="00DE70AC">
      <w:pPr>
        <w:pStyle w:val="FootnoteText"/>
        <w:ind w:firstLine="284"/>
      </w:pPr>
      <w:r>
        <w:rPr>
          <w:rStyle w:val="FootnoteReference"/>
        </w:rPr>
        <w:footnoteRef/>
      </w:r>
      <w:r>
        <w:t xml:space="preserve"> </w:t>
      </w:r>
      <w:r>
        <w:fldChar w:fldCharType="begin" w:fldLock="1"/>
      </w:r>
      <w:r>
        <w:instrText>ADDIN CSL_CITATION {"citationItems":[{"id":"ITEM-1","itemData":{"ISSN":"2775-7161","author":[{"dropping-particle":"","family":"Yusmad","given":"Muammar Arafat","non-dropping-particle":"","parse-names":false,"suffix":""},{"dropping-particle":"","family":"Arif","given":"Firman Muhammad","non-dropping-particle":"","parse-names":false,"suffix":""}],"container-title":"MADDIKA: Journal of Islamic Family Law","id":"ITEM-1","issue":"2","issued":{"date-parts":[["2020"]]},"page":"11-24","title":"Menyoal Penerapan PERMA NO. 03 Tahun 2017 Tentang Pedoman Mengadili Perkara Perempuan Berhadapan Dengan Hukum Di Pengadilan (Studi di Pengadila Negeri Palopo)","type":"article-journal","volume":"1"},"uris":["http://www.mendeley.com/documents/?uuid=c83629d6-9cb7-4789-86dc-b409b105885a"]}],"mendeley":{"formattedCitation":"Muammar Arafat Yusmad and Firman Muhammad Arif, “Menyoal Penerapan PERMA NO. 03 Tahun 2017 Tentang Pedoman Mengadili Perkara Perempuan Berhadapan Dengan Hukum Di Pengadilan (Studi Di Pengadila Negeri Palopo),” &lt;i&gt;MADDIKA: Journal of Islamic Family Law&lt;/i&gt; 1, no. 2 (2020): 11–24.","plainTextFormattedCitation":"Muammar Arafat Yusmad and Firman Muhammad Arif, “Menyoal Penerapan PERMA NO. 03 Tahun 2017 Tentang Pedoman Mengadili Perkara Perempuan Berhadapan Dengan Hukum Di Pengadilan (Studi Di Pengadila Negeri Palopo),” MADDIKA: Journal of Islamic Family Law 1, no. 2 (2020): 11–24.","previouslyFormattedCitation":"Muammar Arafat Yusmad and Firman Muhammad Arif, “Menyoal Penerapan PERMA NO. 03 Tahun 2017 Tentang Pedoman Mengadili Perkara Perempuan Berhadapan Dengan Hukum Di Pengadilan (Studi Di Pengadila Negeri Palopo),” &lt;i&gt;MADDIKA: Journal of Islamic Family Law&lt;/i&gt; 1, no. 2 (2020): 11–24."},"properties":{"noteIndex":7},"schema":"https://github.com/citation-style-language/schema/raw/master/csl-citation.json"}</w:instrText>
      </w:r>
      <w:r>
        <w:fldChar w:fldCharType="separate"/>
      </w:r>
      <w:r>
        <w:rPr>
          <w:noProof/>
        </w:rPr>
        <w:t>Muammar Arafat Yusmad and Firman Muhammad Arif, “Menyoal Penerapan PERMA NO. 03 Tahun 2017 Tentang Pedoman Mengadili Perkara Perempuan Berhadapan Dengan Hukum Di Pengadilan (Studi Di Pengadila</w:t>
      </w:r>
      <w:r w:rsidR="004E2981">
        <w:rPr>
          <w:noProof/>
        </w:rPr>
        <w:t>n</w:t>
      </w:r>
      <w:r>
        <w:rPr>
          <w:noProof/>
        </w:rPr>
        <w:t xml:space="preserve"> Negeri Palopo),” </w:t>
      </w:r>
      <w:r>
        <w:rPr>
          <w:i/>
          <w:noProof/>
        </w:rPr>
        <w:t>MADDIKA: Journal of Islamic Family Law</w:t>
      </w:r>
      <w:r>
        <w:rPr>
          <w:noProof/>
        </w:rPr>
        <w:t xml:space="preserve"> 1, no. 2 (2020): 11–24.</w:t>
      </w:r>
      <w:r>
        <w:fldChar w:fldCharType="end"/>
      </w:r>
    </w:p>
  </w:footnote>
  <w:footnote w:id="9">
    <w:p w14:paraId="745205CD" w14:textId="6B0528C9" w:rsidR="00DE70AC" w:rsidRDefault="00DE70AC" w:rsidP="00DE70AC">
      <w:pPr>
        <w:pStyle w:val="FootnoteText"/>
        <w:ind w:firstLine="284"/>
        <w:jc w:val="both"/>
      </w:pPr>
      <w:r>
        <w:rPr>
          <w:rStyle w:val="FootnoteReference"/>
        </w:rPr>
        <w:footnoteRef/>
      </w:r>
      <w:r>
        <w:t xml:space="preserve"> </w:t>
      </w:r>
      <w:r>
        <w:fldChar w:fldCharType="begin" w:fldLock="1"/>
      </w:r>
      <w:r>
        <w:instrText>ADDIN CSL_CITATION {"citationItems":[{"id":"ITEM-1","itemData":{"ISSN":"2963-0444","author":[{"dropping-particle":"","family":"Amsori","given":"Amsori","non-dropping-particle":"","parse-names":false,"suffix":""}],"container-title":"Jurnal Hukum Indonesia","id":"ITEM-1","issue":"1","issued":{"date-parts":[["2022"]]},"page":"1-9","title":"Penanggulangan Tindak Pidana Perkosaan dalam KUHP dan Qanun Jinayat Melalui Pendekatan Keadilan Restoratif","type":"article-journal","volume":"1"},"uris":["http://www.mendeley.com/documents/?uuid=4137ae5f-2392-4f9e-9ea8-1594a7a9d290"]}],"mendeley":{"formattedCitation":"Amsori Amsori, “Penanggulangan Tindak Pidana Perkosaan Dalam KUHP Dan Qanun Jinayat Melalui Pendekatan Keadilan Restoratif,” &lt;i&gt;Jurnal Hukum Indonesia&lt;/i&gt; 1, no. 1 (2022): 1–9.","plainTextFormattedCitation":"Amsori Amsori, “Penanggulangan Tindak Pidana Perkosaan Dalam KUHP Dan Qanun Jinayat Melalui Pendekatan Keadilan Restoratif,” Jurnal Hukum Indonesia 1, no. 1 (2022): 1–9.","previouslyFormattedCitation":"Amsori Amsori, “Penanggulangan Tindak Pidana Perkosaan Dalam KUHP Dan Qanun Jinayat Melalui Pendekatan Keadilan Restoratif,” &lt;i&gt;Jurnal Hukum Indonesia&lt;/i&gt; 1, no. 1 (2022): 1–9."},"properties":{"noteIndex":8},"schema":"https://github.com/citation-style-language/schema/raw/master/csl-citation.json"}</w:instrText>
      </w:r>
      <w:r>
        <w:fldChar w:fldCharType="separate"/>
      </w:r>
      <w:r>
        <w:rPr>
          <w:noProof/>
        </w:rPr>
        <w:t>Amsori</w:t>
      </w:r>
      <w:r w:rsidR="00A43611">
        <w:rPr>
          <w:noProof/>
        </w:rPr>
        <w:t>,</w:t>
      </w:r>
      <w:r>
        <w:rPr>
          <w:noProof/>
        </w:rPr>
        <w:t xml:space="preserve"> Amsori, “Penanggulangan Tindak Pidana Perkosaan Dalam </w:t>
      </w:r>
      <w:r w:rsidR="004E2981">
        <w:rPr>
          <w:noProof/>
        </w:rPr>
        <w:t xml:space="preserve">KUHP </w:t>
      </w:r>
      <w:r>
        <w:rPr>
          <w:noProof/>
        </w:rPr>
        <w:t xml:space="preserve">Dan Qanun Jinayat Melalui Pendekatan Keadilan Restoratif,” </w:t>
      </w:r>
      <w:r>
        <w:rPr>
          <w:i/>
          <w:noProof/>
        </w:rPr>
        <w:t>Jurnal Hukum Indonesia</w:t>
      </w:r>
      <w:r>
        <w:rPr>
          <w:noProof/>
        </w:rPr>
        <w:t xml:space="preserve"> 1, no. 1 (2022): 1–9.</w:t>
      </w:r>
      <w:r>
        <w:fldChar w:fldCharType="end"/>
      </w:r>
    </w:p>
  </w:footnote>
  <w:footnote w:id="10">
    <w:p w14:paraId="7D02D997" w14:textId="77777777" w:rsidR="00DE70AC" w:rsidRDefault="00DE70AC" w:rsidP="00DE70AC">
      <w:pPr>
        <w:pStyle w:val="FootnoteText"/>
        <w:ind w:firstLine="284"/>
        <w:jc w:val="both"/>
      </w:pPr>
      <w:r>
        <w:rPr>
          <w:rStyle w:val="FootnoteReference"/>
        </w:rPr>
        <w:footnoteRef/>
      </w:r>
      <w:r>
        <w:t xml:space="preserve"> </w:t>
      </w:r>
      <w:r>
        <w:fldChar w:fldCharType="begin" w:fldLock="1"/>
      </w:r>
      <w:r>
        <w:instrText>ADDIN CSL_CITATION {"citationItems":[{"id":"ITEM-1","itemData":{"ISSN":"2654-2722","author":[{"dropping-particle":"","family":"Fauziyah","given":"Aliani","non-dropping-particle":"","parse-names":false,"suffix":""},{"dropping-particle":"","family":"Ratnaningsih","given":"Lilis","non-dropping-particle":"","parse-names":false,"suffix":""},{"dropping-particle":"","family":"Prayuti","given":"Yuyut","non-dropping-particle":"","parse-names":false,"suffix":""}],"container-title":"Jurnal Pemuliaan Hukum","id":"ITEM-1","issue":"2","issued":{"date-parts":[["2019"]]},"title":"Perlindungan Hukum Bagi Perempuan Yang Berhadapan Dengan Hukum Ditinjau Dari Peraturan Mahkamah Agung Republik Indonesia Nomor 3 Tahun 2017 Tentang Pedoman Mengadili Perkara Perempuan Berhadapan Dengan Hukum","type":"article-journal","volume":"1"},"uris":["http://www.mendeley.com/documents/?uuid=0b147d48-0be1-41da-a29e-e23d2ca94574"]}],"mendeley":{"formattedCitation":"Fauziyah, Ratnaningsih, and Prayuti, “Perlindungan Hukum Bagi Perempuan Yang Berhadapan Dengan Hukum Ditinjau Dari Peraturan Mahkamah Agung Republik Indonesia Nomor 3 Tahun 2017 Tentang Pedoman Mengadili Perkara Perempuan Berhadapan Dengan Hukum.”","plainTextFormattedCitation":"Fauziyah, Ratnaningsih, and Prayuti, “Perlindungan Hukum Bagi Perempuan Yang Berhadapan Dengan Hukum Ditinjau Dari Peraturan Mahkamah Agung Republik Indonesia Nomor 3 Tahun 2017 Tentang Pedoman Mengadili Perkara Perempuan Berhadapan Dengan Hukum.”","previouslyFormattedCitation":"Fauziyah, Ratnaningsih, and Prayuti, “Perlindungan Hukum Bagi Perempuan Yang Berhadapan Dengan Hukum Ditinjau Dari Peraturan Mahkamah Agung Republik Indonesia Nomor 3 Tahun 2017 Tentang Pedoman Mengadili Perkara Perempuan Berhadapan Dengan Hukum.”"},"properties":{"noteIndex":9},"schema":"https://github.com/citation-style-language/schema/raw/master/csl-citation.json"}</w:instrText>
      </w:r>
      <w:r>
        <w:fldChar w:fldCharType="separate"/>
      </w:r>
      <w:r>
        <w:rPr>
          <w:noProof/>
        </w:rPr>
        <w:t>Fauziyah, Ratnaningsih, and Prayuti, “Perlindungan Hukum Bagi Perempuan Yang Berhadapan Dengan Hukum Ditinjau Dari Peraturan Mahkamah Agung Republik Indonesia Nomor 3 Tahun 2017 Tentang Pedoman Mengadili Perkara Perempuan Berhadapan Dengan Hukum.”</w:t>
      </w:r>
      <w:r>
        <w:fldChar w:fldCharType="end"/>
      </w:r>
    </w:p>
  </w:footnote>
  <w:footnote w:id="11">
    <w:p w14:paraId="42B12012" w14:textId="77777777" w:rsidR="00DE70AC" w:rsidRDefault="00DE70AC" w:rsidP="00DE70AC">
      <w:pPr>
        <w:pStyle w:val="FootnoteText"/>
        <w:ind w:firstLine="284"/>
        <w:jc w:val="both"/>
      </w:pPr>
      <w:r>
        <w:rPr>
          <w:rStyle w:val="FootnoteReference"/>
        </w:rPr>
        <w:footnoteRef/>
      </w:r>
      <w:r>
        <w:t xml:space="preserve"> </w:t>
      </w:r>
      <w:r>
        <w:fldChar w:fldCharType="begin" w:fldLock="1"/>
      </w:r>
      <w:r>
        <w:instrText>ADDIN CSL_CITATION {"citationItems":[{"id":"ITEM-1","itemData":{"DOI":"http://dx.doi.org/10.28946/sc.v24i1%20Jan%202017.50","abstract":"Asas yang mendasari hak bagi perempuan diantaranya hak perspektif gender dan anti diskriminasi dalam artian bahwa perempuan memiliki hak yang seperti kaum laki-laki dalam bidang pendidikan, hukum, pekerjaan, politik, kewarganegaraan dan hak dalam perkawinan serta kewajibannya. Perempuan mempunyai atas perlindungan yang khusus sesuai dengan fungsi reproduksinya sebagaimana diatur pada pasal 11 ayat (1) CEDAW huruf f bahwa hak atas perlindungan kesehatan dan keselamatan kerja termasuk usaha perlindungan terhadap fungsi reproduksi. Para wanita boleh bekerja dalam berbagai bidang, di dalam ataupun di luar rumahnya, baik secara mandiri maupun bersama orang lain, dengan lembaga pemerintah ataupun swasta, selama pekerjaan tersebut dilakukannya dalam suasana terhormat dan sopan, selama mereka dapat memelihara agamanya, serta dapat menghindari dampak-dampak negatif dari pekerjaan tersebut terhadap diri dan lingkungannya. Pada umumnya pemberian hak bagi perempuan sama dengan hak-hak lain seperti yang telah disebutkan dalam pasal-pasal Undang-Undang Hak-Hak Asasi Manusia namun dengan alasan tadi maka lebih dipertegas lagi. Perlindungan buruh diatur di dalam Undang-Undang Nomor 13 Tahun 2003 tentang Ketenagakerjaan Pasal 67 sampai dengan Pasal 101 meliputi perlindungan buruh penyandang cacat, anak, perempuan, waktu kerja, keselamatan dan kesehatan kerja, pengupahan dan kesejahteraan. Namun demikian, perempuan sendiri masih belum banyak yang sadar bahwa hak-haknya dilindungi dan bahwa hal tersebut mempunyai pengaruh terhadap kehidupan perempuan. CEDAW memerintahkan kepada seluruh negara di dunia untuk tidak melakukan diskriminasi terhadap perempuan. Dasar hukum atas hak tersebut dalam instrumen internasional dapat ditemukan dalam Pasal 23 DUHAM, Pasal 6 ayat (1), 7 dan Pasal 8 ayat 1 butir (a) dan (b) Konvensi Internasional tentang Hak-Hak Ekonomi Sosial dan Budaya, dimana didalamnya diatur hak-hak seseorang atas suatu profesi dan pekerjaan yang berlaku bagi semua orang. Dan pada Pasal 11 CEDAW, Pasal 3 Konvensi tentang Hak-Hak Politik Perempuan, dapat ditemukan adanya perlindungan hak tersebut yang diberlakukan lebih khusus kepada semua perempuan. Dalam instrumen nasional mengenai hal ini dapat ditemukan dalam Pasal 76 Undang-Undang Nomor 13 Tahun 2003 tentang Ketenagakerjaan dan Pasal 49 (1) Undang-Undang Nomor 39 Tahun 1999 tentang HAM. Dalam Pasal 49 (1) UU HAM disebutkan bahwa ”Wanita berhak untuk memilih, dipilih, diangkat dalam pekerjaan, jabatan, dan profesi…","author":[{"dropping-particle":"","family":"Suci Flambonita","given":"","non-dropping-particle":"","parse-names":false,"suffix":""}],"container-title":"Simbur Cahaya","id":"ITEM-1","issue":"1 ","issued":{"date-parts":[["2017"]]},"page":"4397-4424","title":"PERLINDUNGAN HUKUM TERHADAP HAK PEKERJA PEREMPUAN DI BIDANG KETENAGAKERJAAN","type":"article-journal","volume":"24"},"uris":["http://www.mendeley.com/documents/?uuid=4930b9f1-f9da-39cd-81cb-7ad1fb50a7d5"]}],"mendeley":{"formattedCitation":"Suci Flambonita, “PERLINDUNGAN HUKUM TERHADAP HAK PEKERJA PEREMPUAN DI BIDANG KETENAGAKERJAAN,” &lt;i&gt;Simbur Cahaya&lt;/i&gt; 24, no. 1 (2017): 4397–4424, https://doi.org/http://dx.doi.org/10.28946/sc.v24i1%20Jan%202017.50.","plainTextFormattedCitation":"Suci Flambonita, “PERLINDUNGAN HUKUM TERHADAP HAK PEKERJA PEREMPUAN DI BIDANG KETENAGAKERJAAN,” Simbur Cahaya 24, no. 1 (2017): 4397–4424, https://doi.org/http://dx.doi.org/10.28946/sc.v24i1%20Jan%202017.50."},"properties":{"noteIndex":10},"schema":"https://github.com/citation-style-language/schema/raw/master/csl-citation.json"}</w:instrText>
      </w:r>
      <w:r>
        <w:fldChar w:fldCharType="separate"/>
      </w:r>
      <w:r>
        <w:rPr>
          <w:noProof/>
        </w:rPr>
        <w:t xml:space="preserve">Suci Flambonita, “Perlindungan Hukum Terhadap Hak Pekerja Perempuan Di Bidang Ketenagakerjaan,” </w:t>
      </w:r>
      <w:r>
        <w:rPr>
          <w:i/>
          <w:noProof/>
        </w:rPr>
        <w:t>Simbur Cahaya</w:t>
      </w:r>
      <w:r>
        <w:rPr>
          <w:noProof/>
        </w:rPr>
        <w:t xml:space="preserve"> 24, no. 1 (2017): 4397–4424, https://doi.org/http://dx.doi.org/10.28946/sc.v24i1%20Jan%202017.50.</w:t>
      </w:r>
      <w:r>
        <w:fldChar w:fldCharType="end"/>
      </w:r>
    </w:p>
  </w:footnote>
  <w:footnote w:id="12">
    <w:p w14:paraId="2CA3FD57" w14:textId="77777777" w:rsidR="00DE70AC" w:rsidRDefault="00DE70AC" w:rsidP="00DE70AC">
      <w:pPr>
        <w:pStyle w:val="FootnoteText"/>
        <w:ind w:firstLine="284"/>
        <w:jc w:val="both"/>
      </w:pPr>
      <w:r>
        <w:rPr>
          <w:rStyle w:val="FootnoteReference"/>
        </w:rPr>
        <w:footnoteRef/>
      </w:r>
      <w:r>
        <w:t xml:space="preserve"> </w:t>
      </w:r>
      <w:r>
        <w:fldChar w:fldCharType="begin" w:fldLock="1"/>
      </w:r>
      <w:r>
        <w:instrText>ADDIN CSL_CITATION {"citationItems":[{"id":"ITEM-1","itemData":{"ISBN":"6236705097","author":[{"dropping-particle":"","family":"SUSYLAWATI","given":"S H","non-dropping-particle":"","parse-names":false,"suffix":""},{"dropping-particle":"","family":"Musawwamah","given":"M","non-dropping-particle":"","parse-names":false,"suffix":""}],"id":"ITEM-1","issued":{"date-parts":[["2020"]]},"publisher":"Duta Media Publishing","title":"PENERAPAN PERATURAN MAHKAMAH AGUNG TENTANG PEDOMAN MENGADILI PERKARA PEREMPUAN BERHADAPAN DENGAN HUKUM DI PERADILAN AGAMA","type":"article"},"uris":["http://www.mendeley.com/documents/?uuid=35cd3ea1-9ba3-4fad-8edc-95e2982a5860"]}],"mendeley":{"formattedCitation":"S H SUSYLAWATI and M Musawwamah, “PENERAPAN PERATURAN MAHKAMAH AGUNG TENTANG PEDOMAN MENGADILI PERKARA PEREMPUAN BERHADAPAN DENGAN HUKUM DI PERADILAN AGAMA” (Duta Media Publishing, 2020).","manualFormatting":"S H SUSYLAWATI and M Musawwamah, “Penerapan Peraturan Mahkamah Agung Tentang Pedoman Mengadili Perkara Perempuan Berhadapan Dengan Hukum Di Peradilan Agama” (Duta Media Publishing, 2020).","plainTextFormattedCitation":"S H SUSYLAWATI and M Musawwamah, “PENERAPAN PERATURAN MAHKAMAH AGUNG TENTANG PEDOMAN MENGADILI PERKARA PEREMPUAN BERHADAPAN DENGAN HUKUM DI PERADILAN AGAMA” (Duta Media Publishing, 2020).","previouslyFormattedCitation":"S H SUSYLAWATI and M Musawwamah, “PENERAPAN PERATURAN MAHKAMAH AGUNG TENTANG PEDOMAN MENGADILI PERKARA PEREMPUAN BERHADAPAN DENGAN HUKUM DI PERADILAN AGAMA” (Duta Media Publishing, 2020)."},"properties":{"noteIndex":11},"schema":"https://github.com/citation-style-language/schema/raw/master/csl-citation.json"}</w:instrText>
      </w:r>
      <w:r>
        <w:fldChar w:fldCharType="separate"/>
      </w:r>
      <w:r>
        <w:rPr>
          <w:noProof/>
        </w:rPr>
        <w:t>S H SUSYLAWATI and M Musawwamah, “Penerapan Peraturan Mahkamah Agung Tentang Pedoman Mengadili Perkara Perempuan Berhadapan Dengan Hukum Di Peradilan Agama” (Duta Media Publishing, 2020).</w:t>
      </w:r>
      <w:r>
        <w:fldChar w:fldCharType="end"/>
      </w:r>
    </w:p>
  </w:footnote>
  <w:footnote w:id="13">
    <w:p w14:paraId="5E2E7B35" w14:textId="37FEDB3A" w:rsidR="00DE70AC" w:rsidRDefault="00DE70AC" w:rsidP="00DE70AC">
      <w:pPr>
        <w:spacing w:after="0" w:line="240" w:lineRule="auto"/>
        <w:ind w:firstLine="284"/>
        <w:rPr>
          <w:rFonts w:ascii="Calibri" w:eastAsia="SimSun" w:hAnsi="Calibri" w:cs="Calibri"/>
          <w:sz w:val="20"/>
          <w:szCs w:val="20"/>
          <w:lang w:val="en-ID" w:eastAsia="en-ID"/>
        </w:rPr>
      </w:pPr>
      <w:r>
        <w:rPr>
          <w:rStyle w:val="FootnoteReference"/>
        </w:rPr>
        <w:footnoteRef/>
      </w:r>
      <w:r>
        <w:t xml:space="preserve"> </w:t>
      </w:r>
      <w:r w:rsidR="004E2981">
        <w:rPr>
          <w:rFonts w:ascii="Times New Roman" w:hAnsi="Times New Roman" w:cs="Times New Roman"/>
          <w:sz w:val="20"/>
          <w:szCs w:val="20"/>
        </w:rPr>
        <w:t xml:space="preserve">Extracted from the interview with Mr. </w:t>
      </w:r>
      <w:r>
        <w:rPr>
          <w:rFonts w:ascii="Times New Roman" w:hAnsi="Times New Roman" w:cs="Times New Roman"/>
          <w:sz w:val="20"/>
          <w:szCs w:val="20"/>
        </w:rPr>
        <w:t>Lekat</w:t>
      </w:r>
      <w:r w:rsidR="004E2981">
        <w:rPr>
          <w:rFonts w:ascii="Times New Roman" w:hAnsi="Times New Roman" w:cs="Times New Roman"/>
          <w:sz w:val="20"/>
          <w:szCs w:val="20"/>
        </w:rPr>
        <w:t>,</w:t>
      </w:r>
      <w:r>
        <w:rPr>
          <w:rFonts w:ascii="Times New Roman" w:hAnsi="Times New Roman" w:cs="Times New Roman"/>
          <w:sz w:val="20"/>
          <w:szCs w:val="20"/>
        </w:rPr>
        <w:t xml:space="preserve"> </w:t>
      </w:r>
      <w:r w:rsidR="004E2981">
        <w:rPr>
          <w:rFonts w:ascii="Times New Roman" w:hAnsi="Times New Roman" w:cs="Times New Roman"/>
          <w:sz w:val="20"/>
          <w:szCs w:val="20"/>
        </w:rPr>
        <w:t xml:space="preserve">a judge at the Religious Court Class </w:t>
      </w:r>
      <w:r>
        <w:rPr>
          <w:rFonts w:ascii="Times New Roman" w:hAnsi="Times New Roman" w:cs="Times New Roman"/>
          <w:sz w:val="20"/>
          <w:szCs w:val="20"/>
        </w:rPr>
        <w:t>I</w:t>
      </w:r>
      <w:r w:rsidR="004E2981">
        <w:rPr>
          <w:rFonts w:ascii="Times New Roman" w:hAnsi="Times New Roman" w:cs="Times New Roman"/>
          <w:sz w:val="20"/>
          <w:szCs w:val="20"/>
        </w:rPr>
        <w:t xml:space="preserve"> A</w:t>
      </w:r>
      <w:r>
        <w:rPr>
          <w:rFonts w:ascii="Times New Roman" w:hAnsi="Times New Roman" w:cs="Times New Roman"/>
          <w:sz w:val="20"/>
          <w:szCs w:val="20"/>
        </w:rPr>
        <w:t xml:space="preserve">, </w:t>
      </w:r>
      <w:r w:rsidR="004E2981">
        <w:rPr>
          <w:rFonts w:ascii="Times New Roman" w:hAnsi="Times New Roman" w:cs="Times New Roman"/>
          <w:sz w:val="20"/>
          <w:szCs w:val="20"/>
        </w:rPr>
        <w:t xml:space="preserve">on Tuesday, September </w:t>
      </w:r>
      <w:r>
        <w:rPr>
          <w:rFonts w:ascii="Times New Roman" w:hAnsi="Times New Roman" w:cs="Times New Roman"/>
          <w:sz w:val="20"/>
          <w:szCs w:val="20"/>
        </w:rPr>
        <w:t>16</w:t>
      </w:r>
      <w:r w:rsidR="004E2981">
        <w:rPr>
          <w:rFonts w:ascii="Times New Roman" w:hAnsi="Times New Roman" w:cs="Times New Roman"/>
          <w:sz w:val="20"/>
          <w:szCs w:val="20"/>
        </w:rPr>
        <w:t>,</w:t>
      </w:r>
      <w:r>
        <w:rPr>
          <w:rFonts w:ascii="Times New Roman" w:hAnsi="Times New Roman" w:cs="Times New Roman"/>
          <w:sz w:val="20"/>
          <w:szCs w:val="20"/>
        </w:rPr>
        <w:t xml:space="preserve"> 2022</w:t>
      </w:r>
    </w:p>
  </w:footnote>
  <w:footnote w:id="14">
    <w:p w14:paraId="299E8EDF" w14:textId="21C28A72" w:rsidR="00DE70AC" w:rsidRDefault="00DE70AC" w:rsidP="00DE70AC">
      <w:pPr>
        <w:spacing w:after="0" w:line="240" w:lineRule="auto"/>
        <w:ind w:firstLine="284"/>
        <w:rPr>
          <w:rFonts w:ascii="Calibri" w:eastAsia="SimSun" w:hAnsi="Calibri" w:cs="Calibri"/>
          <w:sz w:val="20"/>
          <w:szCs w:val="20"/>
          <w:lang w:val="en-ID" w:eastAsia="en-ID"/>
        </w:rPr>
      </w:pPr>
      <w:r>
        <w:rPr>
          <w:rStyle w:val="FootnoteReference"/>
          <w:sz w:val="20"/>
          <w:szCs w:val="20"/>
        </w:rPr>
        <w:footnoteRef/>
      </w:r>
      <w:r>
        <w:rPr>
          <w:sz w:val="20"/>
          <w:szCs w:val="20"/>
        </w:rPr>
        <w:t xml:space="preserve"> </w:t>
      </w:r>
      <w:r w:rsidR="004E2981">
        <w:rPr>
          <w:rFonts w:ascii="Times New Roman" w:hAnsi="Times New Roman" w:cs="Times New Roman"/>
          <w:sz w:val="20"/>
          <w:szCs w:val="20"/>
        </w:rPr>
        <w:t>Extracted from the interview with Mr. Lekat, a judge at the Religious Court Class I A, on Tuesday, September 16, 2022</w:t>
      </w:r>
      <w:r>
        <w:rPr>
          <w:rFonts w:ascii="Times New Roman" w:hAnsi="Times New Roman" w:cs="Times New Roman"/>
          <w:sz w:val="20"/>
          <w:szCs w:val="20"/>
        </w:rPr>
        <w:t xml:space="preserve"> </w:t>
      </w:r>
      <w:r w:rsidR="004E2981">
        <w:rPr>
          <w:rFonts w:ascii="Times New Roman" w:hAnsi="Times New Roman" w:cs="Times New Roman"/>
          <w:sz w:val="20"/>
          <w:szCs w:val="20"/>
        </w:rPr>
        <w:t xml:space="preserve">and Mr. </w:t>
      </w:r>
      <w:r>
        <w:rPr>
          <w:rFonts w:ascii="Times New Roman" w:hAnsi="Times New Roman" w:cs="Times New Roman"/>
          <w:sz w:val="20"/>
          <w:szCs w:val="20"/>
        </w:rPr>
        <w:t xml:space="preserve">Dwi </w:t>
      </w:r>
      <w:proofErr w:type="spellStart"/>
      <w:r>
        <w:rPr>
          <w:rFonts w:ascii="Times New Roman" w:hAnsi="Times New Roman" w:cs="Times New Roman"/>
          <w:sz w:val="20"/>
          <w:szCs w:val="20"/>
        </w:rPr>
        <w:t>Yudho</w:t>
      </w:r>
      <w:proofErr w:type="spellEnd"/>
      <w:r w:rsidR="004E2981">
        <w:rPr>
          <w:rFonts w:ascii="Times New Roman" w:hAnsi="Times New Roman" w:cs="Times New Roman"/>
          <w:sz w:val="20"/>
          <w:szCs w:val="20"/>
        </w:rPr>
        <w:t>,</w:t>
      </w:r>
      <w:r>
        <w:rPr>
          <w:rFonts w:ascii="Times New Roman" w:hAnsi="Times New Roman" w:cs="Times New Roman"/>
          <w:sz w:val="20"/>
          <w:szCs w:val="20"/>
        </w:rPr>
        <w:t xml:space="preserve"> </w:t>
      </w:r>
      <w:r w:rsidR="004E2981">
        <w:rPr>
          <w:rFonts w:ascii="Times New Roman" w:hAnsi="Times New Roman" w:cs="Times New Roman"/>
          <w:sz w:val="20"/>
          <w:szCs w:val="20"/>
        </w:rPr>
        <w:t xml:space="preserve">a judge at the Court Martial </w:t>
      </w:r>
      <w:r>
        <w:rPr>
          <w:rFonts w:ascii="Times New Roman" w:hAnsi="Times New Roman" w:cs="Times New Roman"/>
          <w:sz w:val="20"/>
          <w:szCs w:val="20"/>
        </w:rPr>
        <w:t xml:space="preserve">I 04 Palembang, </w:t>
      </w:r>
      <w:r w:rsidR="004E2981">
        <w:rPr>
          <w:rFonts w:ascii="Times New Roman" w:hAnsi="Times New Roman" w:cs="Times New Roman"/>
          <w:sz w:val="20"/>
          <w:szCs w:val="20"/>
        </w:rPr>
        <w:t xml:space="preserve">on Monday, </w:t>
      </w:r>
      <w:r>
        <w:rPr>
          <w:rFonts w:ascii="Times New Roman" w:hAnsi="Times New Roman" w:cs="Times New Roman"/>
          <w:sz w:val="20"/>
          <w:szCs w:val="20"/>
        </w:rPr>
        <w:t xml:space="preserve">September </w:t>
      </w:r>
      <w:r w:rsidR="004E2981">
        <w:rPr>
          <w:rFonts w:ascii="Times New Roman" w:hAnsi="Times New Roman" w:cs="Times New Roman"/>
          <w:sz w:val="20"/>
          <w:szCs w:val="20"/>
        </w:rPr>
        <w:t xml:space="preserve">19, </w:t>
      </w:r>
      <w:r>
        <w:rPr>
          <w:rFonts w:ascii="Times New Roman" w:hAnsi="Times New Roman" w:cs="Times New Roman"/>
          <w:sz w:val="20"/>
          <w:szCs w:val="20"/>
        </w:rPr>
        <w:t>2022</w:t>
      </w:r>
    </w:p>
  </w:footnote>
  <w:footnote w:id="15">
    <w:p w14:paraId="2B19425C" w14:textId="46A1BA9D" w:rsidR="00DE70AC" w:rsidRDefault="00DE70AC" w:rsidP="004E2981">
      <w:pPr>
        <w:pStyle w:val="FootnoteText"/>
        <w:ind w:firstLine="284"/>
        <w:rPr>
          <w:sz w:val="24"/>
          <w:szCs w:val="24"/>
          <w:lang w:val="en-ID" w:eastAsia="en-ID"/>
        </w:rPr>
      </w:pPr>
      <w:r>
        <w:rPr>
          <w:rStyle w:val="FootnoteReference"/>
        </w:rPr>
        <w:footnoteRef/>
      </w:r>
      <w:r>
        <w:t xml:space="preserve"> </w:t>
      </w:r>
      <w:r w:rsidR="004E2981">
        <w:t xml:space="preserve">Extracted from the interview with Mrs. </w:t>
      </w:r>
      <w:proofErr w:type="spellStart"/>
      <w:r>
        <w:t>Khotimah</w:t>
      </w:r>
      <w:proofErr w:type="spellEnd"/>
      <w:r>
        <w:t xml:space="preserve">, </w:t>
      </w:r>
      <w:r w:rsidR="004E2981">
        <w:t xml:space="preserve">a registry employee of the District Religious Court Class </w:t>
      </w:r>
      <w:r>
        <w:t xml:space="preserve">IA, September </w:t>
      </w:r>
      <w:r w:rsidR="004E2981">
        <w:t xml:space="preserve">2, </w:t>
      </w:r>
      <w:r>
        <w:t>2022</w:t>
      </w:r>
    </w:p>
    <w:p w14:paraId="03137B06" w14:textId="77777777" w:rsidR="00DE70AC" w:rsidRDefault="00DE70AC" w:rsidP="00DE70AC">
      <w:pPr>
        <w:pStyle w:val="FootnoteText"/>
      </w:pPr>
    </w:p>
  </w:footnote>
  <w:footnote w:id="16">
    <w:p w14:paraId="69285D67" w14:textId="77777777" w:rsidR="00DE70AC" w:rsidRDefault="00DE70AC" w:rsidP="00DE70AC">
      <w:pPr>
        <w:pStyle w:val="FootnoteText"/>
        <w:ind w:firstLine="284"/>
        <w:jc w:val="both"/>
        <w:rPr>
          <w:sz w:val="24"/>
          <w:szCs w:val="24"/>
          <w:lang w:val="en-ID" w:eastAsia="en-ID"/>
        </w:rPr>
      </w:pPr>
      <w:r>
        <w:rPr>
          <w:rStyle w:val="FootnoteReference"/>
        </w:rPr>
        <w:footnoteRef/>
      </w:r>
      <w:r>
        <w:t xml:space="preserve"> PN </w:t>
      </w:r>
      <w:proofErr w:type="spellStart"/>
      <w:r>
        <w:t>Purwakarta</w:t>
      </w:r>
      <w:proofErr w:type="spellEnd"/>
      <w:r>
        <w:t xml:space="preserve">, Perma </w:t>
      </w:r>
      <w:proofErr w:type="spellStart"/>
      <w:r>
        <w:t>Nomor</w:t>
      </w:r>
      <w:proofErr w:type="spellEnd"/>
      <w:r>
        <w:t xml:space="preserve"> 3 </w:t>
      </w:r>
      <w:proofErr w:type="spellStart"/>
      <w:r>
        <w:t>Tahun</w:t>
      </w:r>
      <w:proofErr w:type="spellEnd"/>
      <w:r>
        <w:t xml:space="preserve"> 2017 </w:t>
      </w:r>
      <w:proofErr w:type="spellStart"/>
      <w:r>
        <w:t>Tentang</w:t>
      </w:r>
      <w:proofErr w:type="spellEnd"/>
      <w:r>
        <w:t xml:space="preserve"> </w:t>
      </w:r>
      <w:proofErr w:type="spellStart"/>
      <w:r>
        <w:t>Pedoman</w:t>
      </w:r>
      <w:proofErr w:type="spellEnd"/>
      <w:r>
        <w:t xml:space="preserve"> </w:t>
      </w:r>
      <w:proofErr w:type="spellStart"/>
      <w:r>
        <w:t>Mengadili</w:t>
      </w:r>
      <w:proofErr w:type="spellEnd"/>
      <w:r>
        <w:t xml:space="preserve"> </w:t>
      </w:r>
      <w:proofErr w:type="spellStart"/>
      <w:r>
        <w:t>Perkara</w:t>
      </w:r>
      <w:proofErr w:type="spellEnd"/>
      <w:r>
        <w:t xml:space="preserve"> Perempuan </w:t>
      </w:r>
      <w:proofErr w:type="spellStart"/>
      <w:r>
        <w:t>Berhadapan</w:t>
      </w:r>
      <w:proofErr w:type="spellEnd"/>
      <w:r>
        <w:t xml:space="preserve"> </w:t>
      </w:r>
      <w:proofErr w:type="spellStart"/>
      <w:r>
        <w:t>Dengan</w:t>
      </w:r>
      <w:proofErr w:type="spellEnd"/>
      <w:r>
        <w:t xml:space="preserve"> </w:t>
      </w:r>
      <w:proofErr w:type="gramStart"/>
      <w:r>
        <w:t>Hukum .</w:t>
      </w:r>
      <w:proofErr w:type="gramEnd"/>
    </w:p>
    <w:p w14:paraId="4C941A93" w14:textId="77777777" w:rsidR="00DE70AC" w:rsidRDefault="00DE70AC" w:rsidP="00DE70AC">
      <w:pPr>
        <w:rPr>
          <w:rFonts w:ascii="Calibri" w:eastAsia="SimSun" w:hAnsi="Calibri" w:cs="Calibri"/>
          <w:sz w:val="24"/>
          <w:szCs w:val="24"/>
          <w:lang w:val="en-ID" w:eastAsia="en-ID"/>
        </w:rPr>
      </w:pPr>
    </w:p>
    <w:p w14:paraId="68CC514B" w14:textId="77777777" w:rsidR="00DE70AC" w:rsidRDefault="00DE70AC" w:rsidP="00DE70AC">
      <w:pPr>
        <w:pStyle w:val="FootnoteText"/>
      </w:pPr>
    </w:p>
  </w:footnote>
  <w:footnote w:id="17">
    <w:p w14:paraId="4499E5DE" w14:textId="77777777" w:rsidR="00DE70AC" w:rsidRDefault="00DE70AC" w:rsidP="00DE70AC">
      <w:pPr>
        <w:pStyle w:val="FootnoteText"/>
        <w:ind w:firstLine="284"/>
        <w:jc w:val="both"/>
      </w:pPr>
      <w:r>
        <w:rPr>
          <w:rStyle w:val="FootnoteReference"/>
        </w:rPr>
        <w:footnoteRef/>
      </w:r>
      <w:r>
        <w:t xml:space="preserve"> </w:t>
      </w:r>
      <w:r>
        <w:fldChar w:fldCharType="begin" w:fldLock="1"/>
      </w:r>
      <w:r>
        <w:instrText>ADDIN CSL_CITATION {"citationItems":[{"id":"ITEM-1","itemData":{"ISSN":"2443-0994","author":[{"dropping-particle":"","family":"Ilhami","given":"Haniah","non-dropping-particle":"","parse-names":false,"suffix":""}],"container-title":"Mimbar Hukum-Fakultas Hukum Universitas Gadjah Mada","id":"ITEM-1","issue":"2","issued":{"date-parts":[["2020"]]},"page":"243-259","title":"KEDUDUKAN ASAS KEADILAN BERIMBANG DALAM HUKUM KEWARISAN ISLAM DIKAITKAN DENGAN PERATURAN MAHKAMAH AGUNG RI NOMOR 3 TAHUN 2017 TENTANG PEDOMAN MENGADILI PERKARA PEREMPUAN BERHADAPAN DENGAN HUKUM","type":"article-journal","volume":"32"},"uris":["http://www.mendeley.com/documents/?uuid=50de29c3-a5db-48a6-ac97-38efb90a1e51"]}],"mendeley":{"formattedCitation":"Haniah Ilhami, “KEDUDUKAN ASAS KEADILAN BERIMBANG DALAM HUKUM KEWARISAN ISLAM DIKAITKAN DENGAN PERATURAN MAHKAMAH AGUNG RI NOMOR 3 TAHUN 2017 TENTANG PEDOMAN MENGADILI PERKARA PEREMPUAN BERHADAPAN DENGAN HUKUM,” &lt;i&gt;Mimbar Hukum-Fakultas Hukum Universitas Gadjah Mada&lt;/i&gt; 32, no. 2 (2020): 243–59.","plainTextFormattedCitation":"Haniah Ilhami, “KEDUDUKAN ASAS KEADILAN BERIMBANG DALAM HUKUM KEWARISAN ISLAM DIKAITKAN DENGAN PERATURAN MAHKAMAH AGUNG RI NOMOR 3 TAHUN 2017 TENTANG PEDOMAN MENGADILI PERKARA PEREMPUAN BERHADAPAN DENGAN HUKUM,” Mimbar Hukum-Fakultas Hukum Universitas Gadjah Mada 32, no. 2 (2020): 243–59.","previouslyFormattedCitation":"Haniah Ilhami, “KEDUDUKAN ASAS KEADILAN BERIMBANG DALAM HUKUM KEWARISAN ISLAM DIKAITKAN DENGAN PERATURAN MAHKAMAH AGUNG RI NOMOR 3 TAHUN 2017 TENTANG PEDOMAN MENGADILI PERKARA PEREMPUAN BERHADAPAN DENGAN HUKUM,” &lt;i&gt;Mimbar Hukum-Fakultas Hukum Universitas Gadjah Mada&lt;/i&gt; 32, no. 2 (2020): 243–59."},"properties":{"noteIndex":16},"schema":"https://github.com/citation-style-language/schema/raw/master/csl-citation.json"}</w:instrText>
      </w:r>
      <w:r>
        <w:fldChar w:fldCharType="separate"/>
      </w:r>
      <w:r>
        <w:rPr>
          <w:noProof/>
        </w:rPr>
        <w:t xml:space="preserve">Haniah Ilhami, “KEDUDUKAN ASAS KEADILAN BERIMBANG DALAM HUKUM KEWARISAN ISLAM DIKAITKAN DENGAN PERATURAN MAHKAMAH AGUNG RI NOMOR 3 TAHUN 2017 TENTANG PEDOMAN MENGADILI PERKARA PEREMPUAN BERHADAPAN DENGAN HUKUM,” </w:t>
      </w:r>
      <w:r>
        <w:rPr>
          <w:i/>
          <w:noProof/>
        </w:rPr>
        <w:t>Mimbar Hukum-Fakultas Hukum Universitas Gadjah Mada</w:t>
      </w:r>
      <w:r>
        <w:rPr>
          <w:noProof/>
        </w:rPr>
        <w:t xml:space="preserve"> 32, no. 2 (2020): 243–59.</w:t>
      </w:r>
      <w:r>
        <w:fldChar w:fldCharType="end"/>
      </w:r>
    </w:p>
  </w:footnote>
  <w:footnote w:id="18">
    <w:p w14:paraId="2615F07E" w14:textId="77777777" w:rsidR="004E7A11" w:rsidRDefault="004E7A11" w:rsidP="004E7A11">
      <w:pPr>
        <w:pStyle w:val="FootnoteText"/>
        <w:ind w:firstLine="284"/>
      </w:pPr>
      <w:r>
        <w:rPr>
          <w:rStyle w:val="FootnoteReference"/>
        </w:rPr>
        <w:footnoteRef/>
      </w:r>
      <w:r>
        <w:t xml:space="preserve"> </w:t>
      </w:r>
      <w:r>
        <w:fldChar w:fldCharType="begin" w:fldLock="1"/>
      </w:r>
      <w:r>
        <w:instrText>ADDIN CSL_CITATION {"citationItems":[{"id":"ITEM-1","itemData":{"author":[{"dropping-particle":"","family":"Mursidah","given":"Silmi","non-dropping-particle":"","parse-names":false,"suffix":""}],"id":"ITEM-1","issued":{"date-parts":[["2018"]]},"publisher":"UIN Sunan Ampel Surabaya","title":"Analisis maslahah terhadap PERMA nomor 3 tahun 2017 tentang pedoman mengadili perkara perempuan berhadapan dengan hukum","type":"article"},"uris":["http://www.mendeley.com/documents/?uuid=ad088ab8-50b1-4c04-87d7-3f6ce0a5aa43"]}],"mendeley":{"formattedCitation":"Silmi Mursidah, “Analisis Maslahah Terhadap PERMA Nomor 3 Tahun 2017 Tentang Pedoman Mengadili Perkara Perempuan Berhadapan Dengan Hukum” (UIN Sunan Ampel Surabaya, 2018).","plainTextFormattedCitation":"Silmi Mursidah, “Analisis Maslahah Terhadap PERMA Nomor 3 Tahun 2017 Tentang Pedoman Mengadili Perkara Perempuan Berhadapan Dengan Hukum” (UIN Sunan Ampel Surabaya, 2018).","previouslyFormattedCitation":"Silmi Mursidah, “Analisis Maslahah Terhadap PERMA Nomor 3 Tahun 2017 Tentang Pedoman Mengadili Perkara Perempuan Berhadapan Dengan Hukum” (UIN Sunan Ampel Surabaya, 2018)."},"properties":{"noteIndex":17},"schema":"https://github.com/citation-style-language/schema/raw/master/csl-citation.json"}</w:instrText>
      </w:r>
      <w:r>
        <w:fldChar w:fldCharType="separate"/>
      </w:r>
      <w:r>
        <w:rPr>
          <w:noProof/>
        </w:rPr>
        <w:t>Silmi Mursidah, “Analisis Maslahah Terhadap PERMA Nomor 3 Tahun 2017 Tentang Pedoman Mengadili Perkara Perempuan Berhadapan Dengan Hukum” (UIN Sunan Ampel Surabaya, 2018).</w:t>
      </w:r>
      <w:r>
        <w:fldChar w:fldCharType="end"/>
      </w:r>
    </w:p>
  </w:footnote>
  <w:footnote w:id="19">
    <w:p w14:paraId="4557B434" w14:textId="77777777" w:rsidR="004E7A11" w:rsidRDefault="004E7A11" w:rsidP="004E7A11">
      <w:pPr>
        <w:pStyle w:val="FootnoteText"/>
        <w:ind w:firstLine="284"/>
      </w:pPr>
      <w:r>
        <w:rPr>
          <w:rStyle w:val="FootnoteReference"/>
        </w:rPr>
        <w:footnoteRef/>
      </w:r>
      <w:r>
        <w:t xml:space="preserve"> </w:t>
      </w:r>
      <w:r>
        <w:fldChar w:fldCharType="begin" w:fldLock="1"/>
      </w:r>
      <w:r>
        <w:instrText>ADDIN CSL_CITATION {"citationItems":[{"id":"ITEM-1","itemData":{"ISSN":"2580-8516","author":[{"dropping-particle":"","family":"Triwati","given":"Ani","non-dropping-particle":"","parse-names":false,"suffix":""}],"container-title":"Humani (Hukum dan Masyarakat Madani)","id":"ITEM-1","issue":"1","issued":{"date-parts":[["2019"]]},"page":"72-91","title":"Akses Keadilan Sebagai Perlindungan Hukum Bagi Perempuan Berhadapan Dengan Hukum Dalam Sistem Peradilan Pidana","type":"article-journal","volume":"9"},"uris":["http://www.mendeley.com/documents/?uuid=beab3619-fed6-414d-a1ce-83ad8af06f98"]}],"mendeley":{"formattedCitation":"Ani Triwati, “Akses Keadilan Sebagai Perlindungan Hukum Bagi Perempuan Berhadapan Dengan Hukum Dalam Sistem Peradilan Pidana,” &lt;i&gt;Humani (Hukum Dan Masyarakat Madani)&lt;/i&gt; 9, no. 1 (2019): 72–91.","plainTextFormattedCitation":"Ani Triwati, “Akses Keadilan Sebagai Perlindungan Hukum Bagi Perempuan Berhadapan Dengan Hukum Dalam Sistem Peradilan Pidana,” Humani (Hukum Dan Masyarakat Madani) 9, no. 1 (2019): 72–91.","previouslyFormattedCitation":"Ani Triwati, “Akses Keadilan Sebagai Perlindungan Hukum Bagi Perempuan Berhadapan Dengan Hukum Dalam Sistem Peradilan Pidana,” &lt;i&gt;Humani (Hukum Dan Masyarakat Madani)&lt;/i&gt; 9, no. 1 (2019): 72–91."},"properties":{"noteIndex":18},"schema":"https://github.com/citation-style-language/schema/raw/master/csl-citation.json"}</w:instrText>
      </w:r>
      <w:r>
        <w:fldChar w:fldCharType="separate"/>
      </w:r>
      <w:r>
        <w:rPr>
          <w:noProof/>
        </w:rPr>
        <w:t xml:space="preserve">Ani Triwati, “Akses Keadilan Sebagai Perlindungan Hukum Bagi Perempuan Berhadapan Dengan Hukum Dalam Sistem Peradilan Pidana,” </w:t>
      </w:r>
      <w:r>
        <w:rPr>
          <w:i/>
          <w:noProof/>
        </w:rPr>
        <w:t>Humani (Hukum Dan Masyarakat Madani)</w:t>
      </w:r>
      <w:r>
        <w:rPr>
          <w:noProof/>
        </w:rPr>
        <w:t xml:space="preserve"> 9, no. 1 (2019): 72–91.</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474"/>
    <w:multiLevelType w:val="hybridMultilevel"/>
    <w:tmpl w:val="7F3A681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34B6"/>
    <w:multiLevelType w:val="multilevel"/>
    <w:tmpl w:val="DF8206E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5F0742C"/>
    <w:multiLevelType w:val="hybridMultilevel"/>
    <w:tmpl w:val="2EF2882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16359"/>
    <w:multiLevelType w:val="multilevel"/>
    <w:tmpl w:val="379EF03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09041C06"/>
    <w:multiLevelType w:val="hybridMultilevel"/>
    <w:tmpl w:val="844CF18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B2F59"/>
    <w:multiLevelType w:val="hybridMultilevel"/>
    <w:tmpl w:val="4A040828"/>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6D5C"/>
    <w:multiLevelType w:val="hybridMultilevel"/>
    <w:tmpl w:val="15B404B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721F4"/>
    <w:multiLevelType w:val="hybridMultilevel"/>
    <w:tmpl w:val="7D2C9552"/>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26D1C"/>
    <w:multiLevelType w:val="hybridMultilevel"/>
    <w:tmpl w:val="3C94526C"/>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31E9B"/>
    <w:multiLevelType w:val="hybridMultilevel"/>
    <w:tmpl w:val="CCBA8672"/>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82E5F"/>
    <w:multiLevelType w:val="multilevel"/>
    <w:tmpl w:val="37D8D526"/>
    <w:lvl w:ilvl="0">
      <w:start w:val="5"/>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1BC34898"/>
    <w:multiLevelType w:val="hybridMultilevel"/>
    <w:tmpl w:val="1CBA597C"/>
    <w:lvl w:ilvl="0" w:tplc="796EFD1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473E0"/>
    <w:multiLevelType w:val="hybridMultilevel"/>
    <w:tmpl w:val="78CEF1B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B5BE9"/>
    <w:multiLevelType w:val="hybridMultilevel"/>
    <w:tmpl w:val="99D656CC"/>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727BD"/>
    <w:multiLevelType w:val="hybridMultilevel"/>
    <w:tmpl w:val="5112839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D1019"/>
    <w:multiLevelType w:val="multilevel"/>
    <w:tmpl w:val="9220747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395249CC"/>
    <w:multiLevelType w:val="hybridMultilevel"/>
    <w:tmpl w:val="A7981F9C"/>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7550"/>
    <w:multiLevelType w:val="hybridMultilevel"/>
    <w:tmpl w:val="7C60030A"/>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83057"/>
    <w:multiLevelType w:val="hybridMultilevel"/>
    <w:tmpl w:val="63180CD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14DE0"/>
    <w:multiLevelType w:val="hybridMultilevel"/>
    <w:tmpl w:val="AD68155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A1ED3"/>
    <w:multiLevelType w:val="hybridMultilevel"/>
    <w:tmpl w:val="84D8FB88"/>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D5269F"/>
    <w:multiLevelType w:val="multilevel"/>
    <w:tmpl w:val="D09A30F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15:restartNumberingAfterBreak="0">
    <w:nsid w:val="5FF3304C"/>
    <w:multiLevelType w:val="hybridMultilevel"/>
    <w:tmpl w:val="19ECF4D0"/>
    <w:lvl w:ilvl="0" w:tplc="6CE04F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529B2"/>
    <w:multiLevelType w:val="hybridMultilevel"/>
    <w:tmpl w:val="A1920ED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40C4369"/>
    <w:multiLevelType w:val="hybridMultilevel"/>
    <w:tmpl w:val="C91477A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2118A"/>
    <w:multiLevelType w:val="multilevel"/>
    <w:tmpl w:val="1DA2170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15:restartNumberingAfterBreak="0">
    <w:nsid w:val="7CC431B9"/>
    <w:multiLevelType w:val="hybridMultilevel"/>
    <w:tmpl w:val="7E32E540"/>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A57D7"/>
    <w:multiLevelType w:val="hybridMultilevel"/>
    <w:tmpl w:val="3A261B8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92256"/>
    <w:multiLevelType w:val="multilevel"/>
    <w:tmpl w:val="D996CBB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1639607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609555">
    <w:abstractNumId w:val="21"/>
  </w:num>
  <w:num w:numId="3" w16cid:durableId="582180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710663">
    <w:abstractNumId w:val="10"/>
  </w:num>
  <w:num w:numId="5" w16cid:durableId="66567143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001340">
    <w:abstractNumId w:val="28"/>
  </w:num>
  <w:num w:numId="7" w16cid:durableId="1171332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207030">
    <w:abstractNumId w:val="15"/>
  </w:num>
  <w:num w:numId="9" w16cid:durableId="1923445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434002">
    <w:abstractNumId w:val="3"/>
  </w:num>
  <w:num w:numId="11" w16cid:durableId="1746030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6129577">
    <w:abstractNumId w:val="1"/>
  </w:num>
  <w:num w:numId="13" w16cid:durableId="1248153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085168">
    <w:abstractNumId w:val="23"/>
  </w:num>
  <w:num w:numId="15" w16cid:durableId="31268940">
    <w:abstractNumId w:val="16"/>
  </w:num>
  <w:num w:numId="16" w16cid:durableId="1478718146">
    <w:abstractNumId w:val="20"/>
  </w:num>
  <w:num w:numId="17" w16cid:durableId="410353305">
    <w:abstractNumId w:val="26"/>
  </w:num>
  <w:num w:numId="18" w16cid:durableId="712269821">
    <w:abstractNumId w:val="13"/>
  </w:num>
  <w:num w:numId="19" w16cid:durableId="91248762">
    <w:abstractNumId w:val="2"/>
  </w:num>
  <w:num w:numId="20" w16cid:durableId="386151783">
    <w:abstractNumId w:val="0"/>
  </w:num>
  <w:num w:numId="21" w16cid:durableId="1044207735">
    <w:abstractNumId w:val="12"/>
  </w:num>
  <w:num w:numId="22" w16cid:durableId="687560295">
    <w:abstractNumId w:val="27"/>
  </w:num>
  <w:num w:numId="23" w16cid:durableId="1748115848">
    <w:abstractNumId w:val="4"/>
  </w:num>
  <w:num w:numId="24" w16cid:durableId="980891426">
    <w:abstractNumId w:val="22"/>
  </w:num>
  <w:num w:numId="25" w16cid:durableId="877396596">
    <w:abstractNumId w:val="17"/>
  </w:num>
  <w:num w:numId="26" w16cid:durableId="1235318708">
    <w:abstractNumId w:val="24"/>
  </w:num>
  <w:num w:numId="27" w16cid:durableId="732967722">
    <w:abstractNumId w:val="11"/>
  </w:num>
  <w:num w:numId="28" w16cid:durableId="1749304861">
    <w:abstractNumId w:val="7"/>
  </w:num>
  <w:num w:numId="29" w16cid:durableId="2088526451">
    <w:abstractNumId w:val="9"/>
  </w:num>
  <w:num w:numId="30" w16cid:durableId="1755013646">
    <w:abstractNumId w:val="8"/>
  </w:num>
  <w:num w:numId="31" w16cid:durableId="1155145105">
    <w:abstractNumId w:val="6"/>
  </w:num>
  <w:num w:numId="32" w16cid:durableId="851649502">
    <w:abstractNumId w:val="18"/>
  </w:num>
  <w:num w:numId="33" w16cid:durableId="1648169961">
    <w:abstractNumId w:val="5"/>
  </w:num>
  <w:num w:numId="34" w16cid:durableId="1497115071">
    <w:abstractNumId w:val="14"/>
  </w:num>
  <w:num w:numId="35" w16cid:durableId="9903346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2C"/>
    <w:rsid w:val="00006786"/>
    <w:rsid w:val="00011C3A"/>
    <w:rsid w:val="00034FA8"/>
    <w:rsid w:val="000408B1"/>
    <w:rsid w:val="000460D7"/>
    <w:rsid w:val="00060690"/>
    <w:rsid w:val="00060820"/>
    <w:rsid w:val="0007169F"/>
    <w:rsid w:val="000A1379"/>
    <w:rsid w:val="000A6937"/>
    <w:rsid w:val="000B14E3"/>
    <w:rsid w:val="000B2B93"/>
    <w:rsid w:val="000D229C"/>
    <w:rsid w:val="000D313B"/>
    <w:rsid w:val="000E112C"/>
    <w:rsid w:val="001035C5"/>
    <w:rsid w:val="001173BF"/>
    <w:rsid w:val="00122FBF"/>
    <w:rsid w:val="00133228"/>
    <w:rsid w:val="00133868"/>
    <w:rsid w:val="00134E83"/>
    <w:rsid w:val="00147AC9"/>
    <w:rsid w:val="00161E31"/>
    <w:rsid w:val="00162ABA"/>
    <w:rsid w:val="00170EB6"/>
    <w:rsid w:val="00173673"/>
    <w:rsid w:val="0017535A"/>
    <w:rsid w:val="001768C0"/>
    <w:rsid w:val="001771BA"/>
    <w:rsid w:val="001858E7"/>
    <w:rsid w:val="001A03F6"/>
    <w:rsid w:val="001A3673"/>
    <w:rsid w:val="001C49E4"/>
    <w:rsid w:val="001C4D72"/>
    <w:rsid w:val="001C7407"/>
    <w:rsid w:val="001E17EC"/>
    <w:rsid w:val="00206C44"/>
    <w:rsid w:val="00211492"/>
    <w:rsid w:val="0021432B"/>
    <w:rsid w:val="00224858"/>
    <w:rsid w:val="002335BD"/>
    <w:rsid w:val="00242217"/>
    <w:rsid w:val="002422D3"/>
    <w:rsid w:val="00243E6E"/>
    <w:rsid w:val="002530BD"/>
    <w:rsid w:val="00256A77"/>
    <w:rsid w:val="0027147B"/>
    <w:rsid w:val="00273ACB"/>
    <w:rsid w:val="00284864"/>
    <w:rsid w:val="00290826"/>
    <w:rsid w:val="002934E6"/>
    <w:rsid w:val="0029353C"/>
    <w:rsid w:val="002A61CD"/>
    <w:rsid w:val="002B5D3C"/>
    <w:rsid w:val="002E0683"/>
    <w:rsid w:val="002F08B1"/>
    <w:rsid w:val="002F3915"/>
    <w:rsid w:val="00304817"/>
    <w:rsid w:val="00314CD4"/>
    <w:rsid w:val="003232DD"/>
    <w:rsid w:val="003359DD"/>
    <w:rsid w:val="00341129"/>
    <w:rsid w:val="0034564D"/>
    <w:rsid w:val="00350106"/>
    <w:rsid w:val="00373D3B"/>
    <w:rsid w:val="00381CA7"/>
    <w:rsid w:val="003855D8"/>
    <w:rsid w:val="003A0322"/>
    <w:rsid w:val="003A4DCD"/>
    <w:rsid w:val="003A70B2"/>
    <w:rsid w:val="003B373F"/>
    <w:rsid w:val="003B4C16"/>
    <w:rsid w:val="003B4E4C"/>
    <w:rsid w:val="003B4EF5"/>
    <w:rsid w:val="003B6633"/>
    <w:rsid w:val="003C0DFB"/>
    <w:rsid w:val="003C1D27"/>
    <w:rsid w:val="003D03D1"/>
    <w:rsid w:val="003D41AF"/>
    <w:rsid w:val="003D6F20"/>
    <w:rsid w:val="003E33E5"/>
    <w:rsid w:val="003F3AC2"/>
    <w:rsid w:val="003F51E5"/>
    <w:rsid w:val="0040089A"/>
    <w:rsid w:val="00407737"/>
    <w:rsid w:val="00411D8B"/>
    <w:rsid w:val="00414C3D"/>
    <w:rsid w:val="00415765"/>
    <w:rsid w:val="00420FFC"/>
    <w:rsid w:val="00422D84"/>
    <w:rsid w:val="004245E6"/>
    <w:rsid w:val="00426AD1"/>
    <w:rsid w:val="00435A47"/>
    <w:rsid w:val="00436747"/>
    <w:rsid w:val="0044324B"/>
    <w:rsid w:val="0044450C"/>
    <w:rsid w:val="0045410C"/>
    <w:rsid w:val="00464E33"/>
    <w:rsid w:val="004677F3"/>
    <w:rsid w:val="004754A5"/>
    <w:rsid w:val="004A0338"/>
    <w:rsid w:val="004A43FD"/>
    <w:rsid w:val="004B6EC1"/>
    <w:rsid w:val="004B7195"/>
    <w:rsid w:val="004C1C79"/>
    <w:rsid w:val="004C59BF"/>
    <w:rsid w:val="004D682C"/>
    <w:rsid w:val="004D6951"/>
    <w:rsid w:val="004E11C0"/>
    <w:rsid w:val="004E2981"/>
    <w:rsid w:val="004E3FAE"/>
    <w:rsid w:val="004E5178"/>
    <w:rsid w:val="004E7A11"/>
    <w:rsid w:val="004F1902"/>
    <w:rsid w:val="00500769"/>
    <w:rsid w:val="005069ED"/>
    <w:rsid w:val="00535FA2"/>
    <w:rsid w:val="00544156"/>
    <w:rsid w:val="005464FB"/>
    <w:rsid w:val="00546CCF"/>
    <w:rsid w:val="0056170C"/>
    <w:rsid w:val="00565F16"/>
    <w:rsid w:val="00567146"/>
    <w:rsid w:val="00580FED"/>
    <w:rsid w:val="005853D6"/>
    <w:rsid w:val="00591242"/>
    <w:rsid w:val="0059704E"/>
    <w:rsid w:val="005A1B2D"/>
    <w:rsid w:val="005B3D0C"/>
    <w:rsid w:val="005B72B8"/>
    <w:rsid w:val="005C5830"/>
    <w:rsid w:val="005C72E5"/>
    <w:rsid w:val="005D04D0"/>
    <w:rsid w:val="005E1871"/>
    <w:rsid w:val="005E3800"/>
    <w:rsid w:val="005E47FF"/>
    <w:rsid w:val="005F56FA"/>
    <w:rsid w:val="00604CC6"/>
    <w:rsid w:val="00617B91"/>
    <w:rsid w:val="0062431D"/>
    <w:rsid w:val="006339F3"/>
    <w:rsid w:val="00641881"/>
    <w:rsid w:val="006432B2"/>
    <w:rsid w:val="00657148"/>
    <w:rsid w:val="006768CD"/>
    <w:rsid w:val="00696FBA"/>
    <w:rsid w:val="006A2B7B"/>
    <w:rsid w:val="006A32A7"/>
    <w:rsid w:val="006A37BD"/>
    <w:rsid w:val="006B0263"/>
    <w:rsid w:val="006C34E7"/>
    <w:rsid w:val="006C4346"/>
    <w:rsid w:val="006D066D"/>
    <w:rsid w:val="00700D7A"/>
    <w:rsid w:val="00701F0B"/>
    <w:rsid w:val="0070535B"/>
    <w:rsid w:val="0071198F"/>
    <w:rsid w:val="007164DC"/>
    <w:rsid w:val="007244F8"/>
    <w:rsid w:val="00733E14"/>
    <w:rsid w:val="00745AA5"/>
    <w:rsid w:val="00746327"/>
    <w:rsid w:val="007477DE"/>
    <w:rsid w:val="00747AC5"/>
    <w:rsid w:val="00756720"/>
    <w:rsid w:val="00761379"/>
    <w:rsid w:val="007618B5"/>
    <w:rsid w:val="007730CD"/>
    <w:rsid w:val="00773DF3"/>
    <w:rsid w:val="00780C26"/>
    <w:rsid w:val="00793BDC"/>
    <w:rsid w:val="0079401A"/>
    <w:rsid w:val="007A43F3"/>
    <w:rsid w:val="007B0321"/>
    <w:rsid w:val="007D1EAD"/>
    <w:rsid w:val="007D686C"/>
    <w:rsid w:val="007E2440"/>
    <w:rsid w:val="007E2936"/>
    <w:rsid w:val="007E3B25"/>
    <w:rsid w:val="007F3D47"/>
    <w:rsid w:val="00802C01"/>
    <w:rsid w:val="00804228"/>
    <w:rsid w:val="00807A24"/>
    <w:rsid w:val="00851A03"/>
    <w:rsid w:val="008569DE"/>
    <w:rsid w:val="00863FBC"/>
    <w:rsid w:val="00873DE6"/>
    <w:rsid w:val="008771D7"/>
    <w:rsid w:val="00886163"/>
    <w:rsid w:val="00890DDE"/>
    <w:rsid w:val="008A0AAB"/>
    <w:rsid w:val="008A2A3E"/>
    <w:rsid w:val="008A3DB7"/>
    <w:rsid w:val="008B486A"/>
    <w:rsid w:val="008B4AF8"/>
    <w:rsid w:val="008C5C23"/>
    <w:rsid w:val="008D0518"/>
    <w:rsid w:val="008D351E"/>
    <w:rsid w:val="008D5ADC"/>
    <w:rsid w:val="008D6F40"/>
    <w:rsid w:val="008F1FEC"/>
    <w:rsid w:val="00905F7D"/>
    <w:rsid w:val="00907AE5"/>
    <w:rsid w:val="00907F6C"/>
    <w:rsid w:val="009153CC"/>
    <w:rsid w:val="00915EB3"/>
    <w:rsid w:val="00917D55"/>
    <w:rsid w:val="009406B5"/>
    <w:rsid w:val="00955D28"/>
    <w:rsid w:val="0095760D"/>
    <w:rsid w:val="00961700"/>
    <w:rsid w:val="009655AE"/>
    <w:rsid w:val="00967268"/>
    <w:rsid w:val="009740FD"/>
    <w:rsid w:val="009750B0"/>
    <w:rsid w:val="009751B9"/>
    <w:rsid w:val="00976B8A"/>
    <w:rsid w:val="00987F43"/>
    <w:rsid w:val="009905AE"/>
    <w:rsid w:val="00992793"/>
    <w:rsid w:val="009C56BF"/>
    <w:rsid w:val="009D0C82"/>
    <w:rsid w:val="009D0E5E"/>
    <w:rsid w:val="009D3412"/>
    <w:rsid w:val="009D5D7E"/>
    <w:rsid w:val="009F6D96"/>
    <w:rsid w:val="00A20BC7"/>
    <w:rsid w:val="00A2539A"/>
    <w:rsid w:val="00A350C5"/>
    <w:rsid w:val="00A42106"/>
    <w:rsid w:val="00A43611"/>
    <w:rsid w:val="00A442AC"/>
    <w:rsid w:val="00A47386"/>
    <w:rsid w:val="00A5039F"/>
    <w:rsid w:val="00A63448"/>
    <w:rsid w:val="00A70B76"/>
    <w:rsid w:val="00A94604"/>
    <w:rsid w:val="00A954B8"/>
    <w:rsid w:val="00AA4C71"/>
    <w:rsid w:val="00AC3A03"/>
    <w:rsid w:val="00AC695B"/>
    <w:rsid w:val="00AC6ACD"/>
    <w:rsid w:val="00AD3B84"/>
    <w:rsid w:val="00AD6775"/>
    <w:rsid w:val="00AE2B78"/>
    <w:rsid w:val="00AF59C6"/>
    <w:rsid w:val="00B00B4E"/>
    <w:rsid w:val="00B02CA5"/>
    <w:rsid w:val="00B03381"/>
    <w:rsid w:val="00B220E2"/>
    <w:rsid w:val="00B225C2"/>
    <w:rsid w:val="00B26D34"/>
    <w:rsid w:val="00B365F0"/>
    <w:rsid w:val="00B41A3E"/>
    <w:rsid w:val="00B45F7F"/>
    <w:rsid w:val="00B504CB"/>
    <w:rsid w:val="00B510AD"/>
    <w:rsid w:val="00B53B2B"/>
    <w:rsid w:val="00B55739"/>
    <w:rsid w:val="00B62622"/>
    <w:rsid w:val="00B70C6F"/>
    <w:rsid w:val="00B73A68"/>
    <w:rsid w:val="00B817E3"/>
    <w:rsid w:val="00B81F7D"/>
    <w:rsid w:val="00B82EF8"/>
    <w:rsid w:val="00B95028"/>
    <w:rsid w:val="00B968BB"/>
    <w:rsid w:val="00BB238A"/>
    <w:rsid w:val="00BB5006"/>
    <w:rsid w:val="00BB7F77"/>
    <w:rsid w:val="00BC12C4"/>
    <w:rsid w:val="00BD422B"/>
    <w:rsid w:val="00BD4393"/>
    <w:rsid w:val="00BE43C4"/>
    <w:rsid w:val="00BF4A61"/>
    <w:rsid w:val="00C02F70"/>
    <w:rsid w:val="00C04294"/>
    <w:rsid w:val="00C12516"/>
    <w:rsid w:val="00C207D1"/>
    <w:rsid w:val="00C367C0"/>
    <w:rsid w:val="00C5062D"/>
    <w:rsid w:val="00C53838"/>
    <w:rsid w:val="00C53EDC"/>
    <w:rsid w:val="00C5456D"/>
    <w:rsid w:val="00C572DA"/>
    <w:rsid w:val="00C65136"/>
    <w:rsid w:val="00C907D1"/>
    <w:rsid w:val="00C93990"/>
    <w:rsid w:val="00CA7A67"/>
    <w:rsid w:val="00CC23AA"/>
    <w:rsid w:val="00CC5A4C"/>
    <w:rsid w:val="00CE0071"/>
    <w:rsid w:val="00CE06BF"/>
    <w:rsid w:val="00CE5120"/>
    <w:rsid w:val="00CF3A5F"/>
    <w:rsid w:val="00D135B1"/>
    <w:rsid w:val="00D26AA1"/>
    <w:rsid w:val="00D349C2"/>
    <w:rsid w:val="00D3589B"/>
    <w:rsid w:val="00D44857"/>
    <w:rsid w:val="00D50E05"/>
    <w:rsid w:val="00D57943"/>
    <w:rsid w:val="00D855B8"/>
    <w:rsid w:val="00D87E74"/>
    <w:rsid w:val="00D90744"/>
    <w:rsid w:val="00DA3D98"/>
    <w:rsid w:val="00DA5EB1"/>
    <w:rsid w:val="00DB201C"/>
    <w:rsid w:val="00DB5BAF"/>
    <w:rsid w:val="00DC0E3C"/>
    <w:rsid w:val="00DD269E"/>
    <w:rsid w:val="00DE147C"/>
    <w:rsid w:val="00DE2CC1"/>
    <w:rsid w:val="00DE70AC"/>
    <w:rsid w:val="00DF5D40"/>
    <w:rsid w:val="00DF6AE7"/>
    <w:rsid w:val="00E0003C"/>
    <w:rsid w:val="00E0233F"/>
    <w:rsid w:val="00E121FB"/>
    <w:rsid w:val="00E27722"/>
    <w:rsid w:val="00E35FD1"/>
    <w:rsid w:val="00E43C07"/>
    <w:rsid w:val="00E46A47"/>
    <w:rsid w:val="00E5172F"/>
    <w:rsid w:val="00E6011E"/>
    <w:rsid w:val="00E610FC"/>
    <w:rsid w:val="00E65DD0"/>
    <w:rsid w:val="00E66250"/>
    <w:rsid w:val="00E67350"/>
    <w:rsid w:val="00E76974"/>
    <w:rsid w:val="00E81065"/>
    <w:rsid w:val="00E82602"/>
    <w:rsid w:val="00E87BA1"/>
    <w:rsid w:val="00E95D97"/>
    <w:rsid w:val="00EA053C"/>
    <w:rsid w:val="00EA28E2"/>
    <w:rsid w:val="00EB78D2"/>
    <w:rsid w:val="00EC4B64"/>
    <w:rsid w:val="00EC7E7F"/>
    <w:rsid w:val="00EC7EE2"/>
    <w:rsid w:val="00ED48BC"/>
    <w:rsid w:val="00EE1DD7"/>
    <w:rsid w:val="00EE1F47"/>
    <w:rsid w:val="00EF1320"/>
    <w:rsid w:val="00EF1CBC"/>
    <w:rsid w:val="00EF6496"/>
    <w:rsid w:val="00F06319"/>
    <w:rsid w:val="00F449AA"/>
    <w:rsid w:val="00F46FC3"/>
    <w:rsid w:val="00F531C0"/>
    <w:rsid w:val="00F62A53"/>
    <w:rsid w:val="00F65C19"/>
    <w:rsid w:val="00F66FF0"/>
    <w:rsid w:val="00F7060A"/>
    <w:rsid w:val="00F82786"/>
    <w:rsid w:val="00F85DBE"/>
    <w:rsid w:val="00F87785"/>
    <w:rsid w:val="00F962D0"/>
    <w:rsid w:val="00FA5D9B"/>
    <w:rsid w:val="00FA766F"/>
    <w:rsid w:val="00FB0F6D"/>
    <w:rsid w:val="00FB1CE8"/>
    <w:rsid w:val="00FB43C5"/>
    <w:rsid w:val="00FB4A3C"/>
    <w:rsid w:val="00FB62DF"/>
    <w:rsid w:val="00FD430D"/>
    <w:rsid w:val="00FD543C"/>
    <w:rsid w:val="00FE786B"/>
    <w:rsid w:val="01041EA0"/>
    <w:rsid w:val="06962C9D"/>
    <w:rsid w:val="1C186A48"/>
    <w:rsid w:val="1EB10A08"/>
    <w:rsid w:val="23286AF0"/>
    <w:rsid w:val="25135435"/>
    <w:rsid w:val="2FE74B0B"/>
    <w:rsid w:val="34166086"/>
    <w:rsid w:val="39961684"/>
    <w:rsid w:val="3FD66672"/>
    <w:rsid w:val="511D3BF2"/>
    <w:rsid w:val="5B9448D6"/>
    <w:rsid w:val="715E242A"/>
    <w:rsid w:val="73BF605D"/>
    <w:rsid w:val="7C4120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99298"/>
  <w15:docId w15:val="{1039D27B-FA19-4D37-8D59-9089DDCB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unhideWhenUsed/>
    <w:qFormat/>
    <w:pPr>
      <w:spacing w:after="0" w:line="240" w:lineRule="auto"/>
    </w:pPr>
    <w:rPr>
      <w:rFonts w:ascii="Times New Roman" w:eastAsia="SimSun" w:hAnsi="Times New Roman" w:cs="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9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basedOn w:val="DefaultParagraphFont"/>
    <w:link w:val="FootnoteText"/>
    <w:uiPriority w:val="99"/>
    <w:qFormat/>
    <w:rPr>
      <w:rFonts w:ascii="Times New Roman" w:eastAsia="SimSun" w:hAnsi="Times New Roman" w:cs="Times New Roman"/>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eastAsia="en-US"/>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val="id-ID" w:eastAsia="en-US"/>
    </w:rPr>
  </w:style>
  <w:style w:type="character" w:customStyle="1" w:styleId="zf5qv">
    <w:name w:val="zf5qv"/>
    <w:basedOn w:val="DefaultParagraphFont"/>
    <w:qFormat/>
  </w:style>
  <w:style w:type="character" w:customStyle="1" w:styleId="y2iqfc">
    <w:name w:val="y2iqfc"/>
    <w:qFormat/>
  </w:style>
  <w:style w:type="character" w:customStyle="1" w:styleId="SubtleEmphasis1">
    <w:name w:val="Subtle Emphasis1"/>
    <w:uiPriority w:val="99"/>
    <w:qFormat/>
    <w:rPr>
      <w:rFonts w:cs="Times New Roman"/>
      <w:i/>
      <w:iCs/>
      <w:color w:val="808080"/>
    </w:rPr>
  </w:style>
  <w:style w:type="paragraph" w:customStyle="1" w:styleId="msonormal0">
    <w:name w:val="msonormal"/>
    <w:basedOn w:val="Normal"/>
    <w:rsid w:val="0028486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ListParagraph">
    <w:name w:val="List Paragraph"/>
    <w:basedOn w:val="Normal"/>
    <w:uiPriority w:val="99"/>
    <w:qFormat/>
    <w:rsid w:val="00284864"/>
    <w:pPr>
      <w:spacing w:before="100" w:beforeAutospacing="1" w:after="100" w:afterAutospacing="1" w:line="256" w:lineRule="auto"/>
      <w:contextualSpacing/>
    </w:pPr>
    <w:rPr>
      <w:rFonts w:ascii="Calibri" w:eastAsia="SimSun" w:hAnsi="Calibri" w:cs="Arial"/>
      <w:sz w:val="24"/>
      <w:szCs w:val="24"/>
      <w:lang w:val="en-ID" w:eastAsia="en-ID"/>
    </w:rPr>
  </w:style>
  <w:style w:type="paragraph" w:styleId="Subtitle">
    <w:name w:val="Subtitle"/>
    <w:basedOn w:val="Normal"/>
    <w:link w:val="SubtitleChar"/>
    <w:uiPriority w:val="99"/>
    <w:qFormat/>
    <w:rsid w:val="00284864"/>
    <w:pPr>
      <w:spacing w:before="100" w:beforeAutospacing="1" w:after="100" w:afterAutospacing="1" w:line="240" w:lineRule="auto"/>
      <w:jc w:val="center"/>
    </w:pPr>
    <w:rPr>
      <w:rFonts w:ascii="Times New Roman" w:eastAsia="SimSun" w:hAnsi="Times New Roman" w:cs="Traditional Arabic"/>
      <w:b/>
      <w:bCs/>
      <w:sz w:val="24"/>
      <w:szCs w:val="24"/>
      <w:lang w:val="en-ID" w:eastAsia="en-ID"/>
    </w:rPr>
  </w:style>
  <w:style w:type="character" w:customStyle="1" w:styleId="SubtitleChar">
    <w:name w:val="Subtitle Char"/>
    <w:basedOn w:val="DefaultParagraphFont"/>
    <w:link w:val="Subtitle"/>
    <w:uiPriority w:val="99"/>
    <w:rsid w:val="00284864"/>
    <w:rPr>
      <w:rFonts w:cs="Traditional Arabic"/>
      <w:b/>
      <w:bCs/>
      <w:sz w:val="24"/>
      <w:szCs w:val="24"/>
    </w:rPr>
  </w:style>
  <w:style w:type="character" w:customStyle="1" w:styleId="BodyTextChar">
    <w:name w:val="Body Text Char"/>
    <w:basedOn w:val="DefaultParagraphFont"/>
    <w:link w:val="BodyText"/>
    <w:uiPriority w:val="99"/>
    <w:rsid w:val="00284864"/>
    <w:rPr>
      <w:rFonts w:eastAsia="Times New Roman"/>
      <w:sz w:val="24"/>
      <w:szCs w:val="24"/>
      <w:lang w:val="id" w:eastAsia="id"/>
    </w:rPr>
  </w:style>
  <w:style w:type="paragraph" w:styleId="NormalWeb">
    <w:name w:val="Normal (Web)"/>
    <w:basedOn w:val="Normal"/>
    <w:uiPriority w:val="99"/>
    <w:semiHidden/>
    <w:unhideWhenUsed/>
    <w:rsid w:val="0028486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10">
    <w:name w:val="10"/>
    <w:basedOn w:val="DefaultParagraphFont"/>
    <w:rsid w:val="00284864"/>
    <w:rPr>
      <w:rFonts w:ascii="Calibri" w:hAnsi="Calibri" w:cs="Calibri" w:hint="default"/>
    </w:rPr>
  </w:style>
  <w:style w:type="character" w:customStyle="1" w:styleId="15">
    <w:name w:val="15"/>
    <w:basedOn w:val="DefaultParagraphFont"/>
    <w:rsid w:val="00284864"/>
    <w:rPr>
      <w:rFonts w:ascii="Calibri" w:hAnsi="Calibri" w:cs="Times New Roman" w:hint="default"/>
      <w:vertAlign w:val="superscript"/>
    </w:rPr>
  </w:style>
  <w:style w:type="character" w:customStyle="1" w:styleId="16">
    <w:name w:val="16"/>
    <w:basedOn w:val="DefaultParagraphFont"/>
    <w:rsid w:val="00284864"/>
    <w:rPr>
      <w:rFonts w:ascii="Calibri" w:hAnsi="Calibri" w:cs="Calibri" w:hint="default"/>
      <w:color w:val="0000FF"/>
      <w:u w:val="single"/>
    </w:rPr>
  </w:style>
  <w:style w:type="character" w:customStyle="1" w:styleId="17">
    <w:name w:val="17"/>
    <w:basedOn w:val="DefaultParagraphFont"/>
    <w:rsid w:val="00284864"/>
    <w:rPr>
      <w:rFonts w:ascii="Calibri" w:hAnsi="Calibri" w:cs="Calibri" w:hint="default"/>
    </w:rPr>
  </w:style>
  <w:style w:type="table" w:customStyle="1" w:styleId="GridTable4-Accent61">
    <w:name w:val="Grid Table 4 - Accent 61"/>
    <w:basedOn w:val="TableNormal"/>
    <w:rsid w:val="00284864"/>
    <w:pPr>
      <w:spacing w:after="0" w:line="240" w:lineRule="auto"/>
    </w:pPr>
    <w:rPr>
      <w:rFonts w:eastAsia="Times New Roman"/>
      <w:lang w:val="zh-CN" w:eastAsia="en-US"/>
    </w:rPr>
    <w:tblPr>
      <w:tblInd w:w="0" w:type="nil"/>
      <w:tblCellMar>
        <w:left w:w="0" w:type="dxa"/>
        <w:right w:w="0" w:type="dxa"/>
      </w:tblCellMar>
    </w:tblPr>
    <w:tblStylePr w:type="firstRow">
      <w:rPr>
        <w:rFonts w:ascii="Times New Roman" w:hAnsi="Times New Roman" w:cs="Times New Roman" w:hint="default"/>
        <w:b/>
        <w:bCs/>
        <w:color w:val="FFFFFF"/>
      </w:rPr>
      <w:tblPr/>
      <w:tcPr>
        <w:tcBorders>
          <w:insideH w:val="none" w:sz="0" w:space="0" w:color="auto"/>
          <w:insideV w:val="none" w:sz="0" w:space="0" w:color="auto"/>
        </w:tcBorders>
        <w:shd w:val="clear" w:color="auto" w:fill="F79646"/>
      </w:tc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rsid w:val="00284864"/>
    <w:pPr>
      <w:spacing w:after="0" w:line="240" w:lineRule="auto"/>
    </w:pPr>
    <w:rPr>
      <w:rFonts w:eastAsia="Times New Roman"/>
      <w:lang w:val="zh-CN" w:eastAsia="en-US"/>
    </w:rPr>
    <w:tblPr>
      <w:tblInd w:w="0" w:type="nil"/>
      <w:tblCellMar>
        <w:left w:w="0" w:type="dxa"/>
        <w:right w:w="0" w:type="dxa"/>
      </w:tblCellMar>
    </w:tblPr>
    <w:tblStylePr w:type="firstRow">
      <w:rPr>
        <w:rFonts w:ascii="Times New Roman" w:hAnsi="Times New Roman" w:cs="Times New Roman" w:hint="default"/>
        <w:b/>
        <w:bCs/>
        <w:color w:val="FFFFFF"/>
      </w:rPr>
      <w:tblPr/>
      <w:tcPr>
        <w:tcBorders>
          <w:insideH w:val="none" w:sz="0" w:space="0" w:color="auto"/>
          <w:insideV w:val="none" w:sz="0" w:space="0" w:color="auto"/>
        </w:tcBorders>
        <w:shd w:val="clear" w:color="auto" w:fill="4BACC6"/>
      </w:tc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TableNormal"/>
    <w:rsid w:val="00284864"/>
    <w:pPr>
      <w:spacing w:after="0" w:line="240" w:lineRule="auto"/>
    </w:pPr>
    <w:rPr>
      <w:rFonts w:eastAsia="Times New Roman"/>
      <w:lang w:val="zh-CN" w:eastAsia="en-US"/>
    </w:rPr>
    <w:tblPr>
      <w:tblInd w:w="0" w:type="nil"/>
      <w:tblCellMar>
        <w:left w:w="0" w:type="dxa"/>
        <w:right w:w="0" w:type="dxa"/>
      </w:tblCellMar>
    </w:tblPr>
    <w:tblStylePr w:type="firstRow">
      <w:rPr>
        <w:rFonts w:ascii="Times New Roman" w:hAnsi="Times New Roman" w:cs="Times New Roman" w:hint="default"/>
        <w:b/>
        <w:bCs/>
        <w:color w:val="FFFFFF"/>
      </w:rPr>
      <w:tblPr/>
      <w:tcPr>
        <w:tcBorders>
          <w:insideH w:val="none" w:sz="0" w:space="0" w:color="auto"/>
          <w:insideV w:val="none" w:sz="0" w:space="0" w:color="auto"/>
        </w:tcBorders>
        <w:shd w:val="clear" w:color="auto" w:fill="4F81BD"/>
      </w:tc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DBE5F1"/>
      </w:tcPr>
    </w:tblStylePr>
    <w:tblStylePr w:type="band1Horz">
      <w:tblPr/>
      <w:tcPr>
        <w:shd w:val="clear" w:color="auto" w:fill="DBE5F1"/>
      </w:tcPr>
    </w:tblStylePr>
  </w:style>
  <w:style w:type="table" w:styleId="GridTable3-Accent2">
    <w:name w:val="Grid Table 3 Accent 2"/>
    <w:basedOn w:val="TableNormal"/>
    <w:uiPriority w:val="48"/>
    <w:rsid w:val="00BD422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5">
    <w:name w:val="Grid Table 3 Accent 5"/>
    <w:basedOn w:val="TableNormal"/>
    <w:uiPriority w:val="48"/>
    <w:rsid w:val="00BD422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6">
    <w:name w:val="Grid Table 4 Accent 6"/>
    <w:basedOn w:val="TableNormal"/>
    <w:uiPriority w:val="49"/>
    <w:rsid w:val="00BD422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CommentReference">
    <w:name w:val="annotation reference"/>
    <w:basedOn w:val="DefaultParagraphFont"/>
    <w:uiPriority w:val="99"/>
    <w:semiHidden/>
    <w:unhideWhenUsed/>
    <w:rsid w:val="000D313B"/>
    <w:rPr>
      <w:sz w:val="16"/>
      <w:szCs w:val="16"/>
    </w:rPr>
  </w:style>
  <w:style w:type="paragraph" w:styleId="CommentText">
    <w:name w:val="annotation text"/>
    <w:basedOn w:val="Normal"/>
    <w:link w:val="CommentTextChar"/>
    <w:uiPriority w:val="99"/>
    <w:semiHidden/>
    <w:unhideWhenUsed/>
    <w:rsid w:val="000D313B"/>
    <w:pPr>
      <w:spacing w:line="240" w:lineRule="auto"/>
    </w:pPr>
    <w:rPr>
      <w:sz w:val="20"/>
      <w:szCs w:val="20"/>
    </w:rPr>
  </w:style>
  <w:style w:type="character" w:customStyle="1" w:styleId="CommentTextChar">
    <w:name w:val="Comment Text Char"/>
    <w:basedOn w:val="DefaultParagraphFont"/>
    <w:link w:val="CommentText"/>
    <w:uiPriority w:val="99"/>
    <w:semiHidden/>
    <w:rsid w:val="000D313B"/>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D313B"/>
    <w:rPr>
      <w:b/>
      <w:bCs/>
    </w:rPr>
  </w:style>
  <w:style w:type="character" w:customStyle="1" w:styleId="CommentSubjectChar">
    <w:name w:val="Comment Subject Char"/>
    <w:basedOn w:val="CommentTextChar"/>
    <w:link w:val="CommentSubject"/>
    <w:uiPriority w:val="99"/>
    <w:semiHidden/>
    <w:rsid w:val="000D313B"/>
    <w:rPr>
      <w:rFonts w:asciiTheme="minorHAnsi" w:eastAsiaTheme="minorHAnsi" w:hAnsiTheme="minorHAnsi" w:cstheme="minorBidi"/>
      <w:b/>
      <w:bCs/>
      <w:lang w:val="en-US" w:eastAsia="en-US"/>
    </w:rPr>
  </w:style>
  <w:style w:type="table" w:customStyle="1" w:styleId="GridTable4-Accent62">
    <w:name w:val="Grid Table 4 - Accent 62"/>
    <w:basedOn w:val="TableNormal"/>
    <w:next w:val="GridTable4-Accent6"/>
    <w:uiPriority w:val="49"/>
    <w:rsid w:val="004E7A11"/>
    <w:pPr>
      <w:spacing w:after="0" w:line="240" w:lineRule="auto"/>
    </w:p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511">
    <w:name w:val="Grid Table 4 - Accent 511"/>
    <w:basedOn w:val="TableNormal"/>
    <w:rsid w:val="004E7A11"/>
    <w:pPr>
      <w:spacing w:after="0" w:line="240" w:lineRule="auto"/>
    </w:pPr>
    <w:rPr>
      <w:rFonts w:eastAsia="Times New Roman"/>
      <w:lang w:val="zh-CN"/>
    </w:rPr>
    <w:tblPr>
      <w:tblInd w:w="0" w:type="nil"/>
      <w:tblCellMar>
        <w:left w:w="0" w:type="dxa"/>
        <w:right w:w="0" w:type="dxa"/>
      </w:tblCellMar>
    </w:tblPr>
    <w:tblStylePr w:type="firstRow">
      <w:rPr>
        <w:rFonts w:ascii="Times New Roman" w:hAnsi="Times New Roman" w:cs="Times New Roman" w:hint="default"/>
        <w:b/>
        <w:bCs/>
        <w:color w:val="FFFFFF"/>
      </w:rPr>
      <w:tblPr/>
      <w:tcPr>
        <w:tcBorders>
          <w:insideH w:val="none" w:sz="0" w:space="0" w:color="auto"/>
          <w:insideV w:val="none" w:sz="0" w:space="0" w:color="auto"/>
        </w:tcBorders>
        <w:shd w:val="clear" w:color="auto" w:fill="4BACC6"/>
      </w:tc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1">
    <w:name w:val="Grid Table 4 - Accent 611"/>
    <w:basedOn w:val="TableNormal"/>
    <w:rsid w:val="009655AE"/>
    <w:pPr>
      <w:spacing w:after="0" w:line="240" w:lineRule="auto"/>
    </w:pPr>
    <w:rPr>
      <w:rFonts w:eastAsia="Times New Roman"/>
      <w:lang w:val="zh-CN"/>
    </w:rPr>
    <w:tblPr>
      <w:tblInd w:w="0" w:type="nil"/>
      <w:tblCellMar>
        <w:left w:w="0" w:type="dxa"/>
        <w:right w:w="0" w:type="dxa"/>
      </w:tblCellMar>
    </w:tblPr>
    <w:tblStylePr w:type="firstRow">
      <w:rPr>
        <w:rFonts w:ascii="Times New Roman" w:hAnsi="Times New Roman" w:cs="Times New Roman" w:hint="default"/>
        <w:b/>
        <w:bCs/>
        <w:color w:val="FFFFFF"/>
      </w:rPr>
      <w:tblPr/>
      <w:tcPr>
        <w:tcBorders>
          <w:insideH w:val="none" w:sz="0" w:space="0" w:color="auto"/>
          <w:insideV w:val="none" w:sz="0" w:space="0" w:color="auto"/>
        </w:tcBorders>
        <w:shd w:val="clear" w:color="auto" w:fill="F79646"/>
      </w:tc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FDE9D9"/>
      </w:tcPr>
    </w:tblStylePr>
    <w:tblStylePr w:type="band1Horz">
      <w:tblPr/>
      <w:tcPr>
        <w:shd w:val="clear" w:color="auto" w:fill="FDE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776">
      <w:bodyDiv w:val="1"/>
      <w:marLeft w:val="0"/>
      <w:marRight w:val="0"/>
      <w:marTop w:val="0"/>
      <w:marBottom w:val="0"/>
      <w:divBdr>
        <w:top w:val="none" w:sz="0" w:space="0" w:color="auto"/>
        <w:left w:val="none" w:sz="0" w:space="0" w:color="auto"/>
        <w:bottom w:val="none" w:sz="0" w:space="0" w:color="auto"/>
        <w:right w:val="none" w:sz="0" w:space="0" w:color="auto"/>
      </w:divBdr>
    </w:div>
    <w:div w:id="56824745">
      <w:bodyDiv w:val="1"/>
      <w:marLeft w:val="0"/>
      <w:marRight w:val="0"/>
      <w:marTop w:val="0"/>
      <w:marBottom w:val="0"/>
      <w:divBdr>
        <w:top w:val="none" w:sz="0" w:space="0" w:color="auto"/>
        <w:left w:val="none" w:sz="0" w:space="0" w:color="auto"/>
        <w:bottom w:val="none" w:sz="0" w:space="0" w:color="auto"/>
        <w:right w:val="none" w:sz="0" w:space="0" w:color="auto"/>
      </w:divBdr>
    </w:div>
    <w:div w:id="119300337">
      <w:bodyDiv w:val="1"/>
      <w:marLeft w:val="0"/>
      <w:marRight w:val="0"/>
      <w:marTop w:val="0"/>
      <w:marBottom w:val="0"/>
      <w:divBdr>
        <w:top w:val="none" w:sz="0" w:space="0" w:color="auto"/>
        <w:left w:val="none" w:sz="0" w:space="0" w:color="auto"/>
        <w:bottom w:val="none" w:sz="0" w:space="0" w:color="auto"/>
        <w:right w:val="none" w:sz="0" w:space="0" w:color="auto"/>
      </w:divBdr>
    </w:div>
    <w:div w:id="121967022">
      <w:bodyDiv w:val="1"/>
      <w:marLeft w:val="0"/>
      <w:marRight w:val="0"/>
      <w:marTop w:val="0"/>
      <w:marBottom w:val="0"/>
      <w:divBdr>
        <w:top w:val="none" w:sz="0" w:space="0" w:color="auto"/>
        <w:left w:val="none" w:sz="0" w:space="0" w:color="auto"/>
        <w:bottom w:val="none" w:sz="0" w:space="0" w:color="auto"/>
        <w:right w:val="none" w:sz="0" w:space="0" w:color="auto"/>
      </w:divBdr>
    </w:div>
    <w:div w:id="156921768">
      <w:bodyDiv w:val="1"/>
      <w:marLeft w:val="0"/>
      <w:marRight w:val="0"/>
      <w:marTop w:val="0"/>
      <w:marBottom w:val="0"/>
      <w:divBdr>
        <w:top w:val="none" w:sz="0" w:space="0" w:color="auto"/>
        <w:left w:val="none" w:sz="0" w:space="0" w:color="auto"/>
        <w:bottom w:val="none" w:sz="0" w:space="0" w:color="auto"/>
        <w:right w:val="none" w:sz="0" w:space="0" w:color="auto"/>
      </w:divBdr>
    </w:div>
    <w:div w:id="220747941">
      <w:bodyDiv w:val="1"/>
      <w:marLeft w:val="0"/>
      <w:marRight w:val="0"/>
      <w:marTop w:val="0"/>
      <w:marBottom w:val="0"/>
      <w:divBdr>
        <w:top w:val="none" w:sz="0" w:space="0" w:color="auto"/>
        <w:left w:val="none" w:sz="0" w:space="0" w:color="auto"/>
        <w:bottom w:val="none" w:sz="0" w:space="0" w:color="auto"/>
        <w:right w:val="none" w:sz="0" w:space="0" w:color="auto"/>
      </w:divBdr>
    </w:div>
    <w:div w:id="247428913">
      <w:bodyDiv w:val="1"/>
      <w:marLeft w:val="0"/>
      <w:marRight w:val="0"/>
      <w:marTop w:val="0"/>
      <w:marBottom w:val="0"/>
      <w:divBdr>
        <w:top w:val="none" w:sz="0" w:space="0" w:color="auto"/>
        <w:left w:val="none" w:sz="0" w:space="0" w:color="auto"/>
        <w:bottom w:val="none" w:sz="0" w:space="0" w:color="auto"/>
        <w:right w:val="none" w:sz="0" w:space="0" w:color="auto"/>
      </w:divBdr>
    </w:div>
    <w:div w:id="262805794">
      <w:bodyDiv w:val="1"/>
      <w:marLeft w:val="0"/>
      <w:marRight w:val="0"/>
      <w:marTop w:val="0"/>
      <w:marBottom w:val="0"/>
      <w:divBdr>
        <w:top w:val="none" w:sz="0" w:space="0" w:color="auto"/>
        <w:left w:val="none" w:sz="0" w:space="0" w:color="auto"/>
        <w:bottom w:val="none" w:sz="0" w:space="0" w:color="auto"/>
        <w:right w:val="none" w:sz="0" w:space="0" w:color="auto"/>
      </w:divBdr>
    </w:div>
    <w:div w:id="297806870">
      <w:bodyDiv w:val="1"/>
      <w:marLeft w:val="0"/>
      <w:marRight w:val="0"/>
      <w:marTop w:val="0"/>
      <w:marBottom w:val="0"/>
      <w:divBdr>
        <w:top w:val="none" w:sz="0" w:space="0" w:color="auto"/>
        <w:left w:val="none" w:sz="0" w:space="0" w:color="auto"/>
        <w:bottom w:val="none" w:sz="0" w:space="0" w:color="auto"/>
        <w:right w:val="none" w:sz="0" w:space="0" w:color="auto"/>
      </w:divBdr>
    </w:div>
    <w:div w:id="297951987">
      <w:bodyDiv w:val="1"/>
      <w:marLeft w:val="0"/>
      <w:marRight w:val="0"/>
      <w:marTop w:val="0"/>
      <w:marBottom w:val="0"/>
      <w:divBdr>
        <w:top w:val="none" w:sz="0" w:space="0" w:color="auto"/>
        <w:left w:val="none" w:sz="0" w:space="0" w:color="auto"/>
        <w:bottom w:val="none" w:sz="0" w:space="0" w:color="auto"/>
        <w:right w:val="none" w:sz="0" w:space="0" w:color="auto"/>
      </w:divBdr>
    </w:div>
    <w:div w:id="316305850">
      <w:bodyDiv w:val="1"/>
      <w:marLeft w:val="0"/>
      <w:marRight w:val="0"/>
      <w:marTop w:val="0"/>
      <w:marBottom w:val="0"/>
      <w:divBdr>
        <w:top w:val="none" w:sz="0" w:space="0" w:color="auto"/>
        <w:left w:val="none" w:sz="0" w:space="0" w:color="auto"/>
        <w:bottom w:val="none" w:sz="0" w:space="0" w:color="auto"/>
        <w:right w:val="none" w:sz="0" w:space="0" w:color="auto"/>
      </w:divBdr>
    </w:div>
    <w:div w:id="442968190">
      <w:bodyDiv w:val="1"/>
      <w:marLeft w:val="0"/>
      <w:marRight w:val="0"/>
      <w:marTop w:val="0"/>
      <w:marBottom w:val="0"/>
      <w:divBdr>
        <w:top w:val="none" w:sz="0" w:space="0" w:color="auto"/>
        <w:left w:val="none" w:sz="0" w:space="0" w:color="auto"/>
        <w:bottom w:val="none" w:sz="0" w:space="0" w:color="auto"/>
        <w:right w:val="none" w:sz="0" w:space="0" w:color="auto"/>
      </w:divBdr>
    </w:div>
    <w:div w:id="450705887">
      <w:bodyDiv w:val="1"/>
      <w:marLeft w:val="0"/>
      <w:marRight w:val="0"/>
      <w:marTop w:val="0"/>
      <w:marBottom w:val="0"/>
      <w:divBdr>
        <w:top w:val="none" w:sz="0" w:space="0" w:color="auto"/>
        <w:left w:val="none" w:sz="0" w:space="0" w:color="auto"/>
        <w:bottom w:val="none" w:sz="0" w:space="0" w:color="auto"/>
        <w:right w:val="none" w:sz="0" w:space="0" w:color="auto"/>
      </w:divBdr>
    </w:div>
    <w:div w:id="484207919">
      <w:bodyDiv w:val="1"/>
      <w:marLeft w:val="0"/>
      <w:marRight w:val="0"/>
      <w:marTop w:val="0"/>
      <w:marBottom w:val="0"/>
      <w:divBdr>
        <w:top w:val="none" w:sz="0" w:space="0" w:color="auto"/>
        <w:left w:val="none" w:sz="0" w:space="0" w:color="auto"/>
        <w:bottom w:val="none" w:sz="0" w:space="0" w:color="auto"/>
        <w:right w:val="none" w:sz="0" w:space="0" w:color="auto"/>
      </w:divBdr>
    </w:div>
    <w:div w:id="505748579">
      <w:bodyDiv w:val="1"/>
      <w:marLeft w:val="0"/>
      <w:marRight w:val="0"/>
      <w:marTop w:val="0"/>
      <w:marBottom w:val="0"/>
      <w:divBdr>
        <w:top w:val="none" w:sz="0" w:space="0" w:color="auto"/>
        <w:left w:val="none" w:sz="0" w:space="0" w:color="auto"/>
        <w:bottom w:val="none" w:sz="0" w:space="0" w:color="auto"/>
        <w:right w:val="none" w:sz="0" w:space="0" w:color="auto"/>
      </w:divBdr>
    </w:div>
    <w:div w:id="515578350">
      <w:bodyDiv w:val="1"/>
      <w:marLeft w:val="0"/>
      <w:marRight w:val="0"/>
      <w:marTop w:val="0"/>
      <w:marBottom w:val="0"/>
      <w:divBdr>
        <w:top w:val="none" w:sz="0" w:space="0" w:color="auto"/>
        <w:left w:val="none" w:sz="0" w:space="0" w:color="auto"/>
        <w:bottom w:val="none" w:sz="0" w:space="0" w:color="auto"/>
        <w:right w:val="none" w:sz="0" w:space="0" w:color="auto"/>
      </w:divBdr>
    </w:div>
    <w:div w:id="642584836">
      <w:bodyDiv w:val="1"/>
      <w:marLeft w:val="0"/>
      <w:marRight w:val="0"/>
      <w:marTop w:val="0"/>
      <w:marBottom w:val="0"/>
      <w:divBdr>
        <w:top w:val="none" w:sz="0" w:space="0" w:color="auto"/>
        <w:left w:val="none" w:sz="0" w:space="0" w:color="auto"/>
        <w:bottom w:val="none" w:sz="0" w:space="0" w:color="auto"/>
        <w:right w:val="none" w:sz="0" w:space="0" w:color="auto"/>
      </w:divBdr>
    </w:div>
    <w:div w:id="698318656">
      <w:bodyDiv w:val="1"/>
      <w:marLeft w:val="0"/>
      <w:marRight w:val="0"/>
      <w:marTop w:val="0"/>
      <w:marBottom w:val="0"/>
      <w:divBdr>
        <w:top w:val="none" w:sz="0" w:space="0" w:color="auto"/>
        <w:left w:val="none" w:sz="0" w:space="0" w:color="auto"/>
        <w:bottom w:val="none" w:sz="0" w:space="0" w:color="auto"/>
        <w:right w:val="none" w:sz="0" w:space="0" w:color="auto"/>
      </w:divBdr>
    </w:div>
    <w:div w:id="730231330">
      <w:bodyDiv w:val="1"/>
      <w:marLeft w:val="0"/>
      <w:marRight w:val="0"/>
      <w:marTop w:val="0"/>
      <w:marBottom w:val="0"/>
      <w:divBdr>
        <w:top w:val="none" w:sz="0" w:space="0" w:color="auto"/>
        <w:left w:val="none" w:sz="0" w:space="0" w:color="auto"/>
        <w:bottom w:val="none" w:sz="0" w:space="0" w:color="auto"/>
        <w:right w:val="none" w:sz="0" w:space="0" w:color="auto"/>
      </w:divBdr>
    </w:div>
    <w:div w:id="761533833">
      <w:bodyDiv w:val="1"/>
      <w:marLeft w:val="0"/>
      <w:marRight w:val="0"/>
      <w:marTop w:val="0"/>
      <w:marBottom w:val="0"/>
      <w:divBdr>
        <w:top w:val="none" w:sz="0" w:space="0" w:color="auto"/>
        <w:left w:val="none" w:sz="0" w:space="0" w:color="auto"/>
        <w:bottom w:val="none" w:sz="0" w:space="0" w:color="auto"/>
        <w:right w:val="none" w:sz="0" w:space="0" w:color="auto"/>
      </w:divBdr>
    </w:div>
    <w:div w:id="813527869">
      <w:bodyDiv w:val="1"/>
      <w:marLeft w:val="0"/>
      <w:marRight w:val="0"/>
      <w:marTop w:val="0"/>
      <w:marBottom w:val="0"/>
      <w:divBdr>
        <w:top w:val="none" w:sz="0" w:space="0" w:color="auto"/>
        <w:left w:val="none" w:sz="0" w:space="0" w:color="auto"/>
        <w:bottom w:val="none" w:sz="0" w:space="0" w:color="auto"/>
        <w:right w:val="none" w:sz="0" w:space="0" w:color="auto"/>
      </w:divBdr>
    </w:div>
    <w:div w:id="836965993">
      <w:bodyDiv w:val="1"/>
      <w:marLeft w:val="0"/>
      <w:marRight w:val="0"/>
      <w:marTop w:val="0"/>
      <w:marBottom w:val="0"/>
      <w:divBdr>
        <w:top w:val="none" w:sz="0" w:space="0" w:color="auto"/>
        <w:left w:val="none" w:sz="0" w:space="0" w:color="auto"/>
        <w:bottom w:val="none" w:sz="0" w:space="0" w:color="auto"/>
        <w:right w:val="none" w:sz="0" w:space="0" w:color="auto"/>
      </w:divBdr>
    </w:div>
    <w:div w:id="843857977">
      <w:bodyDiv w:val="1"/>
      <w:marLeft w:val="0"/>
      <w:marRight w:val="0"/>
      <w:marTop w:val="0"/>
      <w:marBottom w:val="0"/>
      <w:divBdr>
        <w:top w:val="none" w:sz="0" w:space="0" w:color="auto"/>
        <w:left w:val="none" w:sz="0" w:space="0" w:color="auto"/>
        <w:bottom w:val="none" w:sz="0" w:space="0" w:color="auto"/>
        <w:right w:val="none" w:sz="0" w:space="0" w:color="auto"/>
      </w:divBdr>
    </w:div>
    <w:div w:id="853298486">
      <w:bodyDiv w:val="1"/>
      <w:marLeft w:val="0"/>
      <w:marRight w:val="0"/>
      <w:marTop w:val="0"/>
      <w:marBottom w:val="0"/>
      <w:divBdr>
        <w:top w:val="none" w:sz="0" w:space="0" w:color="auto"/>
        <w:left w:val="none" w:sz="0" w:space="0" w:color="auto"/>
        <w:bottom w:val="none" w:sz="0" w:space="0" w:color="auto"/>
        <w:right w:val="none" w:sz="0" w:space="0" w:color="auto"/>
      </w:divBdr>
    </w:div>
    <w:div w:id="967398038">
      <w:bodyDiv w:val="1"/>
      <w:marLeft w:val="0"/>
      <w:marRight w:val="0"/>
      <w:marTop w:val="0"/>
      <w:marBottom w:val="0"/>
      <w:divBdr>
        <w:top w:val="none" w:sz="0" w:space="0" w:color="auto"/>
        <w:left w:val="none" w:sz="0" w:space="0" w:color="auto"/>
        <w:bottom w:val="none" w:sz="0" w:space="0" w:color="auto"/>
        <w:right w:val="none" w:sz="0" w:space="0" w:color="auto"/>
      </w:divBdr>
    </w:div>
    <w:div w:id="1122115787">
      <w:bodyDiv w:val="1"/>
      <w:marLeft w:val="0"/>
      <w:marRight w:val="0"/>
      <w:marTop w:val="0"/>
      <w:marBottom w:val="0"/>
      <w:divBdr>
        <w:top w:val="none" w:sz="0" w:space="0" w:color="auto"/>
        <w:left w:val="none" w:sz="0" w:space="0" w:color="auto"/>
        <w:bottom w:val="none" w:sz="0" w:space="0" w:color="auto"/>
        <w:right w:val="none" w:sz="0" w:space="0" w:color="auto"/>
      </w:divBdr>
    </w:div>
    <w:div w:id="1146436167">
      <w:bodyDiv w:val="1"/>
      <w:marLeft w:val="0"/>
      <w:marRight w:val="0"/>
      <w:marTop w:val="0"/>
      <w:marBottom w:val="0"/>
      <w:divBdr>
        <w:top w:val="none" w:sz="0" w:space="0" w:color="auto"/>
        <w:left w:val="none" w:sz="0" w:space="0" w:color="auto"/>
        <w:bottom w:val="none" w:sz="0" w:space="0" w:color="auto"/>
        <w:right w:val="none" w:sz="0" w:space="0" w:color="auto"/>
      </w:divBdr>
    </w:div>
    <w:div w:id="1211965639">
      <w:bodyDiv w:val="1"/>
      <w:marLeft w:val="0"/>
      <w:marRight w:val="0"/>
      <w:marTop w:val="0"/>
      <w:marBottom w:val="0"/>
      <w:divBdr>
        <w:top w:val="none" w:sz="0" w:space="0" w:color="auto"/>
        <w:left w:val="none" w:sz="0" w:space="0" w:color="auto"/>
        <w:bottom w:val="none" w:sz="0" w:space="0" w:color="auto"/>
        <w:right w:val="none" w:sz="0" w:space="0" w:color="auto"/>
      </w:divBdr>
    </w:div>
    <w:div w:id="1270042934">
      <w:bodyDiv w:val="1"/>
      <w:marLeft w:val="0"/>
      <w:marRight w:val="0"/>
      <w:marTop w:val="0"/>
      <w:marBottom w:val="0"/>
      <w:divBdr>
        <w:top w:val="none" w:sz="0" w:space="0" w:color="auto"/>
        <w:left w:val="none" w:sz="0" w:space="0" w:color="auto"/>
        <w:bottom w:val="none" w:sz="0" w:space="0" w:color="auto"/>
        <w:right w:val="none" w:sz="0" w:space="0" w:color="auto"/>
      </w:divBdr>
    </w:div>
    <w:div w:id="1547065942">
      <w:bodyDiv w:val="1"/>
      <w:marLeft w:val="0"/>
      <w:marRight w:val="0"/>
      <w:marTop w:val="0"/>
      <w:marBottom w:val="0"/>
      <w:divBdr>
        <w:top w:val="none" w:sz="0" w:space="0" w:color="auto"/>
        <w:left w:val="none" w:sz="0" w:space="0" w:color="auto"/>
        <w:bottom w:val="none" w:sz="0" w:space="0" w:color="auto"/>
        <w:right w:val="none" w:sz="0" w:space="0" w:color="auto"/>
      </w:divBdr>
    </w:div>
    <w:div w:id="1550994863">
      <w:bodyDiv w:val="1"/>
      <w:marLeft w:val="0"/>
      <w:marRight w:val="0"/>
      <w:marTop w:val="0"/>
      <w:marBottom w:val="0"/>
      <w:divBdr>
        <w:top w:val="none" w:sz="0" w:space="0" w:color="auto"/>
        <w:left w:val="none" w:sz="0" w:space="0" w:color="auto"/>
        <w:bottom w:val="none" w:sz="0" w:space="0" w:color="auto"/>
        <w:right w:val="none" w:sz="0" w:space="0" w:color="auto"/>
      </w:divBdr>
    </w:div>
    <w:div w:id="1565603329">
      <w:bodyDiv w:val="1"/>
      <w:marLeft w:val="0"/>
      <w:marRight w:val="0"/>
      <w:marTop w:val="0"/>
      <w:marBottom w:val="0"/>
      <w:divBdr>
        <w:top w:val="none" w:sz="0" w:space="0" w:color="auto"/>
        <w:left w:val="none" w:sz="0" w:space="0" w:color="auto"/>
        <w:bottom w:val="none" w:sz="0" w:space="0" w:color="auto"/>
        <w:right w:val="none" w:sz="0" w:space="0" w:color="auto"/>
      </w:divBdr>
      <w:divsChild>
        <w:div w:id="1700230916">
          <w:marLeft w:val="0"/>
          <w:marRight w:val="0"/>
          <w:marTop w:val="0"/>
          <w:marBottom w:val="0"/>
          <w:divBdr>
            <w:top w:val="none" w:sz="0" w:space="0" w:color="auto"/>
            <w:left w:val="none" w:sz="0" w:space="0" w:color="auto"/>
            <w:bottom w:val="none" w:sz="0" w:space="0" w:color="auto"/>
            <w:right w:val="none" w:sz="0" w:space="0" w:color="auto"/>
          </w:divBdr>
        </w:div>
        <w:div w:id="102960413">
          <w:marLeft w:val="0"/>
          <w:marRight w:val="0"/>
          <w:marTop w:val="0"/>
          <w:marBottom w:val="0"/>
          <w:divBdr>
            <w:top w:val="none" w:sz="0" w:space="0" w:color="auto"/>
            <w:left w:val="none" w:sz="0" w:space="0" w:color="auto"/>
            <w:bottom w:val="none" w:sz="0" w:space="0" w:color="auto"/>
            <w:right w:val="none" w:sz="0" w:space="0" w:color="auto"/>
          </w:divBdr>
        </w:div>
        <w:div w:id="719482135">
          <w:marLeft w:val="0"/>
          <w:marRight w:val="0"/>
          <w:marTop w:val="0"/>
          <w:marBottom w:val="0"/>
          <w:divBdr>
            <w:top w:val="none" w:sz="0" w:space="0" w:color="auto"/>
            <w:left w:val="none" w:sz="0" w:space="0" w:color="auto"/>
            <w:bottom w:val="none" w:sz="0" w:space="0" w:color="auto"/>
            <w:right w:val="none" w:sz="0" w:space="0" w:color="auto"/>
          </w:divBdr>
        </w:div>
        <w:div w:id="660502240">
          <w:marLeft w:val="0"/>
          <w:marRight w:val="0"/>
          <w:marTop w:val="0"/>
          <w:marBottom w:val="0"/>
          <w:divBdr>
            <w:top w:val="none" w:sz="0" w:space="0" w:color="auto"/>
            <w:left w:val="none" w:sz="0" w:space="0" w:color="auto"/>
            <w:bottom w:val="none" w:sz="0" w:space="0" w:color="auto"/>
            <w:right w:val="none" w:sz="0" w:space="0" w:color="auto"/>
          </w:divBdr>
        </w:div>
      </w:divsChild>
    </w:div>
    <w:div w:id="1709990536">
      <w:bodyDiv w:val="1"/>
      <w:marLeft w:val="0"/>
      <w:marRight w:val="0"/>
      <w:marTop w:val="0"/>
      <w:marBottom w:val="0"/>
      <w:divBdr>
        <w:top w:val="none" w:sz="0" w:space="0" w:color="auto"/>
        <w:left w:val="none" w:sz="0" w:space="0" w:color="auto"/>
        <w:bottom w:val="none" w:sz="0" w:space="0" w:color="auto"/>
        <w:right w:val="none" w:sz="0" w:space="0" w:color="auto"/>
      </w:divBdr>
    </w:div>
    <w:div w:id="1752503128">
      <w:bodyDiv w:val="1"/>
      <w:marLeft w:val="0"/>
      <w:marRight w:val="0"/>
      <w:marTop w:val="0"/>
      <w:marBottom w:val="0"/>
      <w:divBdr>
        <w:top w:val="none" w:sz="0" w:space="0" w:color="auto"/>
        <w:left w:val="none" w:sz="0" w:space="0" w:color="auto"/>
        <w:bottom w:val="none" w:sz="0" w:space="0" w:color="auto"/>
        <w:right w:val="none" w:sz="0" w:space="0" w:color="auto"/>
      </w:divBdr>
    </w:div>
    <w:div w:id="1786146460">
      <w:bodyDiv w:val="1"/>
      <w:marLeft w:val="0"/>
      <w:marRight w:val="0"/>
      <w:marTop w:val="0"/>
      <w:marBottom w:val="0"/>
      <w:divBdr>
        <w:top w:val="none" w:sz="0" w:space="0" w:color="auto"/>
        <w:left w:val="none" w:sz="0" w:space="0" w:color="auto"/>
        <w:bottom w:val="none" w:sz="0" w:space="0" w:color="auto"/>
        <w:right w:val="none" w:sz="0" w:space="0" w:color="auto"/>
      </w:divBdr>
    </w:div>
    <w:div w:id="1787306041">
      <w:bodyDiv w:val="1"/>
      <w:marLeft w:val="0"/>
      <w:marRight w:val="0"/>
      <w:marTop w:val="0"/>
      <w:marBottom w:val="0"/>
      <w:divBdr>
        <w:top w:val="none" w:sz="0" w:space="0" w:color="auto"/>
        <w:left w:val="none" w:sz="0" w:space="0" w:color="auto"/>
        <w:bottom w:val="none" w:sz="0" w:space="0" w:color="auto"/>
        <w:right w:val="none" w:sz="0" w:space="0" w:color="auto"/>
      </w:divBdr>
    </w:div>
    <w:div w:id="1823034223">
      <w:bodyDiv w:val="1"/>
      <w:marLeft w:val="0"/>
      <w:marRight w:val="0"/>
      <w:marTop w:val="0"/>
      <w:marBottom w:val="0"/>
      <w:divBdr>
        <w:top w:val="none" w:sz="0" w:space="0" w:color="auto"/>
        <w:left w:val="none" w:sz="0" w:space="0" w:color="auto"/>
        <w:bottom w:val="none" w:sz="0" w:space="0" w:color="auto"/>
        <w:right w:val="none" w:sz="0" w:space="0" w:color="auto"/>
      </w:divBdr>
    </w:div>
    <w:div w:id="1846362155">
      <w:bodyDiv w:val="1"/>
      <w:marLeft w:val="0"/>
      <w:marRight w:val="0"/>
      <w:marTop w:val="0"/>
      <w:marBottom w:val="0"/>
      <w:divBdr>
        <w:top w:val="none" w:sz="0" w:space="0" w:color="auto"/>
        <w:left w:val="none" w:sz="0" w:space="0" w:color="auto"/>
        <w:bottom w:val="none" w:sz="0" w:space="0" w:color="auto"/>
        <w:right w:val="none" w:sz="0" w:space="0" w:color="auto"/>
      </w:divBdr>
    </w:div>
    <w:div w:id="1924025957">
      <w:bodyDiv w:val="1"/>
      <w:marLeft w:val="0"/>
      <w:marRight w:val="0"/>
      <w:marTop w:val="0"/>
      <w:marBottom w:val="0"/>
      <w:divBdr>
        <w:top w:val="none" w:sz="0" w:space="0" w:color="auto"/>
        <w:left w:val="none" w:sz="0" w:space="0" w:color="auto"/>
        <w:bottom w:val="none" w:sz="0" w:space="0" w:color="auto"/>
        <w:right w:val="none" w:sz="0" w:space="0" w:color="auto"/>
      </w:divBdr>
    </w:div>
    <w:div w:id="1966501008">
      <w:bodyDiv w:val="1"/>
      <w:marLeft w:val="0"/>
      <w:marRight w:val="0"/>
      <w:marTop w:val="0"/>
      <w:marBottom w:val="0"/>
      <w:divBdr>
        <w:top w:val="none" w:sz="0" w:space="0" w:color="auto"/>
        <w:left w:val="none" w:sz="0" w:space="0" w:color="auto"/>
        <w:bottom w:val="none" w:sz="0" w:space="0" w:color="auto"/>
        <w:right w:val="none" w:sz="0" w:space="0" w:color="auto"/>
      </w:divBdr>
    </w:div>
    <w:div w:id="1969778844">
      <w:bodyDiv w:val="1"/>
      <w:marLeft w:val="0"/>
      <w:marRight w:val="0"/>
      <w:marTop w:val="0"/>
      <w:marBottom w:val="0"/>
      <w:divBdr>
        <w:top w:val="none" w:sz="0" w:space="0" w:color="auto"/>
        <w:left w:val="none" w:sz="0" w:space="0" w:color="auto"/>
        <w:bottom w:val="none" w:sz="0" w:space="0" w:color="auto"/>
        <w:right w:val="none" w:sz="0" w:space="0" w:color="auto"/>
      </w:divBdr>
    </w:div>
    <w:div w:id="2114282500">
      <w:bodyDiv w:val="1"/>
      <w:marLeft w:val="0"/>
      <w:marRight w:val="0"/>
      <w:marTop w:val="0"/>
      <w:marBottom w:val="0"/>
      <w:divBdr>
        <w:top w:val="none" w:sz="0" w:space="0" w:color="auto"/>
        <w:left w:val="none" w:sz="0" w:space="0" w:color="auto"/>
        <w:bottom w:val="none" w:sz="0" w:space="0" w:color="auto"/>
        <w:right w:val="none" w:sz="0" w:space="0" w:color="auto"/>
      </w:divBdr>
      <w:divsChild>
        <w:div w:id="1313295266">
          <w:marLeft w:val="0"/>
          <w:marRight w:val="0"/>
          <w:marTop w:val="0"/>
          <w:marBottom w:val="0"/>
          <w:divBdr>
            <w:top w:val="none" w:sz="0" w:space="0" w:color="auto"/>
            <w:left w:val="none" w:sz="0" w:space="0" w:color="auto"/>
            <w:bottom w:val="none" w:sz="0" w:space="0" w:color="auto"/>
            <w:right w:val="none" w:sz="0" w:space="0" w:color="auto"/>
          </w:divBdr>
        </w:div>
        <w:div w:id="644509495">
          <w:marLeft w:val="0"/>
          <w:marRight w:val="0"/>
          <w:marTop w:val="0"/>
          <w:marBottom w:val="0"/>
          <w:divBdr>
            <w:top w:val="none" w:sz="0" w:space="0" w:color="auto"/>
            <w:left w:val="none" w:sz="0" w:space="0" w:color="auto"/>
            <w:bottom w:val="none" w:sz="0" w:space="0" w:color="auto"/>
            <w:right w:val="none" w:sz="0" w:space="0" w:color="auto"/>
          </w:divBdr>
        </w:div>
        <w:div w:id="821890333">
          <w:marLeft w:val="0"/>
          <w:marRight w:val="0"/>
          <w:marTop w:val="0"/>
          <w:marBottom w:val="0"/>
          <w:divBdr>
            <w:top w:val="none" w:sz="0" w:space="0" w:color="auto"/>
            <w:left w:val="none" w:sz="0" w:space="0" w:color="auto"/>
            <w:bottom w:val="none" w:sz="0" w:space="0" w:color="auto"/>
            <w:right w:val="none" w:sz="0" w:space="0" w:color="auto"/>
          </w:divBdr>
        </w:div>
        <w:div w:id="418866883">
          <w:marLeft w:val="0"/>
          <w:marRight w:val="0"/>
          <w:marTop w:val="0"/>
          <w:marBottom w:val="0"/>
          <w:divBdr>
            <w:top w:val="none" w:sz="0" w:space="0" w:color="auto"/>
            <w:left w:val="none" w:sz="0" w:space="0" w:color="auto"/>
            <w:bottom w:val="none" w:sz="0" w:space="0" w:color="auto"/>
            <w:right w:val="none" w:sz="0" w:space="0" w:color="auto"/>
          </w:divBdr>
        </w:div>
        <w:div w:id="1605842733">
          <w:marLeft w:val="0"/>
          <w:marRight w:val="0"/>
          <w:marTop w:val="0"/>
          <w:marBottom w:val="0"/>
          <w:divBdr>
            <w:top w:val="none" w:sz="0" w:space="0" w:color="auto"/>
            <w:left w:val="none" w:sz="0" w:space="0" w:color="auto"/>
            <w:bottom w:val="none" w:sz="0" w:space="0" w:color="auto"/>
            <w:right w:val="none" w:sz="0" w:space="0" w:color="auto"/>
          </w:divBdr>
        </w:div>
        <w:div w:id="1485854789">
          <w:marLeft w:val="0"/>
          <w:marRight w:val="0"/>
          <w:marTop w:val="0"/>
          <w:marBottom w:val="0"/>
          <w:divBdr>
            <w:top w:val="none" w:sz="0" w:space="0" w:color="auto"/>
            <w:left w:val="none" w:sz="0" w:space="0" w:color="auto"/>
            <w:bottom w:val="none" w:sz="0" w:space="0" w:color="auto"/>
            <w:right w:val="none" w:sz="0" w:space="0" w:color="auto"/>
          </w:divBdr>
        </w:div>
      </w:divsChild>
    </w:div>
    <w:div w:id="2133554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52CAB-90A2-48C4-B40F-17FC9D91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 HP</cp:lastModifiedBy>
  <cp:revision>2</cp:revision>
  <cp:lastPrinted>2023-06-28T11:46:00Z</cp:lastPrinted>
  <dcterms:created xsi:type="dcterms:W3CDTF">2023-08-10T02:52:00Z</dcterms:created>
  <dcterms:modified xsi:type="dcterms:W3CDTF">2023-08-10T02:52:00Z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2965fe8c-e268-38e2-a982-2c6dee62985f</vt:lpwstr>
  </property>
  <property fmtid="{D5CDD505-2E9C-101B-9397-08002B2CF9AE}" pid="25" name="Mendeley Citation Style_1">
    <vt:lpwstr>http://www.zotero.org/styles/chicago-fullnote-bibliography</vt:lpwstr>
  </property>
</Properties>
</file>