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A97F9" w14:textId="5BDA3A3F" w:rsidR="00E12583" w:rsidRPr="007218D2" w:rsidRDefault="00E12583" w:rsidP="0081776B">
      <w:pPr>
        <w:widowControl w:val="0"/>
        <w:autoSpaceDE w:val="0"/>
        <w:autoSpaceDN w:val="0"/>
        <w:adjustRightInd w:val="0"/>
        <w:jc w:val="center"/>
        <w:rPr>
          <w:b/>
          <w:bCs/>
          <w:color w:val="000000" w:themeColor="text1"/>
        </w:rPr>
      </w:pPr>
      <w:r w:rsidRPr="007218D2">
        <w:rPr>
          <w:b/>
          <w:bCs/>
          <w:color w:val="000000" w:themeColor="text1"/>
        </w:rPr>
        <w:t xml:space="preserve">Perbandingan </w:t>
      </w:r>
      <w:r w:rsidR="00444274" w:rsidRPr="007218D2">
        <w:rPr>
          <w:b/>
          <w:bCs/>
          <w:color w:val="000000" w:themeColor="text1"/>
        </w:rPr>
        <w:t xml:space="preserve">Penyelesaian Sengketa Lingkungan Hidup melalui </w:t>
      </w:r>
      <w:r w:rsidRPr="007218D2">
        <w:rPr>
          <w:b/>
          <w:bCs/>
          <w:color w:val="000000" w:themeColor="text1"/>
        </w:rPr>
        <w:t>Mekanisme Gugatan</w:t>
      </w:r>
      <w:r w:rsidR="00B733C4" w:rsidRPr="007218D2">
        <w:rPr>
          <w:b/>
          <w:bCs/>
          <w:color w:val="000000" w:themeColor="text1"/>
        </w:rPr>
        <w:t xml:space="preserve"> </w:t>
      </w:r>
      <w:r w:rsidR="004334B6" w:rsidRPr="007218D2">
        <w:rPr>
          <w:b/>
          <w:bCs/>
          <w:color w:val="000000" w:themeColor="text1"/>
        </w:rPr>
        <w:t>Warga Negara (</w:t>
      </w:r>
      <w:r w:rsidR="00444274" w:rsidRPr="007218D2">
        <w:rPr>
          <w:b/>
          <w:bCs/>
          <w:i/>
          <w:color w:val="000000" w:themeColor="text1"/>
        </w:rPr>
        <w:t>Citizen Lawsuit</w:t>
      </w:r>
      <w:r w:rsidR="004334B6" w:rsidRPr="007218D2">
        <w:rPr>
          <w:b/>
          <w:bCs/>
          <w:color w:val="000000" w:themeColor="text1"/>
        </w:rPr>
        <w:t>)</w:t>
      </w:r>
      <w:r w:rsidR="00444274" w:rsidRPr="007218D2">
        <w:rPr>
          <w:b/>
          <w:bCs/>
          <w:i/>
          <w:color w:val="000000" w:themeColor="text1"/>
        </w:rPr>
        <w:t xml:space="preserve"> </w:t>
      </w:r>
      <w:r w:rsidRPr="007218D2">
        <w:rPr>
          <w:b/>
          <w:bCs/>
          <w:color w:val="000000" w:themeColor="text1"/>
        </w:rPr>
        <w:t>di Indonesia dan Amerika Serikat</w:t>
      </w:r>
    </w:p>
    <w:p w14:paraId="11C4F929" w14:textId="77777777" w:rsidR="00E12583" w:rsidRPr="007218D2" w:rsidRDefault="00E12583" w:rsidP="0081776B">
      <w:pPr>
        <w:widowControl w:val="0"/>
        <w:autoSpaceDE w:val="0"/>
        <w:autoSpaceDN w:val="0"/>
        <w:adjustRightInd w:val="0"/>
        <w:jc w:val="center"/>
        <w:rPr>
          <w:b/>
          <w:bCs/>
          <w:color w:val="000000" w:themeColor="text1"/>
        </w:rPr>
      </w:pPr>
    </w:p>
    <w:p w14:paraId="102070C1" w14:textId="411E211C" w:rsidR="00B733C4" w:rsidRPr="007218D2" w:rsidRDefault="00B733C4" w:rsidP="0081776B">
      <w:pPr>
        <w:jc w:val="center"/>
        <w:rPr>
          <w:b/>
          <w:color w:val="000000" w:themeColor="text1"/>
        </w:rPr>
      </w:pPr>
      <w:r w:rsidRPr="007218D2">
        <w:rPr>
          <w:b/>
          <w:color w:val="000000" w:themeColor="text1"/>
        </w:rPr>
        <w:t>Listyalaras Nurmedina 1906409582</w:t>
      </w:r>
      <w:r w:rsidR="00340F4F" w:rsidRPr="007218D2">
        <w:rPr>
          <w:b/>
          <w:color w:val="000000" w:themeColor="text1"/>
        </w:rPr>
        <w:t>*</w:t>
      </w:r>
    </w:p>
    <w:p w14:paraId="79881AA8" w14:textId="77777777" w:rsidR="00340F4F" w:rsidRPr="007218D2" w:rsidRDefault="00340F4F" w:rsidP="0081776B">
      <w:pPr>
        <w:jc w:val="center"/>
        <w:rPr>
          <w:b/>
          <w:color w:val="000000" w:themeColor="text1"/>
        </w:rPr>
      </w:pPr>
    </w:p>
    <w:p w14:paraId="24D325CF" w14:textId="400407DF" w:rsidR="00340F4F" w:rsidRPr="007218D2" w:rsidRDefault="00340F4F" w:rsidP="00340F4F">
      <w:pPr>
        <w:rPr>
          <w:color w:val="000000" w:themeColor="text1"/>
        </w:rPr>
      </w:pPr>
      <w:r w:rsidRPr="007218D2">
        <w:rPr>
          <w:color w:val="000000" w:themeColor="text1"/>
        </w:rPr>
        <w:t>* Mahasiswa Magister Ilmu Hukum Fakultas Hukum Universitas Indonesia</w:t>
      </w:r>
    </w:p>
    <w:p w14:paraId="4FB0282B" w14:textId="42D2A79E" w:rsidR="00340F4F" w:rsidRPr="007218D2" w:rsidRDefault="00340F4F" w:rsidP="00340F4F">
      <w:pPr>
        <w:jc w:val="center"/>
        <w:rPr>
          <w:color w:val="000000" w:themeColor="text1"/>
        </w:rPr>
      </w:pPr>
      <w:r w:rsidRPr="007218D2">
        <w:rPr>
          <w:color w:val="000000" w:themeColor="text1"/>
        </w:rPr>
        <w:t xml:space="preserve">Korespondensi: </w:t>
      </w:r>
      <w:hyperlink r:id="rId8" w:history="1">
        <w:r w:rsidRPr="007218D2">
          <w:rPr>
            <w:rStyle w:val="Hyperlink"/>
          </w:rPr>
          <w:t>listyalaras.nurmedina@ui.ac.id</w:t>
        </w:r>
      </w:hyperlink>
    </w:p>
    <w:p w14:paraId="5A5494D0" w14:textId="4509515B" w:rsidR="00340F4F" w:rsidRPr="007218D2" w:rsidRDefault="00340F4F" w:rsidP="00340F4F">
      <w:pPr>
        <w:jc w:val="center"/>
        <w:rPr>
          <w:color w:val="000000" w:themeColor="text1"/>
        </w:rPr>
      </w:pPr>
      <w:r w:rsidRPr="007218D2">
        <w:rPr>
          <w:color w:val="000000" w:themeColor="text1"/>
        </w:rPr>
        <w:t xml:space="preserve">Naskah dikirim: </w:t>
      </w:r>
      <w:r w:rsidR="00F31576">
        <w:rPr>
          <w:color w:val="000000" w:themeColor="text1"/>
        </w:rPr>
        <w:t>19 Juni 2021</w:t>
      </w:r>
    </w:p>
    <w:p w14:paraId="47924C4B" w14:textId="77777777" w:rsidR="00B733C4" w:rsidRPr="007218D2" w:rsidRDefault="00B733C4" w:rsidP="0081776B">
      <w:pPr>
        <w:jc w:val="center"/>
        <w:rPr>
          <w:b/>
          <w:color w:val="000000" w:themeColor="text1"/>
        </w:rPr>
      </w:pPr>
    </w:p>
    <w:p w14:paraId="77A6FD90" w14:textId="4E545FA0" w:rsidR="00A2291C" w:rsidRPr="007218D2" w:rsidRDefault="00B733C4" w:rsidP="00A2291C">
      <w:pPr>
        <w:jc w:val="center"/>
        <w:rPr>
          <w:b/>
          <w:i/>
          <w:color w:val="000000" w:themeColor="text1"/>
        </w:rPr>
      </w:pPr>
      <w:r w:rsidRPr="007218D2">
        <w:rPr>
          <w:b/>
          <w:i/>
          <w:color w:val="000000" w:themeColor="text1"/>
        </w:rPr>
        <w:t>Abstract</w:t>
      </w:r>
    </w:p>
    <w:p w14:paraId="4DED156D" w14:textId="77777777" w:rsidR="00340F4F" w:rsidRPr="007218D2" w:rsidRDefault="00340F4F" w:rsidP="00A2291C">
      <w:pPr>
        <w:jc w:val="center"/>
        <w:rPr>
          <w:b/>
          <w:i/>
          <w:color w:val="000000" w:themeColor="text1"/>
        </w:rPr>
      </w:pPr>
    </w:p>
    <w:p w14:paraId="27CEBFC1" w14:textId="4BF73C88" w:rsidR="002C6E71" w:rsidRPr="007218D2" w:rsidRDefault="008C6CC8" w:rsidP="00A2291C">
      <w:pPr>
        <w:jc w:val="both"/>
        <w:rPr>
          <w:i/>
          <w:color w:val="000000" w:themeColor="text1"/>
        </w:rPr>
      </w:pPr>
      <w:r w:rsidRPr="007218D2">
        <w:rPr>
          <w:i/>
          <w:color w:val="000000" w:themeColor="text1"/>
        </w:rPr>
        <w:t xml:space="preserve">Citizen lawsuit is a lawsuit filed by citizens against state officials that cause negligence and cause losses. This is </w:t>
      </w:r>
      <w:r w:rsidR="000D7E32">
        <w:rPr>
          <w:i/>
          <w:color w:val="000000" w:themeColor="text1"/>
        </w:rPr>
        <w:t>tort</w:t>
      </w:r>
      <w:r w:rsidRPr="007218D2">
        <w:rPr>
          <w:i/>
          <w:color w:val="000000" w:themeColor="text1"/>
        </w:rPr>
        <w:t xml:space="preserve"> (onrechtmatige overhead daad), where the state is ordered to make improvements to its performance and to issue a policy for general governing policies (regeling). This is intended to the negligence that previo</w:t>
      </w:r>
      <w:bookmarkStart w:id="0" w:name="_GoBack"/>
      <w:bookmarkEnd w:id="0"/>
      <w:r w:rsidRPr="007218D2">
        <w:rPr>
          <w:i/>
          <w:color w:val="000000" w:themeColor="text1"/>
        </w:rPr>
        <w:t xml:space="preserve">usly occurred, </w:t>
      </w:r>
      <w:r w:rsidR="000D7E32">
        <w:rPr>
          <w:i/>
          <w:color w:val="000000" w:themeColor="text1"/>
        </w:rPr>
        <w:t>so it will not be</w:t>
      </w:r>
      <w:r w:rsidRPr="007218D2">
        <w:rPr>
          <w:i/>
          <w:color w:val="000000" w:themeColor="text1"/>
        </w:rPr>
        <w:t xml:space="preserve"> repeated in the future. Basically, citizen lawsuit is almost similar to class action lawsuit because it has the same thing, </w:t>
      </w:r>
      <w:r w:rsidR="000D7E32">
        <w:rPr>
          <w:i/>
          <w:color w:val="000000" w:themeColor="text1"/>
        </w:rPr>
        <w:t>such as</w:t>
      </w:r>
      <w:r w:rsidRPr="007218D2">
        <w:rPr>
          <w:i/>
          <w:color w:val="000000" w:themeColor="text1"/>
        </w:rPr>
        <w:t xml:space="preserve"> the lawsuit is filed involving the interests of a large number of people represented by one or more people. The difference is that citizen lawsuit is filed by citizens for the public interest, whereas in class action lawsuit, the lawsuit is filed by representatives of a group for certain interests. Citizen lawsuit was formed in</w:t>
      </w:r>
      <w:r w:rsidR="000D7E32">
        <w:rPr>
          <w:i/>
          <w:color w:val="000000" w:themeColor="text1"/>
        </w:rPr>
        <w:t xml:space="preserve"> the</w:t>
      </w:r>
      <w:r w:rsidRPr="007218D2">
        <w:rPr>
          <w:i/>
          <w:color w:val="000000" w:themeColor="text1"/>
        </w:rPr>
        <w:t xml:space="preserve"> countries with common law legal systems that were originally raised on issues related to the environment. Meanwhile, citizen lawsuit in Indonesia is actually not regulated in the</w:t>
      </w:r>
      <w:r w:rsidR="000D7E32">
        <w:rPr>
          <w:i/>
          <w:color w:val="000000" w:themeColor="text1"/>
        </w:rPr>
        <w:t xml:space="preserve"> legislation</w:t>
      </w:r>
      <w:r w:rsidRPr="007218D2">
        <w:rPr>
          <w:i/>
          <w:color w:val="000000" w:themeColor="text1"/>
        </w:rPr>
        <w:t xml:space="preserve">. However, in 2003, the Central Jakarta District Court has accepted the form of citizen </w:t>
      </w:r>
      <w:r w:rsidR="000D7E32">
        <w:rPr>
          <w:i/>
          <w:color w:val="000000" w:themeColor="text1"/>
        </w:rPr>
        <w:t>lawsuit and</w:t>
      </w:r>
      <w:r w:rsidRPr="007218D2">
        <w:rPr>
          <w:i/>
          <w:color w:val="000000" w:themeColor="text1"/>
        </w:rPr>
        <w:t xml:space="preserve"> it has been recognized in </w:t>
      </w:r>
      <w:r w:rsidR="000D7E32">
        <w:rPr>
          <w:i/>
          <w:color w:val="000000" w:themeColor="text1"/>
        </w:rPr>
        <w:t xml:space="preserve">the </w:t>
      </w:r>
      <w:r w:rsidRPr="007218D2">
        <w:rPr>
          <w:i/>
          <w:color w:val="000000" w:themeColor="text1"/>
        </w:rPr>
        <w:t>practice</w:t>
      </w:r>
      <w:r w:rsidR="000D7E32">
        <w:rPr>
          <w:i/>
          <w:color w:val="000000" w:themeColor="text1"/>
        </w:rPr>
        <w:t xml:space="preserve"> area</w:t>
      </w:r>
      <w:r w:rsidRPr="007218D2">
        <w:rPr>
          <w:i/>
          <w:color w:val="000000" w:themeColor="text1"/>
        </w:rPr>
        <w:t xml:space="preserve">. In this article, the author describes </w:t>
      </w:r>
      <w:r w:rsidR="000D7E32">
        <w:rPr>
          <w:i/>
          <w:color w:val="000000" w:themeColor="text1"/>
        </w:rPr>
        <w:t xml:space="preserve">the </w:t>
      </w:r>
      <w:r w:rsidRPr="007218D2">
        <w:rPr>
          <w:i/>
          <w:color w:val="000000" w:themeColor="text1"/>
        </w:rPr>
        <w:t>examples of citizen lawsuit that h</w:t>
      </w:r>
      <w:r w:rsidR="000D7E32">
        <w:rPr>
          <w:i/>
          <w:color w:val="000000" w:themeColor="text1"/>
        </w:rPr>
        <w:t>ave occurred in Indonesia and</w:t>
      </w:r>
      <w:r w:rsidRPr="007218D2">
        <w:rPr>
          <w:i/>
          <w:color w:val="000000" w:themeColor="text1"/>
        </w:rPr>
        <w:t xml:space="preserve"> United States. In addition, it will also explain t</w:t>
      </w:r>
      <w:r w:rsidR="00484C53">
        <w:rPr>
          <w:i/>
          <w:color w:val="000000" w:themeColor="text1"/>
        </w:rPr>
        <w:t>he mechanism of citizen lawsuit where</w:t>
      </w:r>
      <w:r w:rsidRPr="007218D2">
        <w:rPr>
          <w:i/>
          <w:color w:val="000000" w:themeColor="text1"/>
        </w:rPr>
        <w:t xml:space="preserve"> in writing this article some similarities and differences are found in the citizen lawsuit</w:t>
      </w:r>
      <w:r w:rsidR="000D7E32">
        <w:rPr>
          <w:i/>
          <w:color w:val="000000" w:themeColor="text1"/>
        </w:rPr>
        <w:t xml:space="preserve"> </w:t>
      </w:r>
      <w:r w:rsidR="00484C53">
        <w:rPr>
          <w:i/>
          <w:color w:val="000000" w:themeColor="text1"/>
        </w:rPr>
        <w:t xml:space="preserve">practice </w:t>
      </w:r>
      <w:r w:rsidR="000D7E32">
        <w:rPr>
          <w:i/>
          <w:color w:val="000000" w:themeColor="text1"/>
        </w:rPr>
        <w:t xml:space="preserve">that applied in Indonesia and </w:t>
      </w:r>
      <w:r w:rsidRPr="007218D2">
        <w:rPr>
          <w:i/>
          <w:color w:val="000000" w:themeColor="text1"/>
        </w:rPr>
        <w:t>United States.</w:t>
      </w:r>
    </w:p>
    <w:p w14:paraId="62613BD9" w14:textId="77777777" w:rsidR="008C6CC8" w:rsidRPr="007218D2" w:rsidRDefault="008C6CC8" w:rsidP="00A2291C">
      <w:pPr>
        <w:jc w:val="both"/>
      </w:pPr>
    </w:p>
    <w:p w14:paraId="6D06523E" w14:textId="16ABC2AE" w:rsidR="00B733C4" w:rsidRPr="007218D2" w:rsidRDefault="002C6E71" w:rsidP="0081776B">
      <w:pPr>
        <w:jc w:val="both"/>
        <w:rPr>
          <w:i/>
          <w:color w:val="000000" w:themeColor="text1"/>
        </w:rPr>
      </w:pPr>
      <w:r w:rsidRPr="007218D2">
        <w:rPr>
          <w:i/>
          <w:color w:val="000000" w:themeColor="text1"/>
        </w:rPr>
        <w:t>Keywords: Citizen Lawsuit, Civil Procedure, Comparative Law</w:t>
      </w:r>
      <w:r w:rsidR="008C6CC8" w:rsidRPr="007218D2">
        <w:rPr>
          <w:i/>
          <w:color w:val="000000" w:themeColor="text1"/>
        </w:rPr>
        <w:t>, Environmental Law, Tort</w:t>
      </w:r>
    </w:p>
    <w:p w14:paraId="13E9DA5B" w14:textId="77777777" w:rsidR="002C6E71" w:rsidRPr="007218D2" w:rsidRDefault="002C6E71" w:rsidP="0081776B">
      <w:pPr>
        <w:jc w:val="both"/>
        <w:rPr>
          <w:b/>
          <w:i/>
          <w:color w:val="000000" w:themeColor="text1"/>
        </w:rPr>
      </w:pPr>
    </w:p>
    <w:p w14:paraId="5C5A7798" w14:textId="15E56D5F" w:rsidR="00A2291C" w:rsidRPr="007218D2" w:rsidRDefault="00B733C4" w:rsidP="00A2291C">
      <w:pPr>
        <w:jc w:val="center"/>
        <w:rPr>
          <w:b/>
          <w:color w:val="000000" w:themeColor="text1"/>
        </w:rPr>
      </w:pPr>
      <w:r w:rsidRPr="007218D2">
        <w:rPr>
          <w:b/>
          <w:color w:val="000000" w:themeColor="text1"/>
        </w:rPr>
        <w:t>Abstra</w:t>
      </w:r>
      <w:r w:rsidR="00EE1943" w:rsidRPr="007218D2">
        <w:rPr>
          <w:b/>
          <w:color w:val="000000" w:themeColor="text1"/>
        </w:rPr>
        <w:t>k</w:t>
      </w:r>
    </w:p>
    <w:p w14:paraId="1B5BE7D1" w14:textId="77777777" w:rsidR="00340F4F" w:rsidRPr="007218D2" w:rsidRDefault="00340F4F" w:rsidP="00A2291C">
      <w:pPr>
        <w:jc w:val="center"/>
        <w:rPr>
          <w:b/>
          <w:color w:val="000000" w:themeColor="text1"/>
        </w:rPr>
      </w:pPr>
    </w:p>
    <w:p w14:paraId="131942B9" w14:textId="1531B508" w:rsidR="00EB5046" w:rsidRPr="007218D2" w:rsidRDefault="00C0608A" w:rsidP="0081776B">
      <w:pPr>
        <w:jc w:val="both"/>
        <w:rPr>
          <w:color w:val="000000" w:themeColor="text1"/>
        </w:rPr>
      </w:pPr>
      <w:r w:rsidRPr="007218D2">
        <w:rPr>
          <w:i/>
          <w:color w:val="000000" w:themeColor="text1"/>
        </w:rPr>
        <w:t xml:space="preserve">Citizen lawsuit </w:t>
      </w:r>
      <w:r w:rsidRPr="007218D2">
        <w:rPr>
          <w:color w:val="000000" w:themeColor="text1"/>
        </w:rPr>
        <w:t>merupakan gugatan yang diajukan oleh warga negara terhadap penyelenggara negara yang menimbulkan kelalaian sehingga menyebabkan kerugian. Kelalaian tersebut merupakan Perbuatan Melawan Hukum (</w:t>
      </w:r>
      <w:r w:rsidRPr="007218D2">
        <w:rPr>
          <w:i/>
          <w:color w:val="000000" w:themeColor="text1"/>
        </w:rPr>
        <w:t>onrechtmatige overhead daad)</w:t>
      </w:r>
      <w:r w:rsidRPr="007218D2">
        <w:rPr>
          <w:color w:val="000000" w:themeColor="text1"/>
        </w:rPr>
        <w:t>, dimana negara diperintahkan untuk melakukan perbaikan atas kinerjanya dan mengeluarkan suatu kebijakan yang mengatur umum (</w:t>
      </w:r>
      <w:r w:rsidRPr="007218D2">
        <w:rPr>
          <w:i/>
          <w:color w:val="000000" w:themeColor="text1"/>
        </w:rPr>
        <w:t>regeling</w:t>
      </w:r>
      <w:r w:rsidRPr="007218D2">
        <w:rPr>
          <w:color w:val="000000" w:themeColor="text1"/>
        </w:rPr>
        <w:t xml:space="preserve">). Hal tersebut bertujuan agar kelalaian yang sebelumnya terjadi tidak terulang lagi pada masa yang akan datang. Pada dasarnya, gugatan </w:t>
      </w:r>
      <w:r w:rsidRPr="007218D2">
        <w:rPr>
          <w:i/>
          <w:color w:val="000000" w:themeColor="text1"/>
        </w:rPr>
        <w:t>citizen lawsuit</w:t>
      </w:r>
      <w:r w:rsidRPr="007218D2">
        <w:rPr>
          <w:color w:val="000000" w:themeColor="text1"/>
        </w:rPr>
        <w:t xml:space="preserve"> hampir mirip dengan gugatan </w:t>
      </w:r>
      <w:r w:rsidRPr="007218D2">
        <w:rPr>
          <w:i/>
          <w:color w:val="000000" w:themeColor="text1"/>
        </w:rPr>
        <w:t>class action</w:t>
      </w:r>
      <w:r w:rsidRPr="007218D2">
        <w:rPr>
          <w:color w:val="000000" w:themeColor="text1"/>
        </w:rPr>
        <w:t xml:space="preserve"> karena memiliki kesamaan yaitu gugatannya diajukan dengan melibatkan kepentingan sejumlah besar orang yang diwakilkan oleh satu orang atau lebih. Perbedaannya adalah gugatan </w:t>
      </w:r>
      <w:r w:rsidRPr="007218D2">
        <w:rPr>
          <w:i/>
          <w:color w:val="000000" w:themeColor="text1"/>
        </w:rPr>
        <w:t xml:space="preserve">citizen lawsuit </w:t>
      </w:r>
      <w:r w:rsidRPr="007218D2">
        <w:rPr>
          <w:color w:val="000000" w:themeColor="text1"/>
        </w:rPr>
        <w:t xml:space="preserve">diajukan oleh warga negara untuk kepentingan umum sedangkan dalam gugatan </w:t>
      </w:r>
      <w:r w:rsidRPr="007218D2">
        <w:rPr>
          <w:i/>
          <w:color w:val="000000" w:themeColor="text1"/>
        </w:rPr>
        <w:t>class action,</w:t>
      </w:r>
      <w:r w:rsidRPr="007218D2">
        <w:rPr>
          <w:color w:val="000000" w:themeColor="text1"/>
        </w:rPr>
        <w:t xml:space="preserve"> gugatannya diajukan oleh wakil dari sebuah kelompok untuk kepentingan tertentu. </w:t>
      </w:r>
      <w:r w:rsidRPr="007218D2">
        <w:rPr>
          <w:i/>
          <w:color w:val="000000" w:themeColor="text1"/>
        </w:rPr>
        <w:t xml:space="preserve">Citizen lawsuit </w:t>
      </w:r>
      <w:r w:rsidRPr="007218D2">
        <w:rPr>
          <w:color w:val="000000" w:themeColor="text1"/>
        </w:rPr>
        <w:t xml:space="preserve">terbentuk di negara-negara dengan sistem hukum </w:t>
      </w:r>
      <w:r w:rsidRPr="007218D2">
        <w:rPr>
          <w:i/>
          <w:color w:val="000000" w:themeColor="text1"/>
        </w:rPr>
        <w:t>common law</w:t>
      </w:r>
      <w:r w:rsidRPr="007218D2">
        <w:rPr>
          <w:color w:val="000000" w:themeColor="text1"/>
        </w:rPr>
        <w:t xml:space="preserve"> yang pada awalnya diajukan terhadap permasalahan yang berkaitan dengan lingkungan hidup.  Sedangkan </w:t>
      </w:r>
      <w:r w:rsidRPr="007218D2">
        <w:rPr>
          <w:i/>
          <w:color w:val="000000" w:themeColor="text1"/>
        </w:rPr>
        <w:t>citizen lawsuit</w:t>
      </w:r>
      <w:r w:rsidRPr="007218D2">
        <w:rPr>
          <w:color w:val="000000" w:themeColor="text1"/>
        </w:rPr>
        <w:t xml:space="preserve"> di Indonesia sebenarnya tidak diatur dalam perundang-undangan. Namun pada tahun 2003, Pengadilan Negeri Jakarta Pusat telah menerima bentuk gugatan </w:t>
      </w:r>
      <w:r w:rsidRPr="007218D2">
        <w:rPr>
          <w:i/>
          <w:color w:val="000000" w:themeColor="text1"/>
        </w:rPr>
        <w:t>citizen lawsuit</w:t>
      </w:r>
      <w:r w:rsidRPr="007218D2">
        <w:rPr>
          <w:color w:val="000000" w:themeColor="text1"/>
        </w:rPr>
        <w:t xml:space="preserve">, sehingga walaupun gugatan </w:t>
      </w:r>
      <w:r w:rsidRPr="007218D2">
        <w:rPr>
          <w:i/>
          <w:color w:val="000000" w:themeColor="text1"/>
        </w:rPr>
        <w:t xml:space="preserve">citizen </w:t>
      </w:r>
      <w:r w:rsidRPr="007218D2">
        <w:rPr>
          <w:color w:val="000000" w:themeColor="text1"/>
        </w:rPr>
        <w:t xml:space="preserve">lawsuit ini tidak diatur dalam perundang-undangan, namun telah diakui dalam praktiknya. Pada artikel ini, penulis menjelaskan contoh-contoh </w:t>
      </w:r>
      <w:r w:rsidRPr="007218D2">
        <w:rPr>
          <w:i/>
          <w:color w:val="000000" w:themeColor="text1"/>
        </w:rPr>
        <w:t>citizen lawsuit</w:t>
      </w:r>
      <w:r w:rsidRPr="007218D2">
        <w:rPr>
          <w:color w:val="000000" w:themeColor="text1"/>
        </w:rPr>
        <w:t xml:space="preserve"> yang pernah terjadi di Indonesia dan Amerika Serikat. Selain itu, akan dijelaskan juga mekanisme gugatan </w:t>
      </w:r>
      <w:r w:rsidRPr="007218D2">
        <w:rPr>
          <w:i/>
          <w:color w:val="000000" w:themeColor="text1"/>
        </w:rPr>
        <w:t xml:space="preserve">citizen lawsuit </w:t>
      </w:r>
      <w:r w:rsidRPr="007218D2">
        <w:rPr>
          <w:color w:val="000000" w:themeColor="text1"/>
        </w:rPr>
        <w:t xml:space="preserve">sehingga </w:t>
      </w:r>
      <w:r w:rsidRPr="007218D2">
        <w:rPr>
          <w:color w:val="000000" w:themeColor="text1"/>
        </w:rPr>
        <w:lastRenderedPageBreak/>
        <w:t xml:space="preserve">dalam penulisan artikel ini ditemukan beberapa persamaan dan perbedaan dalam praktik </w:t>
      </w:r>
      <w:r w:rsidRPr="007218D2">
        <w:rPr>
          <w:i/>
          <w:color w:val="000000" w:themeColor="text1"/>
        </w:rPr>
        <w:t xml:space="preserve">citizen lawsuit </w:t>
      </w:r>
      <w:r w:rsidRPr="007218D2">
        <w:rPr>
          <w:color w:val="000000" w:themeColor="text1"/>
        </w:rPr>
        <w:t>yang diterapkan di Indonesia dan Amerika Serikat.</w:t>
      </w:r>
    </w:p>
    <w:p w14:paraId="2EFAB0E6" w14:textId="77777777" w:rsidR="008C6CC8" w:rsidRPr="007218D2" w:rsidRDefault="008C6CC8" w:rsidP="0081776B">
      <w:pPr>
        <w:jc w:val="both"/>
        <w:rPr>
          <w:color w:val="000000" w:themeColor="text1"/>
        </w:rPr>
      </w:pPr>
    </w:p>
    <w:p w14:paraId="016C652B" w14:textId="0B4F930E" w:rsidR="00B733C4" w:rsidRPr="007218D2" w:rsidRDefault="00B733C4" w:rsidP="0081776B">
      <w:pPr>
        <w:jc w:val="both"/>
        <w:rPr>
          <w:color w:val="000000" w:themeColor="text1"/>
        </w:rPr>
      </w:pPr>
      <w:r w:rsidRPr="007218D2">
        <w:rPr>
          <w:color w:val="000000" w:themeColor="text1"/>
        </w:rPr>
        <w:t>Kata Kunci:</w:t>
      </w:r>
      <w:r w:rsidR="002C6E71" w:rsidRPr="007218D2">
        <w:rPr>
          <w:color w:val="000000" w:themeColor="text1"/>
        </w:rPr>
        <w:t xml:space="preserve"> Citizen Lawsuit, Prosedur Hukum Acara Perdata, Perbandingan Hukum</w:t>
      </w:r>
      <w:r w:rsidR="008C6CC8" w:rsidRPr="007218D2">
        <w:rPr>
          <w:color w:val="000000" w:themeColor="text1"/>
        </w:rPr>
        <w:t>, Hukum Lingkungan, Perbuatan Melawan Hukum</w:t>
      </w:r>
      <w:r w:rsidR="00A2291C" w:rsidRPr="007218D2">
        <w:rPr>
          <w:color w:val="000000" w:themeColor="text1"/>
        </w:rPr>
        <w:t>.</w:t>
      </w:r>
    </w:p>
    <w:p w14:paraId="75AECCA0" w14:textId="77777777" w:rsidR="00340F4F" w:rsidRPr="007218D2" w:rsidRDefault="00340F4F" w:rsidP="0081776B">
      <w:pPr>
        <w:jc w:val="both"/>
        <w:rPr>
          <w:color w:val="000000" w:themeColor="text1"/>
        </w:rPr>
      </w:pPr>
    </w:p>
    <w:p w14:paraId="339EAD6C" w14:textId="2C01C2B4" w:rsidR="00B733C4" w:rsidRPr="007218D2" w:rsidRDefault="00B733C4" w:rsidP="0081776B">
      <w:pPr>
        <w:pStyle w:val="ListParagraph"/>
        <w:numPr>
          <w:ilvl w:val="0"/>
          <w:numId w:val="1"/>
        </w:numPr>
        <w:ind w:left="709"/>
        <w:jc w:val="both"/>
        <w:rPr>
          <w:rFonts w:ascii="Times New Roman" w:hAnsi="Times New Roman" w:cs="Times New Roman"/>
          <w:b/>
          <w:color w:val="000000" w:themeColor="text1"/>
        </w:rPr>
      </w:pPr>
      <w:r w:rsidRPr="007218D2">
        <w:rPr>
          <w:rFonts w:ascii="Times New Roman" w:hAnsi="Times New Roman" w:cs="Times New Roman"/>
          <w:b/>
          <w:color w:val="000000" w:themeColor="text1"/>
        </w:rPr>
        <w:t>Pendahuluan</w:t>
      </w:r>
    </w:p>
    <w:p w14:paraId="3AA156A2" w14:textId="77777777" w:rsidR="00581F1E" w:rsidRPr="007218D2" w:rsidRDefault="00394781" w:rsidP="0081776B">
      <w:pPr>
        <w:ind w:left="709" w:firstLine="731"/>
        <w:jc w:val="both"/>
        <w:rPr>
          <w:color w:val="000000" w:themeColor="text1"/>
        </w:rPr>
      </w:pPr>
      <w:r w:rsidRPr="007218D2">
        <w:rPr>
          <w:color w:val="000000" w:themeColor="text1"/>
        </w:rPr>
        <w:t>Dalam penerapan hukum, terdapat h</w:t>
      </w:r>
      <w:r w:rsidR="00B622C1" w:rsidRPr="007218D2">
        <w:rPr>
          <w:color w:val="000000" w:themeColor="text1"/>
        </w:rPr>
        <w:t xml:space="preserve">ukum materiil </w:t>
      </w:r>
      <w:r w:rsidRPr="007218D2">
        <w:rPr>
          <w:color w:val="000000" w:themeColor="text1"/>
        </w:rPr>
        <w:t xml:space="preserve">dan hukum formil. Hukum materiil </w:t>
      </w:r>
      <w:r w:rsidR="00444274" w:rsidRPr="007218D2">
        <w:rPr>
          <w:color w:val="000000" w:themeColor="text1"/>
        </w:rPr>
        <w:t>merupakan hukum yang berupa</w:t>
      </w:r>
      <w:r w:rsidRPr="007218D2">
        <w:rPr>
          <w:color w:val="000000" w:themeColor="text1"/>
        </w:rPr>
        <w:t xml:space="preserve"> peraturan </w:t>
      </w:r>
      <w:r w:rsidR="00B622C1" w:rsidRPr="007218D2">
        <w:rPr>
          <w:color w:val="000000" w:themeColor="text1"/>
        </w:rPr>
        <w:t xml:space="preserve">tertulis </w:t>
      </w:r>
      <w:r w:rsidR="00444274" w:rsidRPr="007218D2">
        <w:rPr>
          <w:color w:val="000000" w:themeColor="text1"/>
        </w:rPr>
        <w:t xml:space="preserve">seperti </w:t>
      </w:r>
      <w:r w:rsidR="00B622C1" w:rsidRPr="007218D2">
        <w:rPr>
          <w:color w:val="000000" w:themeColor="text1"/>
        </w:rPr>
        <w:t>dalam undang-undang atau</w:t>
      </w:r>
      <w:r w:rsidR="00444274" w:rsidRPr="007218D2">
        <w:rPr>
          <w:color w:val="000000" w:themeColor="text1"/>
        </w:rPr>
        <w:t xml:space="preserve"> yang tidak tertulis. H</w:t>
      </w:r>
      <w:r w:rsidRPr="007218D2">
        <w:rPr>
          <w:color w:val="000000" w:themeColor="text1"/>
        </w:rPr>
        <w:t xml:space="preserve">al tersebut </w:t>
      </w:r>
      <w:r w:rsidR="00B622C1" w:rsidRPr="007218D2">
        <w:rPr>
          <w:color w:val="000000" w:themeColor="text1"/>
        </w:rPr>
        <w:t>merupakan pedoman bagi masyarakat terhadap bagaimana orang selayaknya berbuat atau tidak berbuat</w:t>
      </w:r>
      <w:r w:rsidR="00480688" w:rsidRPr="007218D2">
        <w:rPr>
          <w:color w:val="000000" w:themeColor="text1"/>
        </w:rPr>
        <w:t>.</w:t>
      </w:r>
      <w:r w:rsidR="00650C29" w:rsidRPr="007218D2">
        <w:rPr>
          <w:color w:val="000000" w:themeColor="text1"/>
        </w:rPr>
        <w:t xml:space="preserve"> Untuk melaksanakan hukum materiil</w:t>
      </w:r>
      <w:r w:rsidR="00444274" w:rsidRPr="007218D2">
        <w:rPr>
          <w:color w:val="000000" w:themeColor="text1"/>
        </w:rPr>
        <w:t xml:space="preserve"> tersebut</w:t>
      </w:r>
      <w:r w:rsidR="00650C29" w:rsidRPr="007218D2">
        <w:rPr>
          <w:color w:val="000000" w:themeColor="text1"/>
        </w:rPr>
        <w:t>, maka dalam hal terdapat tuntutan hak</w:t>
      </w:r>
      <w:r w:rsidRPr="007218D2">
        <w:rPr>
          <w:color w:val="000000" w:themeColor="text1"/>
        </w:rPr>
        <w:t xml:space="preserve">, </w:t>
      </w:r>
      <w:r w:rsidR="00650C29" w:rsidRPr="007218D2">
        <w:rPr>
          <w:color w:val="000000" w:themeColor="text1"/>
        </w:rPr>
        <w:t>diperlukan rangkaian peraturan hukum lain yaitu hukum formil atau hukum acara</w:t>
      </w:r>
      <w:r w:rsidR="0077604A" w:rsidRPr="007218D2">
        <w:rPr>
          <w:color w:val="000000" w:themeColor="text1"/>
        </w:rPr>
        <w:t xml:space="preserve"> perdata</w:t>
      </w:r>
      <w:r w:rsidR="00650C29" w:rsidRPr="007218D2">
        <w:rPr>
          <w:color w:val="000000" w:themeColor="text1"/>
        </w:rPr>
        <w:t>.</w:t>
      </w:r>
      <w:r w:rsidR="00650C29" w:rsidRPr="007218D2">
        <w:rPr>
          <w:rStyle w:val="FootnoteReference"/>
          <w:color w:val="000000" w:themeColor="text1"/>
        </w:rPr>
        <w:footnoteReference w:id="1"/>
      </w:r>
    </w:p>
    <w:p w14:paraId="649BE6C7" w14:textId="77777777" w:rsidR="00F5722C" w:rsidRPr="007218D2" w:rsidRDefault="00444274" w:rsidP="0081776B">
      <w:pPr>
        <w:ind w:left="709" w:firstLine="731"/>
        <w:jc w:val="both"/>
        <w:rPr>
          <w:color w:val="000000" w:themeColor="text1"/>
        </w:rPr>
      </w:pPr>
      <w:r w:rsidRPr="007218D2">
        <w:rPr>
          <w:color w:val="000000" w:themeColor="text1"/>
        </w:rPr>
        <w:t xml:space="preserve">Apabila terjadi sengketa lingkungan hidup, maka penyelesaiannya dapat dilakukan melalui hukum acara atau melalui pengadilan yang dimulai dengan adanya gugatan dari pihak yang merasa dirugikan terhadap pihak lainnya yang dianggap sebagai penyebab timbulnya suatu kerugian. </w:t>
      </w:r>
      <w:r w:rsidR="00EE07DB" w:rsidRPr="007218D2">
        <w:rPr>
          <w:color w:val="000000" w:themeColor="text1"/>
        </w:rPr>
        <w:t xml:space="preserve">Di Indonesia, hak gugat dapat diberikan kepada perorangan, organisasi lingkungan, </w:t>
      </w:r>
      <w:r w:rsidR="00777A5F" w:rsidRPr="007218D2">
        <w:rPr>
          <w:color w:val="000000" w:themeColor="text1"/>
        </w:rPr>
        <w:t xml:space="preserve">pemerintah, masyarakat </w:t>
      </w:r>
      <w:r w:rsidR="00EE07DB" w:rsidRPr="007218D2">
        <w:rPr>
          <w:color w:val="000000" w:themeColor="text1"/>
        </w:rPr>
        <w:t>melalui gugatan perwakilan (</w:t>
      </w:r>
      <w:r w:rsidR="00EE07DB" w:rsidRPr="007218D2">
        <w:rPr>
          <w:i/>
          <w:color w:val="000000" w:themeColor="text1"/>
        </w:rPr>
        <w:t>class action</w:t>
      </w:r>
      <w:r w:rsidR="00EE07DB" w:rsidRPr="007218D2">
        <w:rPr>
          <w:color w:val="000000" w:themeColor="text1"/>
        </w:rPr>
        <w:t xml:space="preserve">), </w:t>
      </w:r>
      <w:r w:rsidR="00777A5F" w:rsidRPr="007218D2">
        <w:rPr>
          <w:color w:val="000000" w:themeColor="text1"/>
        </w:rPr>
        <w:t xml:space="preserve">dan </w:t>
      </w:r>
      <w:r w:rsidR="00EE07DB" w:rsidRPr="007218D2">
        <w:rPr>
          <w:color w:val="000000" w:themeColor="text1"/>
        </w:rPr>
        <w:t>warga negara (</w:t>
      </w:r>
      <w:r w:rsidR="00EE07DB" w:rsidRPr="007218D2">
        <w:rPr>
          <w:i/>
          <w:color w:val="000000" w:themeColor="text1"/>
        </w:rPr>
        <w:t>citizen lawsuit</w:t>
      </w:r>
      <w:r w:rsidR="00EE07DB" w:rsidRPr="007218D2">
        <w:rPr>
          <w:color w:val="000000" w:themeColor="text1"/>
        </w:rPr>
        <w:t>).</w:t>
      </w:r>
      <w:r w:rsidR="00EE07DB" w:rsidRPr="007218D2">
        <w:rPr>
          <w:rStyle w:val="FootnoteReference"/>
          <w:color w:val="000000" w:themeColor="text1"/>
        </w:rPr>
        <w:footnoteReference w:id="2"/>
      </w:r>
      <w:r w:rsidR="00925D08" w:rsidRPr="007218D2">
        <w:rPr>
          <w:color w:val="000000" w:themeColor="text1"/>
        </w:rPr>
        <w:t xml:space="preserve"> </w:t>
      </w:r>
      <w:r w:rsidRPr="007218D2">
        <w:rPr>
          <w:color w:val="000000" w:themeColor="text1"/>
        </w:rPr>
        <w:t>Dasar Penggugat untuk mengajukan gugatannya adalah karena adanya Perbuatan Melawan Hukum yang dilakuk</w:t>
      </w:r>
      <w:r w:rsidR="00336F5D" w:rsidRPr="007218D2">
        <w:rPr>
          <w:color w:val="000000" w:themeColor="text1"/>
        </w:rPr>
        <w:t>an oleh Tergugat hingga menimbul</w:t>
      </w:r>
      <w:r w:rsidRPr="007218D2">
        <w:rPr>
          <w:color w:val="000000" w:themeColor="text1"/>
        </w:rPr>
        <w:t>kan kerugian pada Penggugat.</w:t>
      </w:r>
      <w:r w:rsidR="00336F5D" w:rsidRPr="007218D2">
        <w:rPr>
          <w:rStyle w:val="FootnoteReference"/>
          <w:color w:val="000000" w:themeColor="text1"/>
        </w:rPr>
        <w:footnoteReference w:id="3"/>
      </w:r>
    </w:p>
    <w:p w14:paraId="77FE0495" w14:textId="77777777" w:rsidR="00F5722C" w:rsidRPr="007218D2" w:rsidRDefault="00BC5726" w:rsidP="0081776B">
      <w:pPr>
        <w:ind w:left="709" w:firstLine="731"/>
        <w:jc w:val="both"/>
        <w:rPr>
          <w:color w:val="000000" w:themeColor="text1"/>
        </w:rPr>
      </w:pPr>
      <w:r w:rsidRPr="007218D2">
        <w:rPr>
          <w:color w:val="000000" w:themeColor="text1"/>
        </w:rPr>
        <w:t xml:space="preserve">Dalam bagian ini, akan dijelaskan secara singkat mengenai hak gugat yang dijelaskan oleh Andri G. Wibisana. </w:t>
      </w:r>
      <w:r w:rsidRPr="007218D2">
        <w:rPr>
          <w:i/>
          <w:color w:val="000000" w:themeColor="text1"/>
        </w:rPr>
        <w:t>Pertama</w:t>
      </w:r>
      <w:r w:rsidRPr="007218D2">
        <w:rPr>
          <w:color w:val="000000" w:themeColor="text1"/>
        </w:rPr>
        <w:t>, hak gugat perorangan yaitu gugatan yang diajukan karena adanya ke</w:t>
      </w:r>
      <w:r w:rsidR="00777A5F" w:rsidRPr="007218D2">
        <w:rPr>
          <w:color w:val="000000" w:themeColor="text1"/>
        </w:rPr>
        <w:t>pentingan dari pihak Penggugat, dimana g</w:t>
      </w:r>
      <w:r w:rsidRPr="007218D2">
        <w:rPr>
          <w:color w:val="000000" w:themeColor="text1"/>
        </w:rPr>
        <w:t>ugatan</w:t>
      </w:r>
      <w:r w:rsidR="00777A5F" w:rsidRPr="007218D2">
        <w:rPr>
          <w:color w:val="000000" w:themeColor="text1"/>
        </w:rPr>
        <w:t>nya</w:t>
      </w:r>
      <w:r w:rsidRPr="007218D2">
        <w:rPr>
          <w:color w:val="000000" w:themeColor="text1"/>
        </w:rPr>
        <w:t xml:space="preserve"> </w:t>
      </w:r>
      <w:r w:rsidR="00777A5F" w:rsidRPr="007218D2">
        <w:rPr>
          <w:color w:val="000000" w:themeColor="text1"/>
        </w:rPr>
        <w:t xml:space="preserve">tersebut dapat </w:t>
      </w:r>
      <w:r w:rsidRPr="007218D2">
        <w:rPr>
          <w:color w:val="000000" w:themeColor="text1"/>
        </w:rPr>
        <w:t>ditujukan pada semua pihak baik pencemar maupun pem</w:t>
      </w:r>
      <w:r w:rsidR="00777A5F" w:rsidRPr="007218D2">
        <w:rPr>
          <w:color w:val="000000" w:themeColor="text1"/>
        </w:rPr>
        <w:t>erintah dan</w:t>
      </w:r>
      <w:r w:rsidRPr="007218D2">
        <w:rPr>
          <w:color w:val="000000" w:themeColor="text1"/>
        </w:rPr>
        <w:t xml:space="preserve"> Penggugat dapat meminta ganti rugi atau permohonan </w:t>
      </w:r>
      <w:r w:rsidR="00777A5F" w:rsidRPr="007218D2">
        <w:rPr>
          <w:color w:val="000000" w:themeColor="text1"/>
        </w:rPr>
        <w:t xml:space="preserve">untuk </w:t>
      </w:r>
      <w:r w:rsidRPr="007218D2">
        <w:rPr>
          <w:color w:val="000000" w:themeColor="text1"/>
        </w:rPr>
        <w:t xml:space="preserve">dilakukannya atau dihentikannya </w:t>
      </w:r>
      <w:r w:rsidR="00777A5F" w:rsidRPr="007218D2">
        <w:rPr>
          <w:color w:val="000000" w:themeColor="text1"/>
        </w:rPr>
        <w:t xml:space="preserve">suatu </w:t>
      </w:r>
      <w:r w:rsidRPr="007218D2">
        <w:rPr>
          <w:color w:val="000000" w:themeColor="text1"/>
        </w:rPr>
        <w:t xml:space="preserve">perbuatan tertentu. </w:t>
      </w:r>
      <w:r w:rsidRPr="007218D2">
        <w:rPr>
          <w:i/>
          <w:color w:val="000000" w:themeColor="text1"/>
        </w:rPr>
        <w:t>Kedua</w:t>
      </w:r>
      <w:r w:rsidRPr="007218D2">
        <w:rPr>
          <w:color w:val="000000" w:themeColor="text1"/>
        </w:rPr>
        <w:t>, hak gugat dari organisasi lingkungan. Dalam hal ini, organisasi lingkungan tidak dapat meminta ganti rugi dan hanya dapat meminta agar Tergugat melalukan suatu tindakan tertentu atau tidak melakukan tindakan tertentu.</w:t>
      </w:r>
      <w:r w:rsidR="00777A5F" w:rsidRPr="007218D2">
        <w:rPr>
          <w:color w:val="000000" w:themeColor="text1"/>
        </w:rPr>
        <w:t xml:space="preserve"> </w:t>
      </w:r>
      <w:r w:rsidR="00777A5F" w:rsidRPr="007218D2">
        <w:rPr>
          <w:i/>
          <w:color w:val="000000" w:themeColor="text1"/>
        </w:rPr>
        <w:t xml:space="preserve">Ketiga, </w:t>
      </w:r>
      <w:r w:rsidR="00777A5F" w:rsidRPr="007218D2">
        <w:rPr>
          <w:color w:val="000000" w:themeColor="text1"/>
        </w:rPr>
        <w:t>hak gugat pemerintah dalam hal ini Kementerian Lingkungan Hidup atau Dinas Lingkungan yang gugatannya dapat meminta ganti rugi atau meminta untuk dilakukannya atau dihentikannya suatu perbuatan tertentu.</w:t>
      </w:r>
      <w:r w:rsidR="00777A5F" w:rsidRPr="007218D2">
        <w:rPr>
          <w:rStyle w:val="FootnoteReference"/>
          <w:color w:val="000000" w:themeColor="text1"/>
        </w:rPr>
        <w:footnoteReference w:id="4"/>
      </w:r>
    </w:p>
    <w:p w14:paraId="053EDFAF" w14:textId="77777777" w:rsidR="00F5722C" w:rsidRPr="007218D2" w:rsidRDefault="00777A5F" w:rsidP="0081776B">
      <w:pPr>
        <w:ind w:left="709" w:firstLine="731"/>
        <w:jc w:val="both"/>
        <w:rPr>
          <w:color w:val="000000" w:themeColor="text1"/>
        </w:rPr>
      </w:pPr>
      <w:r w:rsidRPr="007218D2">
        <w:rPr>
          <w:i/>
          <w:color w:val="000000" w:themeColor="text1"/>
        </w:rPr>
        <w:t xml:space="preserve">Keempat, </w:t>
      </w:r>
      <w:r w:rsidRPr="007218D2">
        <w:rPr>
          <w:color w:val="000000" w:themeColor="text1"/>
        </w:rPr>
        <w:t>hak gugat masyarakat melalui gugatan perwakilan (</w:t>
      </w:r>
      <w:r w:rsidRPr="007218D2">
        <w:rPr>
          <w:i/>
          <w:color w:val="000000" w:themeColor="text1"/>
        </w:rPr>
        <w:t>class action</w:t>
      </w:r>
      <w:r w:rsidRPr="007218D2">
        <w:rPr>
          <w:color w:val="000000" w:themeColor="text1"/>
        </w:rPr>
        <w:t>)</w:t>
      </w:r>
      <w:r w:rsidR="006D603A" w:rsidRPr="007218D2">
        <w:rPr>
          <w:color w:val="000000" w:themeColor="text1"/>
        </w:rPr>
        <w:t>. Pasal 91 Undang-undang Nomor 32 Tahun 2009 tentang Perlindugan dan Pengelolaan Lingkungan Hidup (“</w:t>
      </w:r>
      <w:r w:rsidR="006D603A" w:rsidRPr="007218D2">
        <w:rPr>
          <w:b/>
          <w:color w:val="000000" w:themeColor="text1"/>
        </w:rPr>
        <w:t>UUPPLH</w:t>
      </w:r>
      <w:r w:rsidR="006D603A" w:rsidRPr="007218D2">
        <w:rPr>
          <w:color w:val="000000" w:themeColor="text1"/>
        </w:rPr>
        <w:t>”) menjelaskan bah</w:t>
      </w:r>
      <w:r w:rsidR="00042E69" w:rsidRPr="007218D2">
        <w:rPr>
          <w:color w:val="000000" w:themeColor="text1"/>
        </w:rPr>
        <w:t>w</w:t>
      </w:r>
      <w:r w:rsidR="006D603A" w:rsidRPr="007218D2">
        <w:rPr>
          <w:color w:val="000000" w:themeColor="text1"/>
        </w:rPr>
        <w:t>a “masyarakat berhak mengajukan gugatan perwakilan kelompok untuk kepentingan dirinya sendiri dan/atau untuk kepentingan masyarakat apabila mengalami kerugian akibat pencemaran dan atau kerusakan lingkungan hidup.”</w:t>
      </w:r>
      <w:r w:rsidR="006D603A" w:rsidRPr="007218D2">
        <w:rPr>
          <w:rStyle w:val="FootnoteReference"/>
          <w:color w:val="000000" w:themeColor="text1"/>
        </w:rPr>
        <w:footnoteReference w:id="5"/>
      </w:r>
      <w:r w:rsidR="006D603A" w:rsidRPr="007218D2">
        <w:rPr>
          <w:color w:val="000000" w:themeColor="text1"/>
        </w:rPr>
        <w:t xml:space="preserve"> Dalam </w:t>
      </w:r>
      <w:r w:rsidR="007D1807" w:rsidRPr="007218D2">
        <w:rPr>
          <w:color w:val="000000" w:themeColor="text1"/>
        </w:rPr>
        <w:t>gugatan perwakilan (</w:t>
      </w:r>
      <w:r w:rsidR="007D1807" w:rsidRPr="007218D2">
        <w:rPr>
          <w:i/>
          <w:color w:val="000000" w:themeColor="text1"/>
        </w:rPr>
        <w:t>class action</w:t>
      </w:r>
      <w:r w:rsidR="007D1807" w:rsidRPr="007218D2">
        <w:rPr>
          <w:color w:val="000000" w:themeColor="text1"/>
        </w:rPr>
        <w:t>)</w:t>
      </w:r>
      <w:r w:rsidR="006D603A" w:rsidRPr="007218D2">
        <w:rPr>
          <w:color w:val="000000" w:themeColor="text1"/>
        </w:rPr>
        <w:t xml:space="preserve">, Penggugat </w:t>
      </w:r>
      <w:r w:rsidR="007D1807" w:rsidRPr="007218D2">
        <w:rPr>
          <w:color w:val="000000" w:themeColor="text1"/>
        </w:rPr>
        <w:t>merupakan</w:t>
      </w:r>
      <w:r w:rsidR="006D603A" w:rsidRPr="007218D2">
        <w:rPr>
          <w:color w:val="000000" w:themeColor="text1"/>
        </w:rPr>
        <w:t xml:space="preserve"> korban yang </w:t>
      </w:r>
      <w:r w:rsidR="00D04722" w:rsidRPr="007218D2">
        <w:rPr>
          <w:color w:val="000000" w:themeColor="text1"/>
        </w:rPr>
        <w:t xml:space="preserve">jumlahnya banyak </w:t>
      </w:r>
      <w:r w:rsidR="007D1807" w:rsidRPr="007218D2">
        <w:rPr>
          <w:color w:val="000000" w:themeColor="text1"/>
        </w:rPr>
        <w:t>namun harus memenuhi</w:t>
      </w:r>
      <w:r w:rsidR="00D04722" w:rsidRPr="007218D2">
        <w:rPr>
          <w:color w:val="000000" w:themeColor="text1"/>
        </w:rPr>
        <w:t xml:space="preserve"> syarat yaitu </w:t>
      </w:r>
      <w:r w:rsidR="006D603A" w:rsidRPr="007218D2">
        <w:rPr>
          <w:color w:val="000000" w:themeColor="text1"/>
        </w:rPr>
        <w:t>memiliki kesamaan peristiwa</w:t>
      </w:r>
      <w:r w:rsidR="007D1807" w:rsidRPr="007218D2">
        <w:rPr>
          <w:color w:val="000000" w:themeColor="text1"/>
        </w:rPr>
        <w:t xml:space="preserve"> atau fakta</w:t>
      </w:r>
      <w:r w:rsidR="006D603A" w:rsidRPr="007218D2">
        <w:rPr>
          <w:color w:val="000000" w:themeColor="text1"/>
        </w:rPr>
        <w:t xml:space="preserve">, dasar hukum, </w:t>
      </w:r>
      <w:r w:rsidR="007D1807" w:rsidRPr="007218D2">
        <w:rPr>
          <w:color w:val="000000" w:themeColor="text1"/>
        </w:rPr>
        <w:t>dan</w:t>
      </w:r>
      <w:r w:rsidR="006D603A" w:rsidRPr="007218D2">
        <w:rPr>
          <w:color w:val="000000" w:themeColor="text1"/>
        </w:rPr>
        <w:t xml:space="preserve"> tuntutan.</w:t>
      </w:r>
      <w:r w:rsidR="005A7459" w:rsidRPr="007218D2">
        <w:rPr>
          <w:rStyle w:val="FootnoteReference"/>
          <w:color w:val="000000" w:themeColor="text1"/>
        </w:rPr>
        <w:footnoteReference w:id="6"/>
      </w:r>
      <w:r w:rsidR="006D603A" w:rsidRPr="007218D2">
        <w:rPr>
          <w:color w:val="000000" w:themeColor="text1"/>
        </w:rPr>
        <w:t xml:space="preserve"> Selain diatur dalam UUPPLH, gugatan </w:t>
      </w:r>
      <w:r w:rsidR="006D603A" w:rsidRPr="007218D2">
        <w:rPr>
          <w:i/>
          <w:color w:val="000000" w:themeColor="text1"/>
        </w:rPr>
        <w:t>class action</w:t>
      </w:r>
      <w:r w:rsidR="006D603A" w:rsidRPr="007218D2">
        <w:rPr>
          <w:color w:val="000000" w:themeColor="text1"/>
        </w:rPr>
        <w:t xml:space="preserve"> juga telah diatur dalam Peraturan Mahkamah Agung Nomor 1 Tahun 2002 tentang Acara Gugatan Perwakilan Kelompok</w:t>
      </w:r>
      <w:r w:rsidR="00042E69" w:rsidRPr="007218D2">
        <w:rPr>
          <w:color w:val="000000" w:themeColor="text1"/>
        </w:rPr>
        <w:t xml:space="preserve"> (“</w:t>
      </w:r>
      <w:r w:rsidR="00042E69" w:rsidRPr="007218D2">
        <w:rPr>
          <w:b/>
          <w:color w:val="000000" w:themeColor="text1"/>
        </w:rPr>
        <w:t xml:space="preserve">Perma </w:t>
      </w:r>
      <w:r w:rsidR="00042E69" w:rsidRPr="007218D2">
        <w:rPr>
          <w:b/>
          <w:color w:val="000000" w:themeColor="text1"/>
        </w:rPr>
        <w:lastRenderedPageBreak/>
        <w:t>No. 1/2002</w:t>
      </w:r>
      <w:r w:rsidR="00042E69" w:rsidRPr="007218D2">
        <w:rPr>
          <w:color w:val="000000" w:themeColor="text1"/>
        </w:rPr>
        <w:t xml:space="preserve">”). Perma tersebut mengatur mengena syarat formil dari sebuah gugatan </w:t>
      </w:r>
      <w:r w:rsidR="00042E69" w:rsidRPr="007218D2">
        <w:rPr>
          <w:i/>
          <w:color w:val="000000" w:themeColor="text1"/>
        </w:rPr>
        <w:t>class action</w:t>
      </w:r>
      <w:r w:rsidR="00042E69" w:rsidRPr="007218D2">
        <w:rPr>
          <w:color w:val="000000" w:themeColor="text1"/>
        </w:rPr>
        <w:t xml:space="preserve"> dan tata cara pengajuan gugatan secara bersama-sama oleh sekelompok masyarakat yang merasa dirugikan. Selain menggugat hak-hak pribadi dari korban itu sendri, namun juga bertindak untuk mewakili hak-hak korban lainnya.</w:t>
      </w:r>
    </w:p>
    <w:p w14:paraId="68257634" w14:textId="31269E7C" w:rsidR="00F5722C" w:rsidRPr="007218D2" w:rsidRDefault="00F8149D" w:rsidP="0081776B">
      <w:pPr>
        <w:ind w:left="709" w:firstLine="731"/>
        <w:jc w:val="both"/>
        <w:rPr>
          <w:color w:val="000000" w:themeColor="text1"/>
        </w:rPr>
      </w:pPr>
      <w:r w:rsidRPr="007218D2">
        <w:rPr>
          <w:i/>
          <w:color w:val="000000" w:themeColor="text1"/>
        </w:rPr>
        <w:t>Kelima</w:t>
      </w:r>
      <w:r w:rsidR="00BA2F09" w:rsidRPr="007218D2">
        <w:rPr>
          <w:color w:val="000000" w:themeColor="text1"/>
        </w:rPr>
        <w:t>, hak gugat warga negara. D</w:t>
      </w:r>
      <w:r w:rsidR="008C4A8E" w:rsidRPr="007218D2">
        <w:rPr>
          <w:color w:val="000000" w:themeColor="text1"/>
        </w:rPr>
        <w:t xml:space="preserve">alam sistem </w:t>
      </w:r>
      <w:r w:rsidR="00BF2B91" w:rsidRPr="007218D2">
        <w:rPr>
          <w:i/>
          <w:color w:val="000000" w:themeColor="text1"/>
        </w:rPr>
        <w:t>common law</w:t>
      </w:r>
      <w:r w:rsidR="00BA2F09" w:rsidRPr="007218D2">
        <w:rPr>
          <w:color w:val="000000" w:themeColor="text1"/>
        </w:rPr>
        <w:t>, hak gugat warga negara</w:t>
      </w:r>
      <w:r w:rsidR="00BF2B91" w:rsidRPr="007218D2">
        <w:rPr>
          <w:color w:val="000000" w:themeColor="text1"/>
        </w:rPr>
        <w:t xml:space="preserve"> dikenal dengan istilah</w:t>
      </w:r>
      <w:r w:rsidRPr="007218D2">
        <w:rPr>
          <w:color w:val="000000" w:themeColor="text1"/>
        </w:rPr>
        <w:t xml:space="preserve"> </w:t>
      </w:r>
      <w:r w:rsidRPr="007218D2">
        <w:rPr>
          <w:i/>
          <w:color w:val="000000" w:themeColor="text1"/>
        </w:rPr>
        <w:t>citizen lawsuit</w:t>
      </w:r>
      <w:r w:rsidR="00BA2F09" w:rsidRPr="007218D2">
        <w:rPr>
          <w:color w:val="000000" w:themeColor="text1"/>
        </w:rPr>
        <w:t>, sedangkan</w:t>
      </w:r>
      <w:r w:rsidRPr="007218D2">
        <w:rPr>
          <w:color w:val="000000" w:themeColor="text1"/>
        </w:rPr>
        <w:t xml:space="preserve"> </w:t>
      </w:r>
      <w:r w:rsidR="00BF2B91" w:rsidRPr="007218D2">
        <w:rPr>
          <w:color w:val="000000" w:themeColor="text1"/>
        </w:rPr>
        <w:t xml:space="preserve">dalam sistem </w:t>
      </w:r>
      <w:r w:rsidR="00BF2B91" w:rsidRPr="007218D2">
        <w:rPr>
          <w:i/>
          <w:color w:val="000000" w:themeColor="text1"/>
        </w:rPr>
        <w:t>civil law</w:t>
      </w:r>
      <w:r w:rsidR="00BA2F09" w:rsidRPr="007218D2">
        <w:rPr>
          <w:color w:val="000000" w:themeColor="text1"/>
        </w:rPr>
        <w:t>, hak gugat warga negara</w:t>
      </w:r>
      <w:r w:rsidR="00BF2B91" w:rsidRPr="007218D2">
        <w:rPr>
          <w:i/>
          <w:color w:val="000000" w:themeColor="text1"/>
        </w:rPr>
        <w:t xml:space="preserve"> </w:t>
      </w:r>
      <w:r w:rsidRPr="007218D2">
        <w:rPr>
          <w:color w:val="000000" w:themeColor="text1"/>
        </w:rPr>
        <w:t xml:space="preserve">dikenal dengan istilah </w:t>
      </w:r>
      <w:r w:rsidRPr="007218D2">
        <w:rPr>
          <w:i/>
          <w:color w:val="000000" w:themeColor="text1"/>
        </w:rPr>
        <w:t>action popularis</w:t>
      </w:r>
      <w:r w:rsidR="00BF2B91" w:rsidRPr="007218D2">
        <w:rPr>
          <w:color w:val="000000" w:themeColor="text1"/>
        </w:rPr>
        <w:t xml:space="preserve">. Dalam tulisan ini, penulis akan menggunakan istilah </w:t>
      </w:r>
      <w:r w:rsidR="00BF2B91" w:rsidRPr="007218D2">
        <w:rPr>
          <w:i/>
          <w:color w:val="000000" w:themeColor="text1"/>
        </w:rPr>
        <w:t>citizen lawsuit</w:t>
      </w:r>
      <w:r w:rsidR="00BF2B91" w:rsidRPr="007218D2">
        <w:rPr>
          <w:color w:val="000000" w:themeColor="text1"/>
        </w:rPr>
        <w:t xml:space="preserve">. </w:t>
      </w:r>
      <w:r w:rsidR="008D0C4C" w:rsidRPr="007218D2">
        <w:rPr>
          <w:color w:val="000000" w:themeColor="text1"/>
        </w:rPr>
        <w:t xml:space="preserve">Menurut Yahya Harahap, </w:t>
      </w:r>
      <w:r w:rsidR="008D0C4C" w:rsidRPr="007218D2">
        <w:rPr>
          <w:i/>
          <w:color w:val="000000" w:themeColor="text1"/>
        </w:rPr>
        <w:t>c</w:t>
      </w:r>
      <w:r w:rsidR="00BF2B91" w:rsidRPr="007218D2">
        <w:rPr>
          <w:i/>
          <w:color w:val="000000" w:themeColor="text1"/>
        </w:rPr>
        <w:t xml:space="preserve">itizen lawsuit </w:t>
      </w:r>
      <w:r w:rsidR="00BF2B91" w:rsidRPr="007218D2">
        <w:rPr>
          <w:color w:val="000000" w:themeColor="text1"/>
        </w:rPr>
        <w:t>merupakan</w:t>
      </w:r>
      <w:r w:rsidR="008D0C4C" w:rsidRPr="007218D2">
        <w:rPr>
          <w:color w:val="000000" w:themeColor="text1"/>
        </w:rPr>
        <w:t xml:space="preserve"> gugatan yang diajukan oleh warga negara</w:t>
      </w:r>
      <w:r w:rsidR="00C26A88" w:rsidRPr="007218D2">
        <w:rPr>
          <w:color w:val="000000" w:themeColor="text1"/>
        </w:rPr>
        <w:t xml:space="preserve"> dan hak untuk mengajukan gugatan tersebut diberikan kepada setiap warga negara dan atas nama warga negara terhadap pertanggungjawaban penyelenggaran negara yang menimbulkan kelalaian sehingga menyebabkan kerugian.</w:t>
      </w:r>
      <w:r w:rsidR="006305F1" w:rsidRPr="007218D2">
        <w:rPr>
          <w:color w:val="000000" w:themeColor="text1"/>
        </w:rPr>
        <w:t xml:space="preserve"> </w:t>
      </w:r>
      <w:r w:rsidR="009E01C7" w:rsidRPr="007218D2">
        <w:rPr>
          <w:color w:val="000000" w:themeColor="text1"/>
        </w:rPr>
        <w:t>Kelalaian tersebut merupakan Perbuatan M</w:t>
      </w:r>
      <w:r w:rsidR="006305F1" w:rsidRPr="007218D2">
        <w:rPr>
          <w:color w:val="000000" w:themeColor="text1"/>
        </w:rPr>
        <w:t>elawa</w:t>
      </w:r>
      <w:r w:rsidR="001A1A86" w:rsidRPr="007218D2">
        <w:rPr>
          <w:color w:val="000000" w:themeColor="text1"/>
        </w:rPr>
        <w:t>n</w:t>
      </w:r>
      <w:r w:rsidR="009E01C7" w:rsidRPr="007218D2">
        <w:rPr>
          <w:color w:val="000000" w:themeColor="text1"/>
        </w:rPr>
        <w:t xml:space="preserve"> H</w:t>
      </w:r>
      <w:r w:rsidR="006305F1" w:rsidRPr="007218D2">
        <w:rPr>
          <w:color w:val="000000" w:themeColor="text1"/>
        </w:rPr>
        <w:t>ukum (</w:t>
      </w:r>
      <w:r w:rsidR="006305F1" w:rsidRPr="007218D2">
        <w:rPr>
          <w:i/>
          <w:color w:val="000000" w:themeColor="text1"/>
        </w:rPr>
        <w:t>onrechtmatige overhead daad)</w:t>
      </w:r>
      <w:r w:rsidR="001A1A86" w:rsidRPr="007218D2">
        <w:rPr>
          <w:color w:val="000000" w:themeColor="text1"/>
        </w:rPr>
        <w:t>, dimana negara diperintahkan untuk melakukan perbaikan atas kinerjanya dan mengeluarkan suatu kebijakan yang mengatur umum (</w:t>
      </w:r>
      <w:r w:rsidR="001A1A86" w:rsidRPr="007218D2">
        <w:rPr>
          <w:i/>
          <w:color w:val="000000" w:themeColor="text1"/>
        </w:rPr>
        <w:t>regeling</w:t>
      </w:r>
      <w:r w:rsidR="001A1A86" w:rsidRPr="007218D2">
        <w:rPr>
          <w:color w:val="000000" w:themeColor="text1"/>
        </w:rPr>
        <w:t>) agar kelalaian yang sebelunya terjadi tidak terula</w:t>
      </w:r>
      <w:r w:rsidR="00EB5046" w:rsidRPr="007218D2">
        <w:rPr>
          <w:color w:val="000000" w:themeColor="text1"/>
        </w:rPr>
        <w:t>n</w:t>
      </w:r>
      <w:r w:rsidR="001A1A86" w:rsidRPr="007218D2">
        <w:rPr>
          <w:color w:val="000000" w:themeColor="text1"/>
        </w:rPr>
        <w:t>g lagi dimasa yang akan datang.</w:t>
      </w:r>
      <w:r w:rsidR="001A1A86" w:rsidRPr="007218D2">
        <w:rPr>
          <w:rStyle w:val="FootnoteReference"/>
          <w:color w:val="000000" w:themeColor="text1"/>
        </w:rPr>
        <w:footnoteReference w:id="7"/>
      </w:r>
      <w:r w:rsidR="002474A5" w:rsidRPr="007218D2">
        <w:rPr>
          <w:color w:val="000000" w:themeColor="text1"/>
        </w:rPr>
        <w:t xml:space="preserve"> Menurut Gokkel</w:t>
      </w:r>
      <w:r w:rsidR="00A00001">
        <w:rPr>
          <w:color w:val="000000" w:themeColor="text1"/>
        </w:rPr>
        <w:t>,</w:t>
      </w:r>
      <w:r w:rsidR="002474A5" w:rsidRPr="007218D2">
        <w:rPr>
          <w:color w:val="000000" w:themeColor="text1"/>
        </w:rPr>
        <w:t xml:space="preserve"> </w:t>
      </w:r>
      <w:r w:rsidR="002474A5" w:rsidRPr="007218D2">
        <w:rPr>
          <w:i/>
          <w:color w:val="000000" w:themeColor="text1"/>
        </w:rPr>
        <w:t xml:space="preserve">citizen lawsuit </w:t>
      </w:r>
      <w:r w:rsidR="002474A5" w:rsidRPr="007218D2">
        <w:rPr>
          <w:color w:val="000000" w:themeColor="text1"/>
        </w:rPr>
        <w:t xml:space="preserve">diartikan sebagai suatu gugatan yang dapat diajukan oleh warga negara tanpa memandang bulu. Sedangkan menurut Mas Achmad Santosa, </w:t>
      </w:r>
      <w:r w:rsidR="002474A5" w:rsidRPr="007218D2">
        <w:rPr>
          <w:i/>
          <w:color w:val="000000" w:themeColor="text1"/>
        </w:rPr>
        <w:t>citizen lawsuit</w:t>
      </w:r>
      <w:r w:rsidR="00F5722C" w:rsidRPr="007218D2">
        <w:rPr>
          <w:color w:val="000000" w:themeColor="text1"/>
        </w:rPr>
        <w:t xml:space="preserve"> atau </w:t>
      </w:r>
      <w:r w:rsidR="002474A5" w:rsidRPr="007218D2">
        <w:rPr>
          <w:color w:val="000000" w:themeColor="text1"/>
        </w:rPr>
        <w:t xml:space="preserve">dapat disebut juga dengan istilah </w:t>
      </w:r>
      <w:r w:rsidR="002474A5" w:rsidRPr="007218D2">
        <w:rPr>
          <w:i/>
          <w:color w:val="000000" w:themeColor="text1"/>
        </w:rPr>
        <w:t>private standing</w:t>
      </w:r>
      <w:r w:rsidR="002474A5" w:rsidRPr="007218D2">
        <w:rPr>
          <w:color w:val="000000" w:themeColor="text1"/>
        </w:rPr>
        <w:t xml:space="preserve"> meruapakan hak bagi warga negara atau pun perorangan, dimana mereka dapat melakukan suatu tindakan karena telah mengalami kerugian atas hak kepentingan umum.</w:t>
      </w:r>
      <w:r w:rsidR="002474A5" w:rsidRPr="007218D2">
        <w:rPr>
          <w:rStyle w:val="FootnoteReference"/>
          <w:color w:val="000000" w:themeColor="text1"/>
        </w:rPr>
        <w:footnoteReference w:id="8"/>
      </w:r>
    </w:p>
    <w:p w14:paraId="2BB1D970" w14:textId="77777777" w:rsidR="00750E5D" w:rsidRPr="007218D2" w:rsidRDefault="00B81069" w:rsidP="0081776B">
      <w:pPr>
        <w:ind w:left="709" w:firstLine="731"/>
        <w:jc w:val="both"/>
        <w:rPr>
          <w:color w:val="000000" w:themeColor="text1"/>
        </w:rPr>
      </w:pPr>
      <w:r w:rsidRPr="007218D2">
        <w:rPr>
          <w:color w:val="000000" w:themeColor="text1"/>
        </w:rPr>
        <w:t xml:space="preserve">Dari kelima hak gugatan yang sudah dijelaskan di atas, tulisan ini akan menjelaskan lebih jauh mengenai </w:t>
      </w:r>
      <w:r w:rsidR="002D4147" w:rsidRPr="007218D2">
        <w:rPr>
          <w:color w:val="000000" w:themeColor="text1"/>
        </w:rPr>
        <w:t xml:space="preserve">mekanisme gugatan </w:t>
      </w:r>
      <w:r w:rsidRPr="007218D2">
        <w:rPr>
          <w:i/>
          <w:color w:val="000000" w:themeColor="text1"/>
        </w:rPr>
        <w:t>citizen lawsuit</w:t>
      </w:r>
      <w:r w:rsidR="00663416" w:rsidRPr="007218D2">
        <w:rPr>
          <w:color w:val="000000" w:themeColor="text1"/>
        </w:rPr>
        <w:t xml:space="preserve">. Gugatan ini sebenarnya tidak dikenal dalam sistem hukum </w:t>
      </w:r>
      <w:r w:rsidR="00663416" w:rsidRPr="007218D2">
        <w:rPr>
          <w:i/>
          <w:color w:val="000000" w:themeColor="text1"/>
        </w:rPr>
        <w:t>civil law</w:t>
      </w:r>
      <w:r w:rsidR="00D801C6" w:rsidRPr="007218D2">
        <w:rPr>
          <w:color w:val="000000" w:themeColor="text1"/>
        </w:rPr>
        <w:t xml:space="preserve">. Di Indonesia, gugatan </w:t>
      </w:r>
      <w:r w:rsidR="00D801C6" w:rsidRPr="007218D2">
        <w:rPr>
          <w:i/>
          <w:color w:val="000000" w:themeColor="text1"/>
        </w:rPr>
        <w:t>citizen lawsuit</w:t>
      </w:r>
      <w:r w:rsidR="00D801C6" w:rsidRPr="007218D2">
        <w:rPr>
          <w:color w:val="000000" w:themeColor="text1"/>
        </w:rPr>
        <w:t xml:space="preserve"> tidak diatur secara tegas dalam peraturan perundang-undangan. </w:t>
      </w:r>
      <w:r w:rsidR="00DF090F" w:rsidRPr="007218D2">
        <w:rPr>
          <w:i/>
          <w:color w:val="000000" w:themeColor="text1"/>
        </w:rPr>
        <w:t xml:space="preserve">Citizen lawsuit </w:t>
      </w:r>
      <w:r w:rsidR="00DF090F" w:rsidRPr="007218D2">
        <w:rPr>
          <w:color w:val="000000" w:themeColor="text1"/>
        </w:rPr>
        <w:t xml:space="preserve">terbentuk di negara-negara dengan sistem hukum </w:t>
      </w:r>
      <w:r w:rsidR="00DF090F" w:rsidRPr="007218D2">
        <w:rPr>
          <w:i/>
          <w:color w:val="000000" w:themeColor="text1"/>
        </w:rPr>
        <w:t>common law</w:t>
      </w:r>
      <w:r w:rsidR="00DF090F" w:rsidRPr="007218D2">
        <w:rPr>
          <w:color w:val="000000" w:themeColor="text1"/>
        </w:rPr>
        <w:t xml:space="preserve"> seperti di Amerika Serikat, Australia, dan India. Pada awalnya, </w:t>
      </w:r>
      <w:r w:rsidR="00DF090F" w:rsidRPr="007218D2">
        <w:rPr>
          <w:i/>
          <w:color w:val="000000" w:themeColor="text1"/>
        </w:rPr>
        <w:t xml:space="preserve">citizen lawsuit </w:t>
      </w:r>
      <w:r w:rsidR="00DF090F" w:rsidRPr="007218D2">
        <w:rPr>
          <w:color w:val="000000" w:themeColor="text1"/>
        </w:rPr>
        <w:t xml:space="preserve">diajukan terhadap permasalahan yang berkaitan dengan lingkungan hidup, namun seiring dengan perkembangannya, </w:t>
      </w:r>
      <w:r w:rsidR="00DF090F" w:rsidRPr="007218D2">
        <w:rPr>
          <w:i/>
          <w:color w:val="000000" w:themeColor="text1"/>
        </w:rPr>
        <w:t xml:space="preserve">citizen lawsuit </w:t>
      </w:r>
      <w:r w:rsidR="00DF090F" w:rsidRPr="007218D2">
        <w:rPr>
          <w:color w:val="000000" w:themeColor="text1"/>
        </w:rPr>
        <w:t>juga dapat diajukan pada permasalahan lainnya, dimana negara dianggap telah melakukan kelalaian dalam memenuhi hak-hak dari setiap warga negara.</w:t>
      </w:r>
      <w:r w:rsidR="00DF090F" w:rsidRPr="007218D2">
        <w:rPr>
          <w:rStyle w:val="FootnoteReference"/>
          <w:color w:val="000000" w:themeColor="text1"/>
        </w:rPr>
        <w:footnoteReference w:id="9"/>
      </w:r>
    </w:p>
    <w:p w14:paraId="129088AA" w14:textId="6C839323" w:rsidR="0085358C" w:rsidRPr="007218D2" w:rsidRDefault="00DF090F" w:rsidP="0081776B">
      <w:pPr>
        <w:ind w:left="709" w:firstLine="731"/>
        <w:jc w:val="both"/>
        <w:rPr>
          <w:color w:val="000000" w:themeColor="text1"/>
        </w:rPr>
      </w:pPr>
      <w:r w:rsidRPr="007218D2">
        <w:rPr>
          <w:color w:val="000000" w:themeColor="text1"/>
        </w:rPr>
        <w:t>Walaupun tidak diatur dalam perundang-undangan,</w:t>
      </w:r>
      <w:r w:rsidR="00D801C6" w:rsidRPr="007218D2">
        <w:rPr>
          <w:color w:val="000000" w:themeColor="text1"/>
        </w:rPr>
        <w:t xml:space="preserve"> gugatan </w:t>
      </w:r>
      <w:r w:rsidR="00D801C6" w:rsidRPr="007218D2">
        <w:rPr>
          <w:i/>
          <w:color w:val="000000" w:themeColor="text1"/>
        </w:rPr>
        <w:t xml:space="preserve">citizen lawsuit </w:t>
      </w:r>
      <w:r w:rsidR="00D801C6" w:rsidRPr="007218D2">
        <w:rPr>
          <w:color w:val="000000" w:themeColor="text1"/>
        </w:rPr>
        <w:t>ini telah diakui dalam praktiknya semenjak adanya putusan Kasus Nunukan.</w:t>
      </w:r>
      <w:r w:rsidR="00D801C6" w:rsidRPr="007218D2">
        <w:rPr>
          <w:rStyle w:val="FootnoteReference"/>
          <w:color w:val="000000" w:themeColor="text1"/>
        </w:rPr>
        <w:footnoteReference w:id="10"/>
      </w:r>
      <w:r w:rsidR="00D801C6" w:rsidRPr="007218D2">
        <w:rPr>
          <w:color w:val="000000" w:themeColor="text1"/>
        </w:rPr>
        <w:t xml:space="preserve"> </w:t>
      </w:r>
      <w:r w:rsidR="00F5722C" w:rsidRPr="007218D2">
        <w:rPr>
          <w:color w:val="000000" w:themeColor="text1"/>
        </w:rPr>
        <w:t xml:space="preserve">Kasus tersebut diajukan </w:t>
      </w:r>
      <w:r w:rsidR="0065235C" w:rsidRPr="007218D2">
        <w:rPr>
          <w:color w:val="000000" w:themeColor="text1"/>
        </w:rPr>
        <w:t xml:space="preserve">ke </w:t>
      </w:r>
      <w:r w:rsidR="00341201" w:rsidRPr="007218D2">
        <w:rPr>
          <w:color w:val="000000" w:themeColor="text1"/>
        </w:rPr>
        <w:t>Pengadilan Negeri Jakarta Pusat</w:t>
      </w:r>
      <w:r w:rsidR="00F5722C" w:rsidRPr="007218D2">
        <w:rPr>
          <w:color w:val="000000" w:themeColor="text1"/>
        </w:rPr>
        <w:t xml:space="preserve"> karena adanya penelantaran negara terhadap buruh migran yang dideportasi dari Malaysia ke </w:t>
      </w:r>
      <w:r w:rsidRPr="007218D2">
        <w:rPr>
          <w:color w:val="000000" w:themeColor="text1"/>
        </w:rPr>
        <w:t>Nunukan</w:t>
      </w:r>
      <w:r w:rsidR="00750E5D" w:rsidRPr="007218D2">
        <w:rPr>
          <w:color w:val="000000" w:themeColor="text1"/>
        </w:rPr>
        <w:t>, Kalimantan Utara</w:t>
      </w:r>
      <w:r w:rsidRPr="007218D2">
        <w:rPr>
          <w:color w:val="000000" w:themeColor="text1"/>
        </w:rPr>
        <w:t xml:space="preserve">. Ketua Majelis Hakim kasus Nunukan mengabulkan bentuk gugatan </w:t>
      </w:r>
      <w:r w:rsidRPr="007218D2">
        <w:rPr>
          <w:i/>
          <w:color w:val="000000" w:themeColor="text1"/>
        </w:rPr>
        <w:t xml:space="preserve">citizen lawsuit </w:t>
      </w:r>
      <w:r w:rsidRPr="007218D2">
        <w:rPr>
          <w:color w:val="000000" w:themeColor="text1"/>
        </w:rPr>
        <w:t>yang belum ada dasar hukumnya</w:t>
      </w:r>
      <w:r w:rsidR="00A1008A" w:rsidRPr="007218D2">
        <w:rPr>
          <w:color w:val="000000" w:themeColor="text1"/>
        </w:rPr>
        <w:t xml:space="preserve"> dengan </w:t>
      </w:r>
      <w:r w:rsidR="00696CA9" w:rsidRPr="007218D2">
        <w:rPr>
          <w:color w:val="000000" w:themeColor="text1"/>
        </w:rPr>
        <w:t>pertimbangan sebagaimana</w:t>
      </w:r>
      <w:r w:rsidR="00A1008A" w:rsidRPr="007218D2">
        <w:rPr>
          <w:color w:val="000000" w:themeColor="text1"/>
        </w:rPr>
        <w:t xml:space="preserve"> tercantum dalam Undang-undang Nomor 14 Tahun 1970 tentang Ketentuan-ketentuan Pokok Kekuasaan Kehakiman (“</w:t>
      </w:r>
      <w:r w:rsidR="00A1008A" w:rsidRPr="007218D2">
        <w:rPr>
          <w:b/>
          <w:color w:val="000000" w:themeColor="text1"/>
        </w:rPr>
        <w:t>UU No. 19/1970</w:t>
      </w:r>
      <w:r w:rsidR="00A1008A" w:rsidRPr="007218D2">
        <w:rPr>
          <w:color w:val="000000" w:themeColor="text1"/>
        </w:rPr>
        <w:t>”)</w:t>
      </w:r>
      <w:r w:rsidR="00696CA9" w:rsidRPr="007218D2">
        <w:rPr>
          <w:color w:val="000000" w:themeColor="text1"/>
        </w:rPr>
        <w:t xml:space="preserve">. </w:t>
      </w:r>
      <w:r w:rsidR="00A1008A" w:rsidRPr="007218D2">
        <w:rPr>
          <w:color w:val="000000" w:themeColor="text1"/>
        </w:rPr>
        <w:t xml:space="preserve">Dalam Pasal 14 </w:t>
      </w:r>
      <w:r w:rsidR="00696CA9" w:rsidRPr="007218D2">
        <w:rPr>
          <w:color w:val="000000" w:themeColor="text1"/>
        </w:rPr>
        <w:t xml:space="preserve">Ayat (1) </w:t>
      </w:r>
      <w:r w:rsidR="00A1008A" w:rsidRPr="007218D2">
        <w:rPr>
          <w:color w:val="000000" w:themeColor="text1"/>
        </w:rPr>
        <w:t>UU No. 19/1970, dijelaskan bahwa “</w:t>
      </w:r>
      <w:r w:rsidR="00A1008A" w:rsidRPr="007218D2">
        <w:rPr>
          <w:rFonts w:eastAsia="Times New Roman"/>
          <w:color w:val="000000" w:themeColor="text1"/>
        </w:rPr>
        <w:t xml:space="preserve">Pengadilan tidak boleh menolak untuk memeriksa dan mengadili </w:t>
      </w:r>
      <w:r w:rsidR="00A1008A" w:rsidRPr="007218D2">
        <w:rPr>
          <w:rFonts w:eastAsia="Times New Roman"/>
          <w:color w:val="000000" w:themeColor="text1"/>
        </w:rPr>
        <w:lastRenderedPageBreak/>
        <w:t>sesuatu perkara yang diajukan dalih bahwa hukum tidak atau kurang jelas, melainkan wajib untuk memeriksa dan mengadilinya.</w:t>
      </w:r>
      <w:r w:rsidR="00696CA9" w:rsidRPr="007218D2">
        <w:rPr>
          <w:rFonts w:eastAsia="Times New Roman"/>
          <w:color w:val="000000" w:themeColor="text1"/>
        </w:rPr>
        <w:t>”</w:t>
      </w:r>
      <w:r w:rsidR="00696CA9" w:rsidRPr="007218D2">
        <w:rPr>
          <w:rStyle w:val="FootnoteReference"/>
          <w:rFonts w:eastAsia="Times New Roman"/>
          <w:color w:val="000000" w:themeColor="text1"/>
        </w:rPr>
        <w:footnoteReference w:id="11"/>
      </w:r>
      <w:r w:rsidR="00750E5D" w:rsidRPr="007218D2">
        <w:rPr>
          <w:rFonts w:eastAsia="Times New Roman"/>
          <w:color w:val="000000" w:themeColor="text1"/>
        </w:rPr>
        <w:t xml:space="preserve"> Selain itu UU No. 19/1970 menjelaskan </w:t>
      </w:r>
      <w:r w:rsidR="00F40F3E" w:rsidRPr="007218D2">
        <w:rPr>
          <w:rFonts w:eastAsia="Times New Roman"/>
          <w:color w:val="000000" w:themeColor="text1"/>
        </w:rPr>
        <w:t>bahwa haki</w:t>
      </w:r>
      <w:r w:rsidR="00750E5D" w:rsidRPr="007218D2">
        <w:rPr>
          <w:rFonts w:eastAsia="Times New Roman"/>
          <w:color w:val="000000" w:themeColor="text1"/>
        </w:rPr>
        <w:t>m sebagai penegak hukum wajib menggali hukum</w:t>
      </w:r>
      <w:r w:rsidR="00BA2F09" w:rsidRPr="007218D2">
        <w:rPr>
          <w:rFonts w:eastAsia="Times New Roman"/>
          <w:color w:val="000000" w:themeColor="text1"/>
        </w:rPr>
        <w:t xml:space="preserve"> </w:t>
      </w:r>
      <w:r w:rsidR="00750E5D" w:rsidRPr="007218D2">
        <w:rPr>
          <w:rFonts w:eastAsia="Times New Roman"/>
          <w:color w:val="000000" w:themeColor="text1"/>
        </w:rPr>
        <w:t>tidak tertulis untuk memutus berdasarkan hukum.</w:t>
      </w:r>
      <w:r w:rsidR="00750E5D" w:rsidRPr="007218D2">
        <w:rPr>
          <w:rStyle w:val="FootnoteReference"/>
          <w:rFonts w:eastAsia="Times New Roman"/>
          <w:color w:val="000000" w:themeColor="text1"/>
        </w:rPr>
        <w:footnoteReference w:id="12"/>
      </w:r>
    </w:p>
    <w:p w14:paraId="73D62A3B" w14:textId="77777777" w:rsidR="0085358C" w:rsidRPr="007218D2" w:rsidRDefault="00AF7AD7" w:rsidP="0081776B">
      <w:pPr>
        <w:ind w:left="709" w:firstLine="731"/>
        <w:jc w:val="both"/>
        <w:rPr>
          <w:color w:val="000000" w:themeColor="text1"/>
        </w:rPr>
      </w:pPr>
      <w:r w:rsidRPr="007218D2">
        <w:rPr>
          <w:color w:val="000000" w:themeColor="text1"/>
        </w:rPr>
        <w:t xml:space="preserve">Dari uraian di atas </w:t>
      </w:r>
      <w:r w:rsidR="009349FA" w:rsidRPr="007218D2">
        <w:rPr>
          <w:color w:val="000000" w:themeColor="text1"/>
        </w:rPr>
        <w:t xml:space="preserve">tulisan </w:t>
      </w:r>
      <w:r w:rsidRPr="007218D2">
        <w:rPr>
          <w:color w:val="000000" w:themeColor="text1"/>
        </w:rPr>
        <w:t xml:space="preserve">ini akan menjelaskan bagaimana mekanisme gugatan </w:t>
      </w:r>
      <w:r w:rsidR="00EE07DB" w:rsidRPr="007218D2">
        <w:rPr>
          <w:i/>
          <w:color w:val="000000" w:themeColor="text1"/>
        </w:rPr>
        <w:t>citizen l</w:t>
      </w:r>
      <w:r w:rsidRPr="007218D2">
        <w:rPr>
          <w:i/>
          <w:color w:val="000000" w:themeColor="text1"/>
        </w:rPr>
        <w:t xml:space="preserve">awsuit </w:t>
      </w:r>
      <w:r w:rsidRPr="007218D2">
        <w:rPr>
          <w:color w:val="000000" w:themeColor="text1"/>
        </w:rPr>
        <w:t>di Indonesia dan</w:t>
      </w:r>
      <w:r w:rsidR="0052268E" w:rsidRPr="007218D2">
        <w:rPr>
          <w:color w:val="000000" w:themeColor="text1"/>
        </w:rPr>
        <w:t xml:space="preserve"> membandingkannya dengan mekanisme gugatan </w:t>
      </w:r>
      <w:r w:rsidR="0052268E" w:rsidRPr="007218D2">
        <w:rPr>
          <w:i/>
          <w:color w:val="000000" w:themeColor="text1"/>
        </w:rPr>
        <w:t xml:space="preserve">citizen lawsuit </w:t>
      </w:r>
      <w:r w:rsidR="0052268E" w:rsidRPr="007218D2">
        <w:rPr>
          <w:color w:val="000000" w:themeColor="text1"/>
        </w:rPr>
        <w:t xml:space="preserve">di </w:t>
      </w:r>
      <w:r w:rsidRPr="007218D2">
        <w:rPr>
          <w:color w:val="000000" w:themeColor="text1"/>
        </w:rPr>
        <w:t xml:space="preserve">Amerika Serikat serta menjelaskan contoh kasus gugatan </w:t>
      </w:r>
      <w:r w:rsidR="00EE07DB" w:rsidRPr="007218D2">
        <w:rPr>
          <w:i/>
          <w:color w:val="000000" w:themeColor="text1"/>
        </w:rPr>
        <w:t>citizen lawsuit</w:t>
      </w:r>
      <w:r w:rsidRPr="007218D2">
        <w:rPr>
          <w:i/>
          <w:color w:val="000000" w:themeColor="text1"/>
        </w:rPr>
        <w:t xml:space="preserve"> </w:t>
      </w:r>
      <w:r w:rsidRPr="007218D2">
        <w:rPr>
          <w:color w:val="000000" w:themeColor="text1"/>
        </w:rPr>
        <w:t xml:space="preserve">yang pernah terjadi di Indonesia dan Amerika Serikat. </w:t>
      </w:r>
      <w:r w:rsidR="00394781" w:rsidRPr="007218D2">
        <w:rPr>
          <w:color w:val="000000" w:themeColor="text1"/>
        </w:rPr>
        <w:t>Tulisan ini disusun dengan menggunakan struktur berikut ini</w:t>
      </w:r>
      <w:r w:rsidR="00FF329E" w:rsidRPr="007218D2">
        <w:rPr>
          <w:color w:val="000000" w:themeColor="text1"/>
        </w:rPr>
        <w:t xml:space="preserve">. </w:t>
      </w:r>
      <w:r w:rsidRPr="007218D2">
        <w:rPr>
          <w:color w:val="000000" w:themeColor="text1"/>
        </w:rPr>
        <w:t>Bagian 1, akan dipaparkan</w:t>
      </w:r>
      <w:r w:rsidR="00FF329E" w:rsidRPr="007218D2">
        <w:rPr>
          <w:color w:val="000000" w:themeColor="text1"/>
        </w:rPr>
        <w:t xml:space="preserve"> mengenai</w:t>
      </w:r>
      <w:r w:rsidRPr="007218D2">
        <w:rPr>
          <w:color w:val="000000" w:themeColor="text1"/>
        </w:rPr>
        <w:t xml:space="preserve"> pendahuluan. Setelah itu, Bagian 2 akan membahas mengenai </w:t>
      </w:r>
      <w:r w:rsidR="00FF329E" w:rsidRPr="007218D2">
        <w:rPr>
          <w:color w:val="000000" w:themeColor="text1"/>
        </w:rPr>
        <w:t>m</w:t>
      </w:r>
      <w:r w:rsidRPr="007218D2">
        <w:rPr>
          <w:color w:val="000000" w:themeColor="text1"/>
        </w:rPr>
        <w:t xml:space="preserve">ekanisme </w:t>
      </w:r>
      <w:r w:rsidR="00EE07DB" w:rsidRPr="007218D2">
        <w:rPr>
          <w:i/>
          <w:color w:val="000000" w:themeColor="text1"/>
        </w:rPr>
        <w:t>citizen lawsuit</w:t>
      </w:r>
      <w:r w:rsidR="00EE07DB" w:rsidRPr="007218D2">
        <w:rPr>
          <w:color w:val="000000" w:themeColor="text1"/>
        </w:rPr>
        <w:t xml:space="preserve"> </w:t>
      </w:r>
      <w:r w:rsidRPr="007218D2">
        <w:rPr>
          <w:color w:val="000000" w:themeColor="text1"/>
        </w:rPr>
        <w:t xml:space="preserve">di Indonesia </w:t>
      </w:r>
      <w:r w:rsidR="009E01C7" w:rsidRPr="007218D2">
        <w:rPr>
          <w:color w:val="000000" w:themeColor="text1"/>
        </w:rPr>
        <w:t xml:space="preserve">dan contoh kasusnya. Bagian 3 akan membahas mengenai mekanisme </w:t>
      </w:r>
      <w:r w:rsidR="009E01C7" w:rsidRPr="007218D2">
        <w:rPr>
          <w:i/>
          <w:color w:val="000000" w:themeColor="text1"/>
        </w:rPr>
        <w:t>citizen lawsuit</w:t>
      </w:r>
      <w:r w:rsidR="009E01C7" w:rsidRPr="007218D2">
        <w:rPr>
          <w:color w:val="000000" w:themeColor="text1"/>
        </w:rPr>
        <w:t xml:space="preserve"> di Amerika Serikat dan contoh kasusnya. Selanjutnya Bagian 4 akan ditunjukan tabel perbandingan mekanisme gugatan </w:t>
      </w:r>
      <w:r w:rsidR="009E01C7" w:rsidRPr="007218D2">
        <w:rPr>
          <w:i/>
          <w:color w:val="000000" w:themeColor="text1"/>
        </w:rPr>
        <w:t xml:space="preserve">citizen lawsuit </w:t>
      </w:r>
      <w:r w:rsidR="009E01C7" w:rsidRPr="007218D2">
        <w:rPr>
          <w:color w:val="000000" w:themeColor="text1"/>
        </w:rPr>
        <w:t xml:space="preserve">di Indonesia dan Amerika Serikat. </w:t>
      </w:r>
      <w:r w:rsidR="00F5722C" w:rsidRPr="007218D2">
        <w:rPr>
          <w:color w:val="000000" w:themeColor="text1"/>
        </w:rPr>
        <w:t xml:space="preserve">Terakhir yaitu Bagian 5, </w:t>
      </w:r>
      <w:r w:rsidR="00FF329E" w:rsidRPr="007218D2">
        <w:rPr>
          <w:color w:val="000000" w:themeColor="text1"/>
        </w:rPr>
        <w:t>memaparkan kesimpulan dari tulisan ini.</w:t>
      </w:r>
    </w:p>
    <w:p w14:paraId="6DDB26BC" w14:textId="7A1EFC09" w:rsidR="00B733C4" w:rsidRPr="007218D2" w:rsidRDefault="008303A6" w:rsidP="0081776B">
      <w:pPr>
        <w:ind w:left="709" w:firstLine="731"/>
        <w:jc w:val="both"/>
        <w:rPr>
          <w:color w:val="000000" w:themeColor="text1"/>
        </w:rPr>
      </w:pPr>
      <w:r w:rsidRPr="007218D2">
        <w:rPr>
          <w:color w:val="000000" w:themeColor="text1"/>
        </w:rPr>
        <w:t>Berdasarkan uraian latar belakang di atas, u</w:t>
      </w:r>
      <w:r w:rsidR="00FF329E" w:rsidRPr="007218D2">
        <w:rPr>
          <w:color w:val="000000" w:themeColor="text1"/>
        </w:rPr>
        <w:t xml:space="preserve">ntuk </w:t>
      </w:r>
      <w:r w:rsidRPr="007218D2">
        <w:rPr>
          <w:color w:val="000000" w:themeColor="text1"/>
        </w:rPr>
        <w:t xml:space="preserve">memaparkan penjelasan yang ingin dicapai dalam tulisan ini maka </w:t>
      </w:r>
      <w:r w:rsidRPr="007218D2">
        <w:rPr>
          <w:rFonts w:eastAsiaTheme="majorEastAsia"/>
          <w:color w:val="000000" w:themeColor="text1"/>
        </w:rPr>
        <w:t xml:space="preserve">penulis menggunakan penelitian preskriptif. </w:t>
      </w:r>
      <w:r w:rsidRPr="007218D2">
        <w:rPr>
          <w:rFonts w:eastAsia="Times New Roman"/>
          <w:color w:val="000000" w:themeColor="text1"/>
        </w:rPr>
        <w:t>Penelitian preskriptif merupakan penelitian yang bertujuan untuk memberikan gambaran atau merumuskan masalah sesuai dengan keadaan atau fakta yang ada.</w:t>
      </w:r>
      <w:r w:rsidRPr="007218D2">
        <w:rPr>
          <w:rStyle w:val="FootnoteReference"/>
          <w:rFonts w:eastAsia="Times New Roman"/>
          <w:color w:val="000000" w:themeColor="text1"/>
        </w:rPr>
        <w:footnoteReference w:id="13"/>
      </w:r>
      <w:r w:rsidRPr="007218D2">
        <w:rPr>
          <w:color w:val="000000" w:themeColor="text1"/>
        </w:rPr>
        <w:t xml:space="preserve"> Penulis akan mengkaji perbandingan hukum di Indonesia dan Amerika Serikat dalam menerapkan mekanisme gugatan </w:t>
      </w:r>
      <w:r w:rsidR="00EE07DB" w:rsidRPr="007218D2">
        <w:rPr>
          <w:i/>
          <w:color w:val="000000" w:themeColor="text1"/>
        </w:rPr>
        <w:t>citizen lawsuit</w:t>
      </w:r>
      <w:r w:rsidR="00EE07DB" w:rsidRPr="007218D2">
        <w:rPr>
          <w:color w:val="000000" w:themeColor="text1"/>
        </w:rPr>
        <w:t xml:space="preserve"> </w:t>
      </w:r>
      <w:r w:rsidRPr="007218D2">
        <w:rPr>
          <w:color w:val="000000" w:themeColor="text1"/>
        </w:rPr>
        <w:t xml:space="preserve">yang didapatkan dari </w:t>
      </w:r>
      <w:r w:rsidR="0052268E" w:rsidRPr="007218D2">
        <w:rPr>
          <w:color w:val="000000" w:themeColor="text1"/>
        </w:rPr>
        <w:t xml:space="preserve">uraian putusan pengadilan dan </w:t>
      </w:r>
      <w:r w:rsidRPr="007218D2">
        <w:rPr>
          <w:color w:val="000000" w:themeColor="text1"/>
        </w:rPr>
        <w:t>norma atau hukum positif sebagai bahan acuan dalam penelitian ini.</w:t>
      </w:r>
      <w:r w:rsidRPr="007218D2">
        <w:rPr>
          <w:color w:val="000000" w:themeColor="text1"/>
          <w:vertAlign w:val="superscript"/>
        </w:rPr>
        <w:footnoteReference w:id="14"/>
      </w:r>
    </w:p>
    <w:p w14:paraId="2A886A30" w14:textId="77777777" w:rsidR="0052268E" w:rsidRPr="007218D2" w:rsidRDefault="0052268E" w:rsidP="0081776B">
      <w:pPr>
        <w:ind w:left="-11" w:firstLine="720"/>
        <w:jc w:val="both"/>
        <w:rPr>
          <w:color w:val="000000" w:themeColor="text1"/>
        </w:rPr>
      </w:pPr>
    </w:p>
    <w:p w14:paraId="245F50A3" w14:textId="28B25255" w:rsidR="00E92F77" w:rsidRPr="007218D2" w:rsidRDefault="00CE3C05" w:rsidP="0081776B">
      <w:pPr>
        <w:pStyle w:val="ListParagraph"/>
        <w:numPr>
          <w:ilvl w:val="0"/>
          <w:numId w:val="1"/>
        </w:numPr>
        <w:ind w:left="709"/>
        <w:jc w:val="both"/>
        <w:rPr>
          <w:rFonts w:ascii="Times New Roman" w:hAnsi="Times New Roman" w:cs="Times New Roman"/>
          <w:b/>
          <w:color w:val="000000" w:themeColor="text1"/>
        </w:rPr>
      </w:pPr>
      <w:r w:rsidRPr="007218D2">
        <w:rPr>
          <w:rFonts w:ascii="Times New Roman" w:hAnsi="Times New Roman" w:cs="Times New Roman"/>
          <w:b/>
          <w:color w:val="000000" w:themeColor="text1"/>
        </w:rPr>
        <w:t xml:space="preserve">Gugatan </w:t>
      </w:r>
      <w:r w:rsidR="00B733C4" w:rsidRPr="007218D2">
        <w:rPr>
          <w:rFonts w:ascii="Times New Roman" w:hAnsi="Times New Roman" w:cs="Times New Roman"/>
          <w:b/>
          <w:i/>
          <w:color w:val="000000" w:themeColor="text1"/>
        </w:rPr>
        <w:t>Citizen Lawsuit</w:t>
      </w:r>
      <w:r w:rsidR="00355740" w:rsidRPr="007218D2">
        <w:rPr>
          <w:rFonts w:ascii="Times New Roman" w:hAnsi="Times New Roman" w:cs="Times New Roman"/>
          <w:b/>
          <w:color w:val="000000" w:themeColor="text1"/>
        </w:rPr>
        <w:t xml:space="preserve"> di Indonesia</w:t>
      </w:r>
    </w:p>
    <w:p w14:paraId="2FE75893" w14:textId="6C2E0365" w:rsidR="007542DC" w:rsidRPr="007218D2" w:rsidRDefault="007542DC" w:rsidP="0081776B">
      <w:pPr>
        <w:pStyle w:val="ListParagraph"/>
        <w:numPr>
          <w:ilvl w:val="0"/>
          <w:numId w:val="10"/>
        </w:numPr>
        <w:jc w:val="both"/>
        <w:rPr>
          <w:rFonts w:ascii="Times New Roman" w:hAnsi="Times New Roman" w:cs="Times New Roman"/>
          <w:b/>
          <w:color w:val="000000" w:themeColor="text1"/>
        </w:rPr>
      </w:pPr>
      <w:r w:rsidRPr="007218D2">
        <w:rPr>
          <w:rFonts w:ascii="Times New Roman" w:hAnsi="Times New Roman" w:cs="Times New Roman"/>
          <w:b/>
          <w:color w:val="000000" w:themeColor="text1"/>
        </w:rPr>
        <w:t xml:space="preserve">Mekanisme Gugatan </w:t>
      </w:r>
      <w:r w:rsidRPr="007218D2">
        <w:rPr>
          <w:rFonts w:ascii="Times New Roman" w:hAnsi="Times New Roman" w:cs="Times New Roman"/>
          <w:b/>
          <w:i/>
          <w:color w:val="000000" w:themeColor="text1"/>
        </w:rPr>
        <w:t xml:space="preserve">Citizen Lawsuit </w:t>
      </w:r>
      <w:r w:rsidRPr="007218D2">
        <w:rPr>
          <w:rFonts w:ascii="Times New Roman" w:hAnsi="Times New Roman" w:cs="Times New Roman"/>
          <w:b/>
          <w:color w:val="000000" w:themeColor="text1"/>
        </w:rPr>
        <w:t>di Indonesia</w:t>
      </w:r>
    </w:p>
    <w:p w14:paraId="7D56C16A" w14:textId="3C2D4A50" w:rsidR="00D81BEA" w:rsidRPr="007218D2" w:rsidRDefault="00C23220" w:rsidP="0081776B">
      <w:pPr>
        <w:ind w:left="1069" w:firstLine="720"/>
        <w:jc w:val="both"/>
        <w:rPr>
          <w:color w:val="000000" w:themeColor="text1"/>
        </w:rPr>
      </w:pPr>
      <w:r w:rsidRPr="007218D2">
        <w:rPr>
          <w:color w:val="000000" w:themeColor="text1"/>
        </w:rPr>
        <w:t xml:space="preserve">Bentuk gugatan warga negara terhadap penyelenggara negara atas hak kepentingan umum atau yang dikenal dengan gugatan </w:t>
      </w:r>
      <w:r w:rsidRPr="007218D2">
        <w:rPr>
          <w:i/>
          <w:color w:val="000000" w:themeColor="text1"/>
        </w:rPr>
        <w:t xml:space="preserve">citizen lawsuit, </w:t>
      </w:r>
      <w:r w:rsidRPr="007218D2">
        <w:rPr>
          <w:color w:val="000000" w:themeColor="text1"/>
        </w:rPr>
        <w:t xml:space="preserve">sebenarnya belum dikenal dalam sistem hukum </w:t>
      </w:r>
      <w:r w:rsidRPr="007218D2">
        <w:rPr>
          <w:i/>
          <w:color w:val="000000" w:themeColor="text1"/>
        </w:rPr>
        <w:t xml:space="preserve">civil law </w:t>
      </w:r>
      <w:r w:rsidRPr="007218D2">
        <w:rPr>
          <w:color w:val="000000" w:themeColor="text1"/>
        </w:rPr>
        <w:t xml:space="preserve">di Indonesia. </w:t>
      </w:r>
      <w:r w:rsidR="00D81BEA" w:rsidRPr="007218D2">
        <w:rPr>
          <w:color w:val="000000" w:themeColor="text1"/>
        </w:rPr>
        <w:t xml:space="preserve">Gugatan </w:t>
      </w:r>
      <w:r w:rsidR="00D81BEA" w:rsidRPr="007218D2">
        <w:rPr>
          <w:i/>
          <w:color w:val="000000" w:themeColor="text1"/>
        </w:rPr>
        <w:t xml:space="preserve">citizen lawsuit </w:t>
      </w:r>
      <w:r w:rsidR="00D81BEA" w:rsidRPr="007218D2">
        <w:rPr>
          <w:color w:val="000000" w:themeColor="text1"/>
        </w:rPr>
        <w:t xml:space="preserve">ini lahir di negara-negara yang menganut sistem hukum </w:t>
      </w:r>
      <w:r w:rsidR="00D81BEA" w:rsidRPr="007218D2">
        <w:rPr>
          <w:i/>
          <w:color w:val="000000" w:themeColor="text1"/>
        </w:rPr>
        <w:t>common law</w:t>
      </w:r>
      <w:r w:rsidR="00D81BEA" w:rsidRPr="007218D2">
        <w:rPr>
          <w:color w:val="000000" w:themeColor="text1"/>
        </w:rPr>
        <w:t xml:space="preserve"> seperti Amerika Serikat. </w:t>
      </w:r>
      <w:r w:rsidRPr="007218D2">
        <w:rPr>
          <w:color w:val="000000" w:themeColor="text1"/>
        </w:rPr>
        <w:t xml:space="preserve">Namun pada tahun 2003, Pengadilan Negeri Jakarta Pusat telah menerima bentuk gugatan </w:t>
      </w:r>
      <w:r w:rsidRPr="007218D2">
        <w:rPr>
          <w:i/>
          <w:color w:val="000000" w:themeColor="text1"/>
        </w:rPr>
        <w:t>citizen lawsuit</w:t>
      </w:r>
      <w:r w:rsidR="00D81BEA" w:rsidRPr="007218D2">
        <w:rPr>
          <w:color w:val="000000" w:themeColor="text1"/>
        </w:rPr>
        <w:t xml:space="preserve">, sehingga walaupun gugatan </w:t>
      </w:r>
      <w:r w:rsidR="00D81BEA" w:rsidRPr="007218D2">
        <w:rPr>
          <w:i/>
          <w:color w:val="000000" w:themeColor="text1"/>
        </w:rPr>
        <w:t xml:space="preserve">citizen </w:t>
      </w:r>
      <w:r w:rsidR="00D81BEA" w:rsidRPr="007218D2">
        <w:rPr>
          <w:color w:val="000000" w:themeColor="text1"/>
        </w:rPr>
        <w:t>lawsuit ini tidak diatur dalam perundang-undangan, namun telah diakui dalam praktiknya.</w:t>
      </w:r>
      <w:r w:rsidR="009D7783" w:rsidRPr="007218D2">
        <w:rPr>
          <w:rStyle w:val="FootnoteReference"/>
          <w:color w:val="000000" w:themeColor="text1"/>
        </w:rPr>
        <w:footnoteReference w:id="15"/>
      </w:r>
    </w:p>
    <w:p w14:paraId="46C51832" w14:textId="2D8FB077" w:rsidR="007542DC" w:rsidRPr="007218D2" w:rsidRDefault="00D81BEA" w:rsidP="0081776B">
      <w:pPr>
        <w:ind w:left="1069" w:firstLine="720"/>
        <w:jc w:val="both"/>
        <w:rPr>
          <w:color w:val="000000" w:themeColor="text1"/>
        </w:rPr>
      </w:pPr>
      <w:r w:rsidRPr="007218D2">
        <w:rPr>
          <w:i/>
          <w:color w:val="000000" w:themeColor="text1"/>
        </w:rPr>
        <w:t>Citizen lawsuit</w:t>
      </w:r>
      <w:r w:rsidRPr="007218D2">
        <w:rPr>
          <w:color w:val="000000" w:themeColor="text1"/>
        </w:rPr>
        <w:t xml:space="preserve"> memberikan hak bagi setiap warga negara atas nama kepentingan umum, di</w:t>
      </w:r>
      <w:r w:rsidR="00BE111C" w:rsidRPr="007218D2">
        <w:rPr>
          <w:color w:val="000000" w:themeColor="text1"/>
        </w:rPr>
        <w:t>mana warga negara dapat menggugat</w:t>
      </w:r>
      <w:r w:rsidRPr="007218D2">
        <w:rPr>
          <w:color w:val="000000" w:themeColor="text1"/>
        </w:rPr>
        <w:t xml:space="preserve"> negara c.q. pemerintah atau siapa saja yang </w:t>
      </w:r>
      <w:r w:rsidR="00980FC0" w:rsidRPr="007218D2">
        <w:rPr>
          <w:color w:val="000000" w:themeColor="text1"/>
        </w:rPr>
        <w:t>telah lalai, dimana kelalaian itu diangg</w:t>
      </w:r>
      <w:r w:rsidRPr="007218D2">
        <w:rPr>
          <w:color w:val="000000" w:themeColor="text1"/>
        </w:rPr>
        <w:t xml:space="preserve">ap </w:t>
      </w:r>
      <w:r w:rsidR="00980FC0" w:rsidRPr="007218D2">
        <w:rPr>
          <w:color w:val="000000" w:themeColor="text1"/>
        </w:rPr>
        <w:t xml:space="preserve">sebagai </w:t>
      </w:r>
      <w:r w:rsidRPr="007218D2">
        <w:rPr>
          <w:color w:val="000000" w:themeColor="text1"/>
        </w:rPr>
        <w:t>Perbuatan Melawan Hukum yang secara jelas telah menimbulkan kerugian bagi kepe</w:t>
      </w:r>
      <w:r w:rsidR="009D7783" w:rsidRPr="007218D2">
        <w:rPr>
          <w:color w:val="000000" w:themeColor="text1"/>
        </w:rPr>
        <w:t xml:space="preserve">ntingan </w:t>
      </w:r>
      <w:r w:rsidR="009D7783" w:rsidRPr="007218D2">
        <w:rPr>
          <w:color w:val="000000" w:themeColor="text1"/>
        </w:rPr>
        <w:lastRenderedPageBreak/>
        <w:t>umum dan juga masyarakat</w:t>
      </w:r>
      <w:r w:rsidRPr="007218D2">
        <w:rPr>
          <w:color w:val="000000" w:themeColor="text1"/>
        </w:rPr>
        <w:t xml:space="preserve"> luas.</w:t>
      </w:r>
      <w:r w:rsidR="00BD1EAE" w:rsidRPr="007218D2">
        <w:rPr>
          <w:rStyle w:val="FootnoteReference"/>
          <w:color w:val="000000" w:themeColor="text1"/>
        </w:rPr>
        <w:footnoteReference w:id="16"/>
      </w:r>
      <w:r w:rsidR="00980FC0" w:rsidRPr="007218D2">
        <w:rPr>
          <w:color w:val="000000" w:themeColor="text1"/>
        </w:rPr>
        <w:t xml:space="preserve"> Gugatan tersebut diajukan ke pengadilan </w:t>
      </w:r>
      <w:r w:rsidR="00BD1EAE" w:rsidRPr="007218D2">
        <w:rPr>
          <w:color w:val="000000" w:themeColor="text1"/>
        </w:rPr>
        <w:t xml:space="preserve">dan </w:t>
      </w:r>
      <w:r w:rsidR="00980FC0" w:rsidRPr="007218D2">
        <w:rPr>
          <w:color w:val="000000" w:themeColor="text1"/>
        </w:rPr>
        <w:t>negara diperintahkan untuk melakukan perbaikan atas kinerjanya dan mengeluarkan suatu kebijakan yang mengatur umum (</w:t>
      </w:r>
      <w:r w:rsidR="00980FC0" w:rsidRPr="007218D2">
        <w:rPr>
          <w:i/>
          <w:color w:val="000000" w:themeColor="text1"/>
        </w:rPr>
        <w:t>regeling</w:t>
      </w:r>
      <w:r w:rsidR="00980FC0" w:rsidRPr="007218D2">
        <w:rPr>
          <w:color w:val="000000" w:themeColor="text1"/>
        </w:rPr>
        <w:t>) agar kelalaian yang sebelunya terjadi tidak terula</w:t>
      </w:r>
      <w:r w:rsidR="00EB5046" w:rsidRPr="007218D2">
        <w:rPr>
          <w:color w:val="000000" w:themeColor="text1"/>
        </w:rPr>
        <w:t>n</w:t>
      </w:r>
      <w:r w:rsidR="00980FC0" w:rsidRPr="007218D2">
        <w:rPr>
          <w:color w:val="000000" w:themeColor="text1"/>
        </w:rPr>
        <w:t>g lagi dimasa yang akan datang.</w:t>
      </w:r>
      <w:r w:rsidR="00980FC0" w:rsidRPr="007218D2">
        <w:rPr>
          <w:rStyle w:val="FootnoteReference"/>
          <w:color w:val="000000" w:themeColor="text1"/>
        </w:rPr>
        <w:footnoteReference w:id="17"/>
      </w:r>
    </w:p>
    <w:p w14:paraId="50F11B9F" w14:textId="123E1EC4" w:rsidR="00BD1EAE" w:rsidRPr="007218D2" w:rsidRDefault="00223C42" w:rsidP="0081776B">
      <w:pPr>
        <w:ind w:left="1069" w:firstLine="720"/>
        <w:jc w:val="both"/>
        <w:rPr>
          <w:color w:val="000000" w:themeColor="text1"/>
        </w:rPr>
      </w:pPr>
      <w:r w:rsidRPr="007218D2">
        <w:rPr>
          <w:color w:val="000000" w:themeColor="text1"/>
        </w:rPr>
        <w:t xml:space="preserve">Pada dasarnya, gugatan </w:t>
      </w:r>
      <w:r w:rsidRPr="007218D2">
        <w:rPr>
          <w:i/>
          <w:color w:val="000000" w:themeColor="text1"/>
        </w:rPr>
        <w:t>citizen lawsuit</w:t>
      </w:r>
      <w:r w:rsidRPr="007218D2">
        <w:rPr>
          <w:color w:val="000000" w:themeColor="text1"/>
        </w:rPr>
        <w:t xml:space="preserve"> hampir mirip dengan gugatan </w:t>
      </w:r>
      <w:r w:rsidRPr="007218D2">
        <w:rPr>
          <w:i/>
          <w:color w:val="000000" w:themeColor="text1"/>
        </w:rPr>
        <w:t>class action</w:t>
      </w:r>
      <w:r w:rsidRPr="007218D2">
        <w:rPr>
          <w:color w:val="000000" w:themeColor="text1"/>
        </w:rPr>
        <w:t xml:space="preserve"> karena memiliki kesamaan yaitu gugatannya diajukan dengan melibatkan kepentingan sejumlah besar orang yang diwakilkan oleh satu orang atau lebih. Perbedaannya adalah gugatan </w:t>
      </w:r>
      <w:r w:rsidRPr="007218D2">
        <w:rPr>
          <w:i/>
          <w:color w:val="000000" w:themeColor="text1"/>
        </w:rPr>
        <w:t xml:space="preserve">citizen lawsuit </w:t>
      </w:r>
      <w:r w:rsidRPr="007218D2">
        <w:rPr>
          <w:color w:val="000000" w:themeColor="text1"/>
        </w:rPr>
        <w:t xml:space="preserve">diajukan oleh warga negara untuk kepentingan umum sedangkan dalam gugatan </w:t>
      </w:r>
      <w:r w:rsidRPr="007218D2">
        <w:rPr>
          <w:i/>
          <w:color w:val="000000" w:themeColor="text1"/>
        </w:rPr>
        <w:t>class action,</w:t>
      </w:r>
      <w:r w:rsidRPr="007218D2">
        <w:rPr>
          <w:color w:val="000000" w:themeColor="text1"/>
        </w:rPr>
        <w:t xml:space="preserve"> gugatannya diajukan oleh wakil dari sebuah kelompok untuk kepentingan tertentu.</w:t>
      </w:r>
      <w:r w:rsidR="00952AA9" w:rsidRPr="007218D2">
        <w:rPr>
          <w:rStyle w:val="FootnoteReference"/>
          <w:color w:val="000000" w:themeColor="text1"/>
        </w:rPr>
        <w:footnoteReference w:id="18"/>
      </w:r>
      <w:r w:rsidRPr="007218D2">
        <w:rPr>
          <w:color w:val="000000" w:themeColor="text1"/>
        </w:rPr>
        <w:t xml:space="preserve"> </w:t>
      </w:r>
      <w:r w:rsidR="00E42603" w:rsidRPr="007218D2">
        <w:rPr>
          <w:rFonts w:eastAsia="Times New Roman"/>
          <w:color w:val="000000" w:themeColor="text1"/>
        </w:rPr>
        <w:t>Gugatan</w:t>
      </w:r>
      <w:r w:rsidR="00D832AB" w:rsidRPr="007218D2">
        <w:rPr>
          <w:rFonts w:eastAsia="Times New Roman"/>
          <w:color w:val="000000" w:themeColor="text1"/>
        </w:rPr>
        <w:t xml:space="preserve"> </w:t>
      </w:r>
      <w:r w:rsidR="00E42603" w:rsidRPr="007218D2">
        <w:rPr>
          <w:rFonts w:eastAsia="Times New Roman"/>
          <w:i/>
          <w:color w:val="000000" w:themeColor="text1"/>
        </w:rPr>
        <w:t>c</w:t>
      </w:r>
      <w:r w:rsidR="00BD1EAE" w:rsidRPr="007218D2">
        <w:rPr>
          <w:rFonts w:eastAsia="Times New Roman"/>
          <w:i/>
          <w:color w:val="000000" w:themeColor="text1"/>
        </w:rPr>
        <w:t xml:space="preserve">itizen lawsuit </w:t>
      </w:r>
      <w:r w:rsidR="00BD1EAE" w:rsidRPr="007218D2">
        <w:rPr>
          <w:rFonts w:eastAsia="Times New Roman"/>
          <w:color w:val="000000" w:themeColor="text1"/>
        </w:rPr>
        <w:t>di Indonesia memiliki beberapa karakter, sebagai berikut:</w:t>
      </w:r>
    </w:p>
    <w:p w14:paraId="17A540C1" w14:textId="77777777" w:rsidR="00D832AB" w:rsidRPr="007218D2" w:rsidRDefault="00D832AB" w:rsidP="0081776B">
      <w:pPr>
        <w:pStyle w:val="ListParagraph"/>
        <w:numPr>
          <w:ilvl w:val="0"/>
          <w:numId w:val="6"/>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Penggugat adalah warga negara, dengan membuktikan bahwa dirinya adalah seorang Warga Negara Indonesia;</w:t>
      </w:r>
    </w:p>
    <w:p w14:paraId="2BA35003" w14:textId="77777777" w:rsidR="00D832AB" w:rsidRPr="007218D2" w:rsidRDefault="00BD1EAE" w:rsidP="0081776B">
      <w:pPr>
        <w:pStyle w:val="ListParagraph"/>
        <w:numPr>
          <w:ilvl w:val="0"/>
          <w:numId w:val="6"/>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Tergugat adalah penyelenggara negara, yaitu pimpinan teratas yang merupakan presiden dan wakil presiden, menteri hingga pejabat negara di bidangnya masing-masing yang dianggap telah melakukan kelalaian terhadap pemenuhan hak warga negaranya;</w:t>
      </w:r>
    </w:p>
    <w:p w14:paraId="5EC8CF0B" w14:textId="1BF6F22E" w:rsidR="00D832AB" w:rsidRPr="007218D2" w:rsidRDefault="00BD1EAE" w:rsidP="0081776B">
      <w:pPr>
        <w:pStyle w:val="ListParagraph"/>
        <w:numPr>
          <w:ilvl w:val="0"/>
          <w:numId w:val="6"/>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 xml:space="preserve">Dalam gugatan </w:t>
      </w:r>
      <w:r w:rsidR="00E42603" w:rsidRPr="007218D2">
        <w:rPr>
          <w:rFonts w:ascii="Times New Roman" w:eastAsia="Times New Roman" w:hAnsi="Times New Roman" w:cs="Times New Roman"/>
          <w:i/>
          <w:color w:val="000000" w:themeColor="text1"/>
        </w:rPr>
        <w:t>citizen lawsuit</w:t>
      </w:r>
      <w:r w:rsidR="00E42603" w:rsidRPr="007218D2">
        <w:rPr>
          <w:rFonts w:ascii="Times New Roman" w:eastAsia="Times New Roman" w:hAnsi="Times New Roman" w:cs="Times New Roman"/>
          <w:color w:val="000000" w:themeColor="text1"/>
        </w:rPr>
        <w:t xml:space="preserve"> </w:t>
      </w:r>
      <w:r w:rsidR="006B6DD3" w:rsidRPr="007218D2">
        <w:rPr>
          <w:rFonts w:ascii="Times New Roman" w:eastAsia="Times New Roman" w:hAnsi="Times New Roman" w:cs="Times New Roman"/>
          <w:color w:val="000000" w:themeColor="text1"/>
        </w:rPr>
        <w:t>terdapat</w:t>
      </w:r>
      <w:r w:rsidR="00D832AB" w:rsidRPr="007218D2">
        <w:rPr>
          <w:rFonts w:ascii="Times New Roman" w:eastAsia="Times New Roman" w:hAnsi="Times New Roman" w:cs="Times New Roman"/>
          <w:color w:val="000000" w:themeColor="text1"/>
        </w:rPr>
        <w:t xml:space="preserve"> </w:t>
      </w:r>
      <w:r w:rsidRPr="007218D2">
        <w:rPr>
          <w:rFonts w:ascii="Times New Roman" w:eastAsia="Times New Roman" w:hAnsi="Times New Roman" w:cs="Times New Roman"/>
          <w:color w:val="000000" w:themeColor="text1"/>
        </w:rPr>
        <w:t>Perbuatan Melawan Hukum yang berupa kelalaian penyelenggara negara dalam memenuhi hak warga negaranya</w:t>
      </w:r>
      <w:r w:rsidR="00D832AB" w:rsidRPr="007218D2">
        <w:rPr>
          <w:rFonts w:ascii="Times New Roman" w:eastAsia="Times New Roman" w:hAnsi="Times New Roman" w:cs="Times New Roman"/>
          <w:color w:val="000000" w:themeColor="text1"/>
        </w:rPr>
        <w:t>, maka</w:t>
      </w:r>
      <w:r w:rsidRPr="007218D2">
        <w:rPr>
          <w:rFonts w:ascii="Times New Roman" w:eastAsia="Times New Roman" w:hAnsi="Times New Roman" w:cs="Times New Roman"/>
          <w:color w:val="000000" w:themeColor="text1"/>
        </w:rPr>
        <w:t xml:space="preserve"> harus diuraikan bentuk kelalaian apa </w:t>
      </w:r>
      <w:r w:rsidR="00D832AB" w:rsidRPr="007218D2">
        <w:rPr>
          <w:rFonts w:ascii="Times New Roman" w:eastAsia="Times New Roman" w:hAnsi="Times New Roman" w:cs="Times New Roman"/>
          <w:color w:val="000000" w:themeColor="text1"/>
        </w:rPr>
        <w:t xml:space="preserve">saja </w:t>
      </w:r>
      <w:r w:rsidRPr="007218D2">
        <w:rPr>
          <w:rFonts w:ascii="Times New Roman" w:eastAsia="Times New Roman" w:hAnsi="Times New Roman" w:cs="Times New Roman"/>
          <w:color w:val="000000" w:themeColor="text1"/>
        </w:rPr>
        <w:t>yang telah dilakukan oleh penyelenggara negara dan diuraikan juga hak warga negara apa saja yang telah gagal dipenuhi oleh negara;</w:t>
      </w:r>
    </w:p>
    <w:p w14:paraId="26FBEF2C" w14:textId="6184744A" w:rsidR="00D832AB" w:rsidRPr="007218D2" w:rsidRDefault="00D832AB" w:rsidP="0081776B">
      <w:pPr>
        <w:pStyle w:val="ListParagraph"/>
        <w:numPr>
          <w:ilvl w:val="0"/>
          <w:numId w:val="6"/>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 xml:space="preserve">Pada praktiknya di Indonesia, gugatan </w:t>
      </w:r>
      <w:r w:rsidRPr="007218D2">
        <w:rPr>
          <w:rFonts w:ascii="Times New Roman" w:eastAsia="Times New Roman" w:hAnsi="Times New Roman" w:cs="Times New Roman"/>
          <w:i/>
          <w:color w:val="000000" w:themeColor="text1"/>
        </w:rPr>
        <w:t>citizen lawsuit</w:t>
      </w:r>
      <w:r w:rsidRPr="007218D2">
        <w:rPr>
          <w:rFonts w:ascii="Times New Roman" w:eastAsia="Times New Roman" w:hAnsi="Times New Roman" w:cs="Times New Roman"/>
          <w:color w:val="000000" w:themeColor="text1"/>
        </w:rPr>
        <w:t xml:space="preserve"> cukup dengan memberikan notifikasi </w:t>
      </w:r>
      <w:r w:rsidR="00E42603" w:rsidRPr="007218D2">
        <w:rPr>
          <w:rFonts w:ascii="Times New Roman" w:eastAsia="Times New Roman" w:hAnsi="Times New Roman" w:cs="Times New Roman"/>
          <w:color w:val="000000" w:themeColor="text1"/>
        </w:rPr>
        <w:t xml:space="preserve">atau </w:t>
      </w:r>
      <w:r w:rsidRPr="007218D2">
        <w:rPr>
          <w:rFonts w:ascii="Times New Roman" w:eastAsia="Times New Roman" w:hAnsi="Times New Roman" w:cs="Times New Roman"/>
          <w:color w:val="000000" w:themeColor="text1"/>
        </w:rPr>
        <w:t>somasi yang ditujukan kepada penyelenggara negara;</w:t>
      </w:r>
    </w:p>
    <w:p w14:paraId="240FA147" w14:textId="2980503D" w:rsidR="00966F25" w:rsidRPr="007218D2" w:rsidRDefault="00D832AB" w:rsidP="0081776B">
      <w:pPr>
        <w:pStyle w:val="ListParagraph"/>
        <w:numPr>
          <w:ilvl w:val="0"/>
          <w:numId w:val="6"/>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Petitum</w:t>
      </w:r>
      <w:r w:rsidR="006B6DD3" w:rsidRPr="007218D2">
        <w:rPr>
          <w:rFonts w:ascii="Times New Roman" w:eastAsia="Times New Roman" w:hAnsi="Times New Roman" w:cs="Times New Roman"/>
          <w:color w:val="000000" w:themeColor="text1"/>
        </w:rPr>
        <w:t xml:space="preserve"> dalam gug</w:t>
      </w:r>
      <w:r w:rsidRPr="007218D2">
        <w:rPr>
          <w:rFonts w:ascii="Times New Roman" w:eastAsia="Times New Roman" w:hAnsi="Times New Roman" w:cs="Times New Roman"/>
          <w:color w:val="000000" w:themeColor="text1"/>
        </w:rPr>
        <w:t xml:space="preserve">atan </w:t>
      </w:r>
      <w:r w:rsidRPr="007218D2">
        <w:rPr>
          <w:rFonts w:ascii="Times New Roman" w:eastAsia="Times New Roman" w:hAnsi="Times New Roman" w:cs="Times New Roman"/>
          <w:i/>
          <w:color w:val="000000" w:themeColor="text1"/>
        </w:rPr>
        <w:t>citizen lawsuit</w:t>
      </w:r>
      <w:r w:rsidRPr="007218D2">
        <w:rPr>
          <w:rFonts w:ascii="Times New Roman" w:eastAsia="Times New Roman" w:hAnsi="Times New Roman" w:cs="Times New Roman"/>
          <w:color w:val="000000" w:themeColor="text1"/>
        </w:rPr>
        <w:t>, tidak boleh memintakan adanya ganti rugi materil, namun harus berisi permohonan untuk negara agar mengeluarkan suatu kebijakan</w:t>
      </w:r>
      <w:r w:rsidR="000E5AD5" w:rsidRPr="007218D2">
        <w:rPr>
          <w:rFonts w:ascii="Times New Roman" w:eastAsia="Times New Roman" w:hAnsi="Times New Roman" w:cs="Times New Roman"/>
          <w:color w:val="000000" w:themeColor="text1"/>
        </w:rPr>
        <w:t xml:space="preserve"> yang mengatur umum atau publik</w:t>
      </w:r>
      <w:r w:rsidRPr="007218D2">
        <w:rPr>
          <w:rFonts w:ascii="Times New Roman" w:eastAsia="Times New Roman" w:hAnsi="Times New Roman" w:cs="Times New Roman"/>
          <w:color w:val="000000" w:themeColor="text1"/>
        </w:rPr>
        <w:t>, sehingga kelalaian dalam pemenuhan hak warga negara tidak terulang kembali pada masa yang akan datang.</w:t>
      </w:r>
      <w:r w:rsidRPr="007218D2">
        <w:rPr>
          <w:rStyle w:val="FootnoteReference"/>
          <w:rFonts w:ascii="Times New Roman" w:eastAsia="Times New Roman" w:hAnsi="Times New Roman" w:cs="Times New Roman"/>
          <w:color w:val="000000" w:themeColor="text1"/>
        </w:rPr>
        <w:footnoteReference w:id="19"/>
      </w:r>
    </w:p>
    <w:p w14:paraId="4C9282EE" w14:textId="2BB5D1C8" w:rsidR="00F31719" w:rsidRPr="007218D2" w:rsidRDefault="00966F25" w:rsidP="0081776B">
      <w:pPr>
        <w:ind w:left="1134" w:firstLine="720"/>
        <w:jc w:val="both"/>
        <w:rPr>
          <w:rFonts w:eastAsia="Times New Roman"/>
          <w:color w:val="000000" w:themeColor="text1"/>
        </w:rPr>
      </w:pPr>
      <w:r w:rsidRPr="007218D2">
        <w:rPr>
          <w:rFonts w:eastAsia="Times New Roman"/>
          <w:color w:val="000000" w:themeColor="text1"/>
        </w:rPr>
        <w:t xml:space="preserve">Dalam pelaksanaan gugatan </w:t>
      </w:r>
      <w:r w:rsidRPr="007218D2">
        <w:rPr>
          <w:rFonts w:eastAsia="Times New Roman"/>
          <w:i/>
          <w:color w:val="000000" w:themeColor="text1"/>
        </w:rPr>
        <w:t>citizen lawsuit</w:t>
      </w:r>
      <w:r w:rsidRPr="007218D2">
        <w:rPr>
          <w:rFonts w:eastAsia="Times New Roman"/>
          <w:color w:val="000000" w:themeColor="text1"/>
        </w:rPr>
        <w:t xml:space="preserve">, terdapat persyaratan yang harus dipenuhi. </w:t>
      </w:r>
      <w:r w:rsidRPr="007218D2">
        <w:rPr>
          <w:rFonts w:eastAsia="Times New Roman"/>
          <w:i/>
          <w:color w:val="000000" w:themeColor="text1"/>
        </w:rPr>
        <w:t>Pertama</w:t>
      </w:r>
      <w:r w:rsidRPr="007218D2">
        <w:rPr>
          <w:rFonts w:eastAsia="Times New Roman"/>
          <w:color w:val="000000" w:themeColor="text1"/>
        </w:rPr>
        <w:t xml:space="preserve">, Penggugat harus memiliki dasar atau </w:t>
      </w:r>
      <w:r w:rsidRPr="007218D2">
        <w:rPr>
          <w:rFonts w:eastAsia="Times New Roman"/>
          <w:i/>
          <w:color w:val="000000" w:themeColor="text1"/>
        </w:rPr>
        <w:t xml:space="preserve">standing </w:t>
      </w:r>
      <w:r w:rsidRPr="007218D2">
        <w:rPr>
          <w:rFonts w:eastAsia="Times New Roman"/>
          <w:color w:val="000000" w:themeColor="text1"/>
        </w:rPr>
        <w:t xml:space="preserve">untuk melaksanakan gugatan yaitu apabila ada kepentingan hukum berupa adanya kerugian yang telah dialami oleh Penggugat. Jika tidak memiliki </w:t>
      </w:r>
      <w:r w:rsidRPr="007218D2">
        <w:rPr>
          <w:rFonts w:eastAsia="Times New Roman"/>
          <w:i/>
          <w:color w:val="000000" w:themeColor="text1"/>
        </w:rPr>
        <w:t>standing</w:t>
      </w:r>
      <w:r w:rsidRPr="007218D2">
        <w:rPr>
          <w:rFonts w:eastAsia="Times New Roman"/>
          <w:color w:val="000000" w:themeColor="text1"/>
        </w:rPr>
        <w:t xml:space="preserve"> tersebut, maka tergugat dapat megajukan pembatalan gugatan. </w:t>
      </w:r>
      <w:r w:rsidRPr="007218D2">
        <w:rPr>
          <w:rFonts w:eastAsia="Times New Roman"/>
          <w:i/>
          <w:color w:val="000000" w:themeColor="text1"/>
        </w:rPr>
        <w:t>Kedua,</w:t>
      </w:r>
      <w:r w:rsidRPr="007218D2">
        <w:rPr>
          <w:rFonts w:eastAsia="Times New Roman"/>
          <w:color w:val="000000" w:themeColor="text1"/>
        </w:rPr>
        <w:t xml:space="preserve"> adanya notifikasi atau somasi</w:t>
      </w:r>
      <w:r w:rsidR="00BA2F09" w:rsidRPr="007218D2">
        <w:rPr>
          <w:rFonts w:eastAsia="Times New Roman"/>
          <w:color w:val="000000" w:themeColor="text1"/>
        </w:rPr>
        <w:t xml:space="preserve"> terlebih dahulu kepada penyelenggara negara sebelum pengajuan gugatan didaftarkan ke Pengadilan Negeri. Notifikasi atau somasi tersebut harus menjelaskan pelanggaran dan tuntutan apa yang menjadi dasar akan diajukannya gugatan.</w:t>
      </w:r>
      <w:r w:rsidR="00BA2F09" w:rsidRPr="007218D2">
        <w:rPr>
          <w:rStyle w:val="FootnoteReference"/>
          <w:rFonts w:eastAsia="Times New Roman"/>
          <w:color w:val="000000" w:themeColor="text1"/>
        </w:rPr>
        <w:footnoteReference w:id="20"/>
      </w:r>
    </w:p>
    <w:p w14:paraId="43073252" w14:textId="1A84A988" w:rsidR="00036197" w:rsidRPr="007218D2" w:rsidRDefault="00F26B49" w:rsidP="0081776B">
      <w:pPr>
        <w:ind w:left="1134" w:firstLine="720"/>
        <w:jc w:val="both"/>
        <w:rPr>
          <w:rFonts w:eastAsia="Times New Roman"/>
          <w:color w:val="000000" w:themeColor="text1"/>
        </w:rPr>
      </w:pPr>
      <w:r w:rsidRPr="007218D2">
        <w:rPr>
          <w:rFonts w:eastAsia="Times New Roman"/>
          <w:color w:val="000000" w:themeColor="text1"/>
        </w:rPr>
        <w:lastRenderedPageBreak/>
        <w:t>L</w:t>
      </w:r>
      <w:r w:rsidR="00036197" w:rsidRPr="007218D2">
        <w:rPr>
          <w:color w:val="000000" w:themeColor="text1"/>
        </w:rPr>
        <w:t>ampiran dari Keputusan Ketua Mahkamah Agung RI Nomor 36/KMA/SK/II/2013 tentang Pemberlakukan Pedoman Penanganan Per</w:t>
      </w:r>
      <w:r w:rsidRPr="007218D2">
        <w:rPr>
          <w:color w:val="000000" w:themeColor="text1"/>
        </w:rPr>
        <w:t xml:space="preserve">kara Lingkungan Hidup, juga </w:t>
      </w:r>
      <w:r w:rsidR="00966F25" w:rsidRPr="007218D2">
        <w:rPr>
          <w:color w:val="000000" w:themeColor="text1"/>
        </w:rPr>
        <w:t xml:space="preserve">menegaskan beberapa </w:t>
      </w:r>
      <w:r w:rsidR="00036197" w:rsidRPr="007218D2">
        <w:rPr>
          <w:color w:val="000000" w:themeColor="text1"/>
        </w:rPr>
        <w:t xml:space="preserve">persyaratan </w:t>
      </w:r>
      <w:r w:rsidR="00966F25" w:rsidRPr="007218D2">
        <w:rPr>
          <w:color w:val="000000" w:themeColor="text1"/>
        </w:rPr>
        <w:t xml:space="preserve">untuk mengajukan </w:t>
      </w:r>
      <w:r w:rsidR="00036197" w:rsidRPr="007218D2">
        <w:rPr>
          <w:color w:val="000000" w:themeColor="text1"/>
        </w:rPr>
        <w:t xml:space="preserve">gugatan </w:t>
      </w:r>
      <w:r w:rsidR="00966F25" w:rsidRPr="007218D2">
        <w:rPr>
          <w:color w:val="000000" w:themeColor="text1"/>
        </w:rPr>
        <w:t xml:space="preserve">warga negara, </w:t>
      </w:r>
      <w:r w:rsidR="00036197" w:rsidRPr="007218D2">
        <w:rPr>
          <w:color w:val="000000" w:themeColor="text1"/>
        </w:rPr>
        <w:t>adalah sebagai berikut:</w:t>
      </w:r>
    </w:p>
    <w:p w14:paraId="06223B6D" w14:textId="77777777" w:rsidR="00036197" w:rsidRPr="007218D2" w:rsidRDefault="00036197" w:rsidP="0081776B">
      <w:pPr>
        <w:pStyle w:val="ListParagraph"/>
        <w:numPr>
          <w:ilvl w:val="0"/>
          <w:numId w:val="6"/>
        </w:numPr>
        <w:ind w:left="1560"/>
        <w:jc w:val="both"/>
        <w:rPr>
          <w:rFonts w:ascii="Times New Roman" w:hAnsi="Times New Roman" w:cs="Times New Roman"/>
          <w:color w:val="000000" w:themeColor="text1"/>
        </w:rPr>
      </w:pPr>
      <w:r w:rsidRPr="007218D2">
        <w:rPr>
          <w:rFonts w:ascii="Times New Roman" w:hAnsi="Times New Roman" w:cs="Times New Roman"/>
          <w:color w:val="000000" w:themeColor="text1"/>
        </w:rPr>
        <w:t>Penggugat adalah satu orang atau lebih Warga Negara Indonesia, dan bukan merupakan badan hukum;</w:t>
      </w:r>
    </w:p>
    <w:p w14:paraId="6A4E6A96" w14:textId="77777777" w:rsidR="00036197" w:rsidRPr="007218D2" w:rsidRDefault="00036197" w:rsidP="0081776B">
      <w:pPr>
        <w:pStyle w:val="ListParagraph"/>
        <w:numPr>
          <w:ilvl w:val="0"/>
          <w:numId w:val="6"/>
        </w:numPr>
        <w:ind w:left="1560"/>
        <w:jc w:val="both"/>
        <w:rPr>
          <w:rFonts w:ascii="Times New Roman" w:hAnsi="Times New Roman" w:cs="Times New Roman"/>
          <w:color w:val="000000" w:themeColor="text1"/>
        </w:rPr>
      </w:pPr>
      <w:r w:rsidRPr="007218D2">
        <w:rPr>
          <w:rFonts w:ascii="Times New Roman" w:hAnsi="Times New Roman" w:cs="Times New Roman"/>
          <w:color w:val="000000" w:themeColor="text1"/>
        </w:rPr>
        <w:t>Tergugat adalah pemerintah dan/atau lembaga negara;</w:t>
      </w:r>
    </w:p>
    <w:p w14:paraId="5D5BD9DA" w14:textId="77777777" w:rsidR="00036197" w:rsidRPr="007218D2" w:rsidRDefault="00036197" w:rsidP="0081776B">
      <w:pPr>
        <w:pStyle w:val="ListParagraph"/>
        <w:numPr>
          <w:ilvl w:val="0"/>
          <w:numId w:val="6"/>
        </w:numPr>
        <w:ind w:left="1560"/>
        <w:jc w:val="both"/>
        <w:rPr>
          <w:rFonts w:ascii="Times New Roman" w:hAnsi="Times New Roman" w:cs="Times New Roman"/>
          <w:color w:val="000000" w:themeColor="text1"/>
        </w:rPr>
      </w:pPr>
      <w:r w:rsidRPr="007218D2">
        <w:rPr>
          <w:rFonts w:ascii="Times New Roman" w:hAnsi="Times New Roman" w:cs="Times New Roman"/>
          <w:color w:val="000000" w:themeColor="text1"/>
        </w:rPr>
        <w:t>Dasar gugatan adalah untuk kepentingan umum;</w:t>
      </w:r>
    </w:p>
    <w:p w14:paraId="27C16679" w14:textId="1B0B940B" w:rsidR="00036197" w:rsidRPr="007218D2" w:rsidRDefault="00036197" w:rsidP="0081776B">
      <w:pPr>
        <w:pStyle w:val="ListParagraph"/>
        <w:numPr>
          <w:ilvl w:val="0"/>
          <w:numId w:val="6"/>
        </w:numPr>
        <w:ind w:left="1560"/>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Objek gugatan adalah </w:t>
      </w:r>
      <w:r w:rsidR="006B6DD3" w:rsidRPr="007218D2">
        <w:rPr>
          <w:rFonts w:ascii="Times New Roman" w:hAnsi="Times New Roman" w:cs="Times New Roman"/>
          <w:color w:val="000000" w:themeColor="text1"/>
        </w:rPr>
        <w:t xml:space="preserve">adanya pembiaran atau </w:t>
      </w:r>
      <w:r w:rsidRPr="007218D2">
        <w:rPr>
          <w:rFonts w:ascii="Times New Roman" w:hAnsi="Times New Roman" w:cs="Times New Roman"/>
          <w:color w:val="000000" w:themeColor="text1"/>
        </w:rPr>
        <w:t>tidak dilaksanakannya kewajiban hukum;</w:t>
      </w:r>
    </w:p>
    <w:p w14:paraId="41850779" w14:textId="32F50BD9" w:rsidR="00036197" w:rsidRPr="007218D2" w:rsidRDefault="00036197" w:rsidP="0081776B">
      <w:pPr>
        <w:pStyle w:val="ListParagraph"/>
        <w:numPr>
          <w:ilvl w:val="0"/>
          <w:numId w:val="6"/>
        </w:numPr>
        <w:ind w:left="1560"/>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Notifikasi atau somasi wajib diajukan </w:t>
      </w:r>
      <w:r w:rsidR="006B6DD3" w:rsidRPr="007218D2">
        <w:rPr>
          <w:rFonts w:ascii="Times New Roman" w:hAnsi="Times New Roman" w:cs="Times New Roman"/>
          <w:color w:val="000000" w:themeColor="text1"/>
        </w:rPr>
        <w:t xml:space="preserve">oleh calon penggugat kepada calon tergugat </w:t>
      </w:r>
      <w:r w:rsidRPr="007218D2">
        <w:rPr>
          <w:rFonts w:ascii="Times New Roman" w:hAnsi="Times New Roman" w:cs="Times New Roman"/>
          <w:color w:val="000000" w:themeColor="text1"/>
        </w:rPr>
        <w:t xml:space="preserve">dalam jangka waktu 60 (enam puluh) hari kerja sebelum </w:t>
      </w:r>
      <w:r w:rsidR="006B6DD3" w:rsidRPr="007218D2">
        <w:rPr>
          <w:rFonts w:ascii="Times New Roman" w:hAnsi="Times New Roman" w:cs="Times New Roman"/>
          <w:color w:val="000000" w:themeColor="text1"/>
        </w:rPr>
        <w:t>dilakukannya</w:t>
      </w:r>
      <w:r w:rsidRPr="007218D2">
        <w:rPr>
          <w:rFonts w:ascii="Times New Roman" w:hAnsi="Times New Roman" w:cs="Times New Roman"/>
          <w:color w:val="000000" w:themeColor="text1"/>
        </w:rPr>
        <w:t xml:space="preserve"> gugatan dan</w:t>
      </w:r>
      <w:r w:rsidR="006B6DD3" w:rsidRPr="007218D2">
        <w:rPr>
          <w:rFonts w:ascii="Times New Roman" w:hAnsi="Times New Roman" w:cs="Times New Roman"/>
          <w:color w:val="000000" w:themeColor="text1"/>
        </w:rPr>
        <w:t xml:space="preserve"> hal tersebut</w:t>
      </w:r>
      <w:r w:rsidRPr="007218D2">
        <w:rPr>
          <w:rFonts w:ascii="Times New Roman" w:hAnsi="Times New Roman" w:cs="Times New Roman"/>
          <w:color w:val="000000" w:themeColor="text1"/>
        </w:rPr>
        <w:t xml:space="preserve"> sifatnya </w:t>
      </w:r>
      <w:r w:rsidR="006B6DD3" w:rsidRPr="007218D2">
        <w:rPr>
          <w:rFonts w:ascii="Times New Roman" w:hAnsi="Times New Roman" w:cs="Times New Roman"/>
          <w:color w:val="000000" w:themeColor="text1"/>
        </w:rPr>
        <w:t xml:space="preserve">adalah </w:t>
      </w:r>
      <w:r w:rsidRPr="007218D2">
        <w:rPr>
          <w:rFonts w:ascii="Times New Roman" w:hAnsi="Times New Roman" w:cs="Times New Roman"/>
          <w:color w:val="000000" w:themeColor="text1"/>
        </w:rPr>
        <w:t>wajib. Apabila tidak ada notifikasi atau somasi kepada calon tergugat, ma</w:t>
      </w:r>
      <w:r w:rsidR="00A205F8" w:rsidRPr="007218D2">
        <w:rPr>
          <w:rFonts w:ascii="Times New Roman" w:hAnsi="Times New Roman" w:cs="Times New Roman"/>
          <w:color w:val="000000" w:themeColor="text1"/>
        </w:rPr>
        <w:t>k</w:t>
      </w:r>
      <w:r w:rsidRPr="007218D2">
        <w:rPr>
          <w:rFonts w:ascii="Times New Roman" w:hAnsi="Times New Roman" w:cs="Times New Roman"/>
          <w:color w:val="000000" w:themeColor="text1"/>
        </w:rPr>
        <w:t xml:space="preserve">a gugatan </w:t>
      </w:r>
      <w:r w:rsidR="00A205F8" w:rsidRPr="007218D2">
        <w:rPr>
          <w:rFonts w:ascii="Times New Roman" w:hAnsi="Times New Roman" w:cs="Times New Roman"/>
          <w:color w:val="000000" w:themeColor="text1"/>
        </w:rPr>
        <w:t xml:space="preserve">tersebut </w:t>
      </w:r>
      <w:r w:rsidRPr="007218D2">
        <w:rPr>
          <w:rFonts w:ascii="Times New Roman" w:hAnsi="Times New Roman" w:cs="Times New Roman"/>
          <w:color w:val="000000" w:themeColor="text1"/>
        </w:rPr>
        <w:t xml:space="preserve">wajib </w:t>
      </w:r>
      <w:r w:rsidR="00A205F8" w:rsidRPr="007218D2">
        <w:rPr>
          <w:rFonts w:ascii="Times New Roman" w:hAnsi="Times New Roman" w:cs="Times New Roman"/>
          <w:color w:val="000000" w:themeColor="text1"/>
        </w:rPr>
        <w:t xml:space="preserve">dinyatakan </w:t>
      </w:r>
      <w:r w:rsidRPr="007218D2">
        <w:rPr>
          <w:rFonts w:ascii="Times New Roman" w:hAnsi="Times New Roman" w:cs="Times New Roman"/>
          <w:color w:val="000000" w:themeColor="text1"/>
        </w:rPr>
        <w:t>tidak diterima;</w:t>
      </w:r>
    </w:p>
    <w:p w14:paraId="277C8CCB" w14:textId="77777777" w:rsidR="00036197" w:rsidRPr="007218D2" w:rsidRDefault="00036197" w:rsidP="0081776B">
      <w:pPr>
        <w:pStyle w:val="ListParagraph"/>
        <w:numPr>
          <w:ilvl w:val="0"/>
          <w:numId w:val="6"/>
        </w:numPr>
        <w:ind w:left="1560"/>
        <w:jc w:val="both"/>
        <w:rPr>
          <w:rFonts w:ascii="Times New Roman" w:hAnsi="Times New Roman" w:cs="Times New Roman"/>
          <w:color w:val="000000" w:themeColor="text1"/>
        </w:rPr>
      </w:pPr>
      <w:r w:rsidRPr="007218D2">
        <w:rPr>
          <w:rFonts w:ascii="Times New Roman" w:hAnsi="Times New Roman" w:cs="Times New Roman"/>
          <w:color w:val="000000" w:themeColor="text1"/>
        </w:rPr>
        <w:t>Notifikasi atau somasi dari calon penggugat kepada calon tergugat, memberikan tembusan kepada Ketua Pengadilan setempat;</w:t>
      </w:r>
    </w:p>
    <w:p w14:paraId="58625D18" w14:textId="79A65E87" w:rsidR="00D078DD" w:rsidRPr="007218D2" w:rsidRDefault="00036197" w:rsidP="0081776B">
      <w:pPr>
        <w:pStyle w:val="ListParagraph"/>
        <w:numPr>
          <w:ilvl w:val="0"/>
          <w:numId w:val="6"/>
        </w:numPr>
        <w:ind w:left="1560"/>
        <w:jc w:val="both"/>
        <w:rPr>
          <w:rFonts w:ascii="Times New Roman" w:hAnsi="Times New Roman" w:cs="Times New Roman"/>
          <w:color w:val="000000" w:themeColor="text1"/>
        </w:rPr>
      </w:pPr>
      <w:r w:rsidRPr="007218D2">
        <w:rPr>
          <w:rFonts w:ascii="Times New Roman" w:hAnsi="Times New Roman" w:cs="Times New Roman"/>
          <w:color w:val="000000" w:themeColor="text1"/>
        </w:rPr>
        <w:t>Jangka waktu 60 (enam puluh) hari kerja memiliki tujuan untuk memberikan calon tergugat atau pemerintah agar memiliki kesempatan untuk melaksanakan kewajiban hukumnya sebagaimana diminta atau dituntut oleh calon penggugat.</w:t>
      </w:r>
      <w:r w:rsidRPr="007218D2">
        <w:rPr>
          <w:rStyle w:val="FootnoteReference"/>
          <w:rFonts w:ascii="Times New Roman" w:hAnsi="Times New Roman" w:cs="Times New Roman"/>
          <w:color w:val="000000" w:themeColor="text1"/>
        </w:rPr>
        <w:footnoteReference w:id="21"/>
      </w:r>
    </w:p>
    <w:p w14:paraId="64BEAA48" w14:textId="1BAF9521" w:rsidR="00D078DD" w:rsidRPr="007218D2" w:rsidRDefault="00D078DD" w:rsidP="0081776B">
      <w:pPr>
        <w:ind w:left="1080" w:firstLine="720"/>
        <w:jc w:val="both"/>
        <w:rPr>
          <w:rFonts w:eastAsia="Times New Roman"/>
          <w:color w:val="000000" w:themeColor="text1"/>
        </w:rPr>
      </w:pPr>
      <w:r w:rsidRPr="007218D2">
        <w:rPr>
          <w:rFonts w:eastAsia="Times New Roman"/>
          <w:color w:val="000000" w:themeColor="text1"/>
        </w:rPr>
        <w:t xml:space="preserve">Berdasarkan penjelasan mengenai persyaratan dalam mengajukan gugatan </w:t>
      </w:r>
      <w:r w:rsidRPr="007218D2">
        <w:rPr>
          <w:rFonts w:eastAsia="Times New Roman"/>
          <w:i/>
          <w:color w:val="000000" w:themeColor="text1"/>
        </w:rPr>
        <w:t>citizen lawsuit</w:t>
      </w:r>
      <w:r w:rsidRPr="007218D2">
        <w:rPr>
          <w:rFonts w:eastAsia="Times New Roman"/>
          <w:color w:val="000000" w:themeColor="text1"/>
        </w:rPr>
        <w:t xml:space="preserve"> sebagaimana diuraikan di atas, notifikasi atau somasi merupakan merupakan hal penting yang perlu dilakukan di awal sebelum mengajukan gugatan ke Pengadilan Negeri. Dalam hal ini, notifikasi atau somasi memiliki tujuan sebagai berikut:</w:t>
      </w:r>
    </w:p>
    <w:p w14:paraId="14D7CF2F" w14:textId="79B8214A" w:rsidR="00D078DD" w:rsidRPr="007218D2" w:rsidRDefault="00D078DD" w:rsidP="0081776B">
      <w:pPr>
        <w:pStyle w:val="ListParagraph"/>
        <w:numPr>
          <w:ilvl w:val="0"/>
          <w:numId w:val="9"/>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Memberikan kesempatan atau dorongan bagi pelanggar agar dapat melakukan penataan;</w:t>
      </w:r>
    </w:p>
    <w:p w14:paraId="71D0FE49" w14:textId="75CB17CD" w:rsidR="00D078DD" w:rsidRPr="007218D2" w:rsidRDefault="00D078DD" w:rsidP="0081776B">
      <w:pPr>
        <w:pStyle w:val="ListParagraph"/>
        <w:numPr>
          <w:ilvl w:val="0"/>
          <w:numId w:val="9"/>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 xml:space="preserve">Memberikan kesempatan secara adil kepada tergugat untuk </w:t>
      </w:r>
      <w:r w:rsidR="007542DC" w:rsidRPr="007218D2">
        <w:rPr>
          <w:rFonts w:ascii="Times New Roman" w:eastAsia="Times New Roman" w:hAnsi="Times New Roman" w:cs="Times New Roman"/>
          <w:color w:val="000000" w:themeColor="text1"/>
        </w:rPr>
        <w:t xml:space="preserve">dapat </w:t>
      </w:r>
      <w:r w:rsidRPr="007218D2">
        <w:rPr>
          <w:rFonts w:ascii="Times New Roman" w:eastAsia="Times New Roman" w:hAnsi="Times New Roman" w:cs="Times New Roman"/>
          <w:color w:val="000000" w:themeColor="text1"/>
        </w:rPr>
        <w:t>memberikan bantaha</w:t>
      </w:r>
      <w:r w:rsidR="007542DC" w:rsidRPr="007218D2">
        <w:rPr>
          <w:rFonts w:ascii="Times New Roman" w:eastAsia="Times New Roman" w:hAnsi="Times New Roman" w:cs="Times New Roman"/>
          <w:color w:val="000000" w:themeColor="text1"/>
        </w:rPr>
        <w:t>n di tahap paling awal dalam proses penanganan perkara;</w:t>
      </w:r>
    </w:p>
    <w:p w14:paraId="3808B928" w14:textId="24CA856F" w:rsidR="007542DC" w:rsidRPr="007218D2" w:rsidRDefault="007542DC" w:rsidP="0081776B">
      <w:pPr>
        <w:pStyle w:val="ListParagraph"/>
        <w:numPr>
          <w:ilvl w:val="0"/>
          <w:numId w:val="9"/>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Kegagalan dalam menyediakan notifikasi atau somasi dapat dipergunakan sebagai salah satu alasan gugatan ditolak;</w:t>
      </w:r>
    </w:p>
    <w:p w14:paraId="39F8C617" w14:textId="137085E1" w:rsidR="006C23C7" w:rsidRPr="007218D2" w:rsidRDefault="007542DC" w:rsidP="0081776B">
      <w:pPr>
        <w:pStyle w:val="ListParagraph"/>
        <w:numPr>
          <w:ilvl w:val="0"/>
          <w:numId w:val="9"/>
        </w:numPr>
        <w:ind w:left="1560"/>
        <w:jc w:val="both"/>
        <w:rPr>
          <w:rFonts w:ascii="Times New Roman" w:eastAsia="Times New Roman" w:hAnsi="Times New Roman" w:cs="Times New Roman"/>
          <w:color w:val="000000" w:themeColor="text1"/>
        </w:rPr>
      </w:pPr>
      <w:r w:rsidRPr="007218D2">
        <w:rPr>
          <w:rFonts w:ascii="Times New Roman" w:eastAsia="Times New Roman" w:hAnsi="Times New Roman" w:cs="Times New Roman"/>
          <w:color w:val="000000" w:themeColor="text1"/>
        </w:rPr>
        <w:t>Memberikan kepastian kepada para pihak dengan mengajukan gugatan y</w:t>
      </w:r>
      <w:r w:rsidR="00B51253" w:rsidRPr="007218D2">
        <w:rPr>
          <w:rFonts w:ascii="Times New Roman" w:eastAsia="Times New Roman" w:hAnsi="Times New Roman" w:cs="Times New Roman"/>
          <w:color w:val="000000" w:themeColor="text1"/>
        </w:rPr>
        <w:t>ang diengkapi</w:t>
      </w:r>
      <w:r w:rsidRPr="007218D2">
        <w:rPr>
          <w:rFonts w:ascii="Times New Roman" w:eastAsia="Times New Roman" w:hAnsi="Times New Roman" w:cs="Times New Roman"/>
          <w:color w:val="000000" w:themeColor="text1"/>
        </w:rPr>
        <w:t xml:space="preserve"> dengan fakta yang akurat.</w:t>
      </w:r>
      <w:r w:rsidRPr="007218D2">
        <w:rPr>
          <w:rStyle w:val="FootnoteReference"/>
          <w:rFonts w:ascii="Times New Roman" w:eastAsia="Times New Roman" w:hAnsi="Times New Roman" w:cs="Times New Roman"/>
          <w:color w:val="000000" w:themeColor="text1"/>
        </w:rPr>
        <w:footnoteReference w:id="22"/>
      </w:r>
    </w:p>
    <w:p w14:paraId="7EB6CBAC" w14:textId="1730E9A2" w:rsidR="006C23C7" w:rsidRPr="007218D2" w:rsidRDefault="006C23C7" w:rsidP="0081776B">
      <w:pPr>
        <w:ind w:left="1069" w:firstLine="720"/>
        <w:jc w:val="both"/>
        <w:rPr>
          <w:rFonts w:eastAsia="Times New Roman"/>
          <w:color w:val="000000" w:themeColor="text1"/>
        </w:rPr>
      </w:pPr>
      <w:r w:rsidRPr="007218D2">
        <w:rPr>
          <w:rFonts w:eastAsia="Times New Roman"/>
          <w:color w:val="000000" w:themeColor="text1"/>
        </w:rPr>
        <w:t>Tahapan beracara pada praktik</w:t>
      </w:r>
      <w:r w:rsidR="00244EC3" w:rsidRPr="007218D2">
        <w:rPr>
          <w:rFonts w:eastAsia="Times New Roman"/>
          <w:color w:val="000000" w:themeColor="text1"/>
        </w:rPr>
        <w:t xml:space="preserve"> persidangan dengan gugatan </w:t>
      </w:r>
      <w:r w:rsidR="00244EC3" w:rsidRPr="007218D2">
        <w:rPr>
          <w:rFonts w:eastAsia="Times New Roman"/>
          <w:i/>
          <w:color w:val="000000" w:themeColor="text1"/>
        </w:rPr>
        <w:t xml:space="preserve">citizen lawsuit </w:t>
      </w:r>
      <w:r w:rsidR="00244EC3" w:rsidRPr="007218D2">
        <w:rPr>
          <w:rFonts w:eastAsia="Times New Roman"/>
          <w:color w:val="000000" w:themeColor="text1"/>
        </w:rPr>
        <w:t>di peradilan umum, memiliki tahapan beracara yang sama dengan gugatan perdata pada umumnya. Tahapan beracara yang dimaksud adalah mediasi, pembacaan gugatan, eksepsi dan jawaban dari tergugat, replik dan duplik, pembuktian, kesimpulan, kemudian pembacaan putusan.</w:t>
      </w:r>
      <w:r w:rsidR="00244EC3" w:rsidRPr="007218D2">
        <w:rPr>
          <w:rStyle w:val="FootnoteReference"/>
          <w:rFonts w:eastAsia="Times New Roman"/>
          <w:color w:val="000000" w:themeColor="text1"/>
        </w:rPr>
        <w:footnoteReference w:id="23"/>
      </w:r>
    </w:p>
    <w:p w14:paraId="55ED0EC4" w14:textId="332EF2B3" w:rsidR="00825C79" w:rsidRPr="007218D2" w:rsidRDefault="00B51253" w:rsidP="00340F4F">
      <w:pPr>
        <w:ind w:left="1069" w:firstLine="720"/>
        <w:jc w:val="both"/>
        <w:rPr>
          <w:rFonts w:eastAsia="Times New Roman"/>
          <w:color w:val="000000" w:themeColor="text1"/>
        </w:rPr>
      </w:pPr>
      <w:r w:rsidRPr="007218D2">
        <w:rPr>
          <w:rFonts w:eastAsia="Times New Roman"/>
          <w:color w:val="000000" w:themeColor="text1"/>
        </w:rPr>
        <w:t xml:space="preserve">Secara normatif, memang tidak ada peraturan perundang-undangan atau yang mengatur mengenai gugatan </w:t>
      </w:r>
      <w:r w:rsidRPr="007218D2">
        <w:rPr>
          <w:rFonts w:eastAsia="Times New Roman"/>
          <w:i/>
          <w:color w:val="000000" w:themeColor="text1"/>
        </w:rPr>
        <w:t>citizen lawsuit</w:t>
      </w:r>
      <w:r w:rsidRPr="007218D2">
        <w:rPr>
          <w:rFonts w:eastAsia="Times New Roman"/>
          <w:color w:val="000000" w:themeColor="text1"/>
        </w:rPr>
        <w:t xml:space="preserve"> di Indonesia. Tetapi dikarenakan sudah ada beberapa perkara </w:t>
      </w:r>
      <w:r w:rsidRPr="007218D2">
        <w:rPr>
          <w:rFonts w:eastAsia="Times New Roman"/>
          <w:i/>
          <w:color w:val="000000" w:themeColor="text1"/>
        </w:rPr>
        <w:t>citizen lawsuit</w:t>
      </w:r>
      <w:r w:rsidRPr="007218D2">
        <w:rPr>
          <w:rFonts w:eastAsia="Times New Roman"/>
          <w:color w:val="000000" w:themeColor="text1"/>
        </w:rPr>
        <w:t xml:space="preserve"> yang pernah diajukan, maka hal tersebut menunjukan bahwa terdapat legitimasi dari peradilan dan sudah ada perkara yang dikabulkan, dimana hal tersebut menjadi yurisprudensi di Indonesia.</w:t>
      </w:r>
      <w:r w:rsidR="00677BAB" w:rsidRPr="007218D2">
        <w:rPr>
          <w:rFonts w:eastAsia="Times New Roman"/>
          <w:color w:val="000000" w:themeColor="text1"/>
        </w:rPr>
        <w:t xml:space="preserve"> Dalam hal ini, </w:t>
      </w:r>
      <w:r w:rsidR="00677BAB" w:rsidRPr="007218D2">
        <w:rPr>
          <w:rFonts w:eastAsia="Times New Roman"/>
          <w:color w:val="000000" w:themeColor="text1"/>
        </w:rPr>
        <w:lastRenderedPageBreak/>
        <w:t>m</w:t>
      </w:r>
      <w:r w:rsidR="00B06858" w:rsidRPr="007218D2">
        <w:rPr>
          <w:rFonts w:eastAsia="Times New Roman"/>
          <w:color w:val="000000" w:themeColor="text1"/>
        </w:rPr>
        <w:t xml:space="preserve">ekanisme </w:t>
      </w:r>
      <w:r w:rsidR="00677BAB" w:rsidRPr="007218D2">
        <w:rPr>
          <w:rFonts w:eastAsia="Times New Roman"/>
          <w:color w:val="000000" w:themeColor="text1"/>
        </w:rPr>
        <w:t xml:space="preserve">gugatan </w:t>
      </w:r>
      <w:r w:rsidR="00677BAB" w:rsidRPr="007218D2">
        <w:rPr>
          <w:rFonts w:eastAsia="Times New Roman"/>
          <w:i/>
          <w:color w:val="000000" w:themeColor="text1"/>
        </w:rPr>
        <w:t>citizen lawsuit</w:t>
      </w:r>
      <w:r w:rsidR="00677BAB" w:rsidRPr="007218D2">
        <w:rPr>
          <w:rFonts w:eastAsia="Times New Roman"/>
          <w:color w:val="000000" w:themeColor="text1"/>
        </w:rPr>
        <w:t xml:space="preserve"> memberikan kesempatan kepada warga negara untuk dapat berpartisipasi dalam pembangunan dan pembentukan kebijakan.</w:t>
      </w:r>
      <w:r w:rsidR="00677BAB" w:rsidRPr="007218D2">
        <w:rPr>
          <w:rStyle w:val="FootnoteReference"/>
          <w:rFonts w:eastAsia="Times New Roman"/>
          <w:color w:val="000000" w:themeColor="text1"/>
        </w:rPr>
        <w:footnoteReference w:id="24"/>
      </w:r>
    </w:p>
    <w:p w14:paraId="3F9CFA18" w14:textId="77777777" w:rsidR="00340F4F" w:rsidRPr="007218D2" w:rsidRDefault="00340F4F" w:rsidP="00340F4F">
      <w:pPr>
        <w:ind w:left="1069" w:firstLine="720"/>
        <w:jc w:val="both"/>
        <w:rPr>
          <w:rFonts w:eastAsia="Times New Roman"/>
          <w:color w:val="000000" w:themeColor="text1"/>
        </w:rPr>
      </w:pPr>
    </w:p>
    <w:p w14:paraId="6611A995" w14:textId="63F42DB5" w:rsidR="009241A2" w:rsidRPr="007218D2" w:rsidRDefault="00CE3C05" w:rsidP="0081776B">
      <w:pPr>
        <w:pStyle w:val="ListParagraph"/>
        <w:numPr>
          <w:ilvl w:val="0"/>
          <w:numId w:val="10"/>
        </w:numPr>
        <w:jc w:val="both"/>
        <w:rPr>
          <w:rFonts w:ascii="Times New Roman" w:hAnsi="Times New Roman" w:cs="Times New Roman"/>
          <w:b/>
          <w:color w:val="000000" w:themeColor="text1"/>
        </w:rPr>
      </w:pPr>
      <w:r w:rsidRPr="007218D2">
        <w:rPr>
          <w:rFonts w:ascii="Times New Roman" w:hAnsi="Times New Roman" w:cs="Times New Roman"/>
          <w:b/>
          <w:color w:val="000000" w:themeColor="text1"/>
        </w:rPr>
        <w:t xml:space="preserve">Contoh Kasus </w:t>
      </w:r>
      <w:r w:rsidRPr="007218D2">
        <w:rPr>
          <w:rFonts w:ascii="Times New Roman" w:hAnsi="Times New Roman" w:cs="Times New Roman"/>
          <w:b/>
          <w:i/>
          <w:color w:val="000000" w:themeColor="text1"/>
        </w:rPr>
        <w:t>Citizen Lawsuit</w:t>
      </w:r>
      <w:r w:rsidRPr="007218D2">
        <w:rPr>
          <w:rFonts w:ascii="Times New Roman" w:hAnsi="Times New Roman" w:cs="Times New Roman"/>
          <w:b/>
          <w:color w:val="000000" w:themeColor="text1"/>
        </w:rPr>
        <w:t xml:space="preserve"> di Indonesia</w:t>
      </w:r>
    </w:p>
    <w:p w14:paraId="3B8F270F" w14:textId="36761A24" w:rsidR="00435BFE" w:rsidRPr="007218D2" w:rsidRDefault="008F0E67" w:rsidP="0081776B">
      <w:pPr>
        <w:pStyle w:val="ListParagraph"/>
        <w:ind w:left="1069" w:firstLine="720"/>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Di Indonesia, </w:t>
      </w:r>
      <w:r w:rsidR="00435BFE" w:rsidRPr="007218D2">
        <w:rPr>
          <w:rFonts w:ascii="Times New Roman" w:hAnsi="Times New Roman" w:cs="Times New Roman"/>
          <w:color w:val="000000" w:themeColor="text1"/>
        </w:rPr>
        <w:t xml:space="preserve">penerimaan pertama </w:t>
      </w:r>
      <w:r w:rsidRPr="007218D2">
        <w:rPr>
          <w:rFonts w:ascii="Times New Roman" w:hAnsi="Times New Roman" w:cs="Times New Roman"/>
          <w:color w:val="000000" w:themeColor="text1"/>
        </w:rPr>
        <w:t xml:space="preserve">gugatan </w:t>
      </w:r>
      <w:r w:rsidRPr="007218D2">
        <w:rPr>
          <w:rFonts w:ascii="Times New Roman" w:hAnsi="Times New Roman" w:cs="Times New Roman"/>
          <w:i/>
          <w:color w:val="000000" w:themeColor="text1"/>
        </w:rPr>
        <w:t>citizen lawsuit</w:t>
      </w:r>
      <w:r w:rsidR="005B2C38" w:rsidRPr="007218D2">
        <w:rPr>
          <w:rFonts w:ascii="Times New Roman" w:hAnsi="Times New Roman" w:cs="Times New Roman"/>
          <w:color w:val="000000" w:themeColor="text1"/>
        </w:rPr>
        <w:t xml:space="preserve"> adalah perkara dalam putusan nomor 28/Pdt.G/2003/PN.JKT.PST</w:t>
      </w:r>
      <w:r w:rsidR="006F0454" w:rsidRPr="007218D2">
        <w:rPr>
          <w:rFonts w:ascii="Times New Roman" w:hAnsi="Times New Roman" w:cs="Times New Roman"/>
          <w:color w:val="000000" w:themeColor="text1"/>
        </w:rPr>
        <w:t xml:space="preserve"> yang diputus pada 8 Desember 2003</w:t>
      </w:r>
      <w:r w:rsidR="005B2C38" w:rsidRPr="007218D2">
        <w:rPr>
          <w:rFonts w:ascii="Times New Roman" w:hAnsi="Times New Roman" w:cs="Times New Roman"/>
          <w:color w:val="000000" w:themeColor="text1"/>
        </w:rPr>
        <w:t>.</w:t>
      </w:r>
      <w:r w:rsidR="006F0454" w:rsidRPr="007218D2">
        <w:rPr>
          <w:rStyle w:val="FootnoteReference"/>
          <w:rFonts w:ascii="Times New Roman" w:hAnsi="Times New Roman" w:cs="Times New Roman"/>
          <w:color w:val="000000" w:themeColor="text1"/>
        </w:rPr>
        <w:footnoteReference w:id="25"/>
      </w:r>
      <w:r w:rsidR="006F0454" w:rsidRPr="007218D2">
        <w:rPr>
          <w:rFonts w:ascii="Times New Roman" w:hAnsi="Times New Roman" w:cs="Times New Roman"/>
          <w:color w:val="000000" w:themeColor="text1"/>
        </w:rPr>
        <w:t xml:space="preserve"> </w:t>
      </w:r>
      <w:r w:rsidR="005B2C38" w:rsidRPr="007218D2">
        <w:rPr>
          <w:rFonts w:ascii="Times New Roman" w:hAnsi="Times New Roman" w:cs="Times New Roman"/>
          <w:color w:val="000000" w:themeColor="text1"/>
        </w:rPr>
        <w:t xml:space="preserve"> Kasus tersebut </w:t>
      </w:r>
      <w:r w:rsidR="006F0454" w:rsidRPr="007218D2">
        <w:rPr>
          <w:rFonts w:ascii="Times New Roman" w:hAnsi="Times New Roman" w:cs="Times New Roman"/>
          <w:color w:val="000000" w:themeColor="text1"/>
        </w:rPr>
        <w:t xml:space="preserve">diajukan oleh 53 (lima puluh tiga) orang penggugat </w:t>
      </w:r>
      <w:r w:rsidR="00435BFE" w:rsidRPr="007218D2">
        <w:rPr>
          <w:rFonts w:ascii="Times New Roman" w:hAnsi="Times New Roman" w:cs="Times New Roman"/>
          <w:color w:val="000000" w:themeColor="text1"/>
        </w:rPr>
        <w:t xml:space="preserve">atas nama Munir CS </w:t>
      </w:r>
      <w:r w:rsidR="006F0454" w:rsidRPr="007218D2">
        <w:rPr>
          <w:rFonts w:ascii="Times New Roman" w:hAnsi="Times New Roman" w:cs="Times New Roman"/>
          <w:color w:val="000000" w:themeColor="text1"/>
        </w:rPr>
        <w:t>kepada tergugatnya yaitu Presiden Megawati Soekarno Putri</w:t>
      </w:r>
      <w:r w:rsidR="00F95554" w:rsidRPr="007218D2">
        <w:rPr>
          <w:rFonts w:ascii="Times New Roman" w:hAnsi="Times New Roman" w:cs="Times New Roman"/>
          <w:color w:val="000000" w:themeColor="text1"/>
        </w:rPr>
        <w:t xml:space="preserve"> atas penelantaran negara terhadap Tenaga Kerja Indonesia </w:t>
      </w:r>
      <w:r w:rsidR="00FA4522" w:rsidRPr="007218D2">
        <w:rPr>
          <w:rFonts w:ascii="Times New Roman" w:hAnsi="Times New Roman" w:cs="Times New Roman"/>
          <w:color w:val="000000" w:themeColor="text1"/>
        </w:rPr>
        <w:t xml:space="preserve">Migran </w:t>
      </w:r>
      <w:r w:rsidR="00F95554" w:rsidRPr="007218D2">
        <w:rPr>
          <w:rFonts w:ascii="Times New Roman" w:hAnsi="Times New Roman" w:cs="Times New Roman"/>
          <w:color w:val="000000" w:themeColor="text1"/>
        </w:rPr>
        <w:t>yang</w:t>
      </w:r>
      <w:r w:rsidR="00FA4522" w:rsidRPr="007218D2">
        <w:rPr>
          <w:rFonts w:ascii="Times New Roman" w:hAnsi="Times New Roman" w:cs="Times New Roman"/>
          <w:color w:val="000000" w:themeColor="text1"/>
        </w:rPr>
        <w:t xml:space="preserve"> dideportasi dari Malaysia ke Nunukan, Kalimantan</w:t>
      </w:r>
      <w:r w:rsidR="00435BFE" w:rsidRPr="007218D2">
        <w:rPr>
          <w:rFonts w:ascii="Times New Roman" w:hAnsi="Times New Roman" w:cs="Times New Roman"/>
          <w:color w:val="000000" w:themeColor="text1"/>
        </w:rPr>
        <w:t xml:space="preserve">. Walaupun pertimbanagn hakim mengenai gugatan </w:t>
      </w:r>
      <w:r w:rsidR="00435BFE" w:rsidRPr="007218D2">
        <w:rPr>
          <w:rFonts w:ascii="Times New Roman" w:hAnsi="Times New Roman" w:cs="Times New Roman"/>
          <w:i/>
          <w:color w:val="000000" w:themeColor="text1"/>
        </w:rPr>
        <w:t>citizen lawsuit</w:t>
      </w:r>
      <w:r w:rsidR="00435BFE" w:rsidRPr="007218D2">
        <w:rPr>
          <w:rFonts w:ascii="Times New Roman" w:hAnsi="Times New Roman" w:cs="Times New Roman"/>
          <w:color w:val="000000" w:themeColor="text1"/>
        </w:rPr>
        <w:t xml:space="preserve"> pada kasus ini masih belum sempurna dan belum menjawab persyaratn formil gugatan </w:t>
      </w:r>
      <w:r w:rsidR="00435BFE" w:rsidRPr="007218D2">
        <w:rPr>
          <w:rFonts w:ascii="Times New Roman" w:hAnsi="Times New Roman" w:cs="Times New Roman"/>
          <w:i/>
          <w:color w:val="000000" w:themeColor="text1"/>
        </w:rPr>
        <w:t xml:space="preserve">citizen lawsuit, </w:t>
      </w:r>
      <w:r w:rsidR="00435BFE" w:rsidRPr="007218D2">
        <w:rPr>
          <w:rFonts w:ascii="Times New Roman" w:hAnsi="Times New Roman" w:cs="Times New Roman"/>
          <w:color w:val="000000" w:themeColor="text1"/>
        </w:rPr>
        <w:t>namun dengan diterimanya kasus Munir CS merupakan langkah progresif dari majelis hakim pengadilan negeri terhadap akses atas keadilan.</w:t>
      </w:r>
      <w:r w:rsidR="00435BFE" w:rsidRPr="007218D2">
        <w:rPr>
          <w:rStyle w:val="FootnoteReference"/>
          <w:rFonts w:ascii="Times New Roman" w:hAnsi="Times New Roman" w:cs="Times New Roman"/>
          <w:color w:val="000000" w:themeColor="text1"/>
        </w:rPr>
        <w:footnoteReference w:id="26"/>
      </w:r>
    </w:p>
    <w:p w14:paraId="76BCCD79" w14:textId="6F8EFFC7" w:rsidR="006F0454" w:rsidRPr="007218D2" w:rsidRDefault="00684A2F" w:rsidP="0081776B">
      <w:pPr>
        <w:pStyle w:val="ListParagraph"/>
        <w:ind w:left="1069" w:firstLine="720"/>
        <w:jc w:val="both"/>
        <w:rPr>
          <w:rFonts w:ascii="Times New Roman" w:hAnsi="Times New Roman" w:cs="Times New Roman"/>
          <w:color w:val="000000" w:themeColor="text1"/>
        </w:rPr>
      </w:pPr>
      <w:r w:rsidRPr="007218D2">
        <w:rPr>
          <w:rFonts w:ascii="Times New Roman" w:hAnsi="Times New Roman" w:cs="Times New Roman"/>
          <w:color w:val="000000" w:themeColor="text1"/>
        </w:rPr>
        <w:t>Hasil dari adanya putusan tersebut adalah Undang-undang Nomor 39 Tahun 2004 tentang Penempatan dan Perlindungan Tenaga Kerja Indonesia.</w:t>
      </w:r>
      <w:r w:rsidR="006F0454" w:rsidRPr="007218D2">
        <w:rPr>
          <w:rStyle w:val="FootnoteReference"/>
          <w:rFonts w:ascii="Times New Roman" w:hAnsi="Times New Roman" w:cs="Times New Roman"/>
          <w:color w:val="000000" w:themeColor="text1"/>
        </w:rPr>
        <w:footnoteReference w:id="27"/>
      </w:r>
      <w:r w:rsidR="00FA4522" w:rsidRPr="007218D2">
        <w:rPr>
          <w:rFonts w:ascii="Times New Roman" w:hAnsi="Times New Roman" w:cs="Times New Roman"/>
          <w:color w:val="000000" w:themeColor="text1"/>
        </w:rPr>
        <w:t xml:space="preserve"> </w:t>
      </w:r>
      <w:r w:rsidR="00F95554" w:rsidRPr="007218D2">
        <w:rPr>
          <w:rFonts w:ascii="Times New Roman" w:hAnsi="Times New Roman" w:cs="Times New Roman"/>
          <w:color w:val="000000" w:themeColor="text1"/>
        </w:rPr>
        <w:t>Gugatan tersebut, dikabul</w:t>
      </w:r>
      <w:r w:rsidR="006F0454" w:rsidRPr="007218D2">
        <w:rPr>
          <w:rFonts w:ascii="Times New Roman" w:hAnsi="Times New Roman" w:cs="Times New Roman"/>
          <w:color w:val="000000" w:themeColor="text1"/>
        </w:rPr>
        <w:t>an oleh Pengadilan Negeri Jakarta Pusat dengan isi sebagai berikut:</w:t>
      </w:r>
    </w:p>
    <w:p w14:paraId="202CA729" w14:textId="2C699CA0" w:rsidR="00F95554" w:rsidRPr="007218D2" w:rsidRDefault="00F95554" w:rsidP="0081776B">
      <w:pPr>
        <w:pStyle w:val="ListParagraph"/>
        <w:numPr>
          <w:ilvl w:val="1"/>
          <w:numId w:val="1"/>
        </w:numPr>
        <w:jc w:val="both"/>
        <w:rPr>
          <w:rFonts w:ascii="Times New Roman" w:hAnsi="Times New Roman" w:cs="Times New Roman"/>
          <w:color w:val="000000" w:themeColor="text1"/>
        </w:rPr>
      </w:pPr>
      <w:r w:rsidRPr="007218D2">
        <w:rPr>
          <w:rFonts w:ascii="Times New Roman" w:hAnsi="Times New Roman" w:cs="Times New Roman"/>
          <w:color w:val="000000" w:themeColor="text1"/>
        </w:rPr>
        <w:t>Pasal 14 Ayat (1) Undang-undang</w:t>
      </w:r>
      <w:r w:rsidR="006F0454" w:rsidRPr="007218D2">
        <w:rPr>
          <w:rFonts w:ascii="Times New Roman" w:hAnsi="Times New Roman" w:cs="Times New Roman"/>
          <w:color w:val="000000" w:themeColor="text1"/>
        </w:rPr>
        <w:t xml:space="preserve"> Nomor 14 Tahun 1970 tentang Ketentuan </w:t>
      </w:r>
      <w:r w:rsidRPr="007218D2">
        <w:rPr>
          <w:rFonts w:ascii="Times New Roman" w:hAnsi="Times New Roman" w:cs="Times New Roman"/>
          <w:color w:val="000000" w:themeColor="text1"/>
        </w:rPr>
        <w:t>Pokok Kekuasaan Kehakiman jo. Undang-undang</w:t>
      </w:r>
      <w:r w:rsidR="006F0454" w:rsidRPr="007218D2">
        <w:rPr>
          <w:rFonts w:ascii="Times New Roman" w:hAnsi="Times New Roman" w:cs="Times New Roman"/>
          <w:color w:val="000000" w:themeColor="text1"/>
        </w:rPr>
        <w:t xml:space="preserve"> Nomor 35 Tahun 1999</w:t>
      </w:r>
      <w:r w:rsidRPr="007218D2">
        <w:rPr>
          <w:rFonts w:ascii="Times New Roman" w:hAnsi="Times New Roman" w:cs="Times New Roman"/>
          <w:color w:val="000000" w:themeColor="text1"/>
        </w:rPr>
        <w:t>, yang menyatakan bahwa “</w:t>
      </w:r>
      <w:r w:rsidR="006F0454" w:rsidRPr="007218D2">
        <w:rPr>
          <w:rFonts w:ascii="Times New Roman" w:hAnsi="Times New Roman" w:cs="Times New Roman"/>
          <w:color w:val="000000" w:themeColor="text1"/>
        </w:rPr>
        <w:t xml:space="preserve">Pengadilan tidak boleh menolak untuk memeriksa dan mengadili sesuatu perkara yang diajukan dengan dalil bahwa tidak atau </w:t>
      </w:r>
      <w:r w:rsidRPr="007218D2">
        <w:rPr>
          <w:rFonts w:ascii="Times New Roman" w:hAnsi="Times New Roman" w:cs="Times New Roman"/>
          <w:color w:val="000000" w:themeColor="text1"/>
        </w:rPr>
        <w:t>kurang jelas, melainkan wajib untuk memeriksa dan mengadilinya”;</w:t>
      </w:r>
    </w:p>
    <w:p w14:paraId="2880897A" w14:textId="58FDFD9A" w:rsidR="00F95554" w:rsidRPr="007218D2" w:rsidRDefault="00F95554" w:rsidP="0081776B">
      <w:pPr>
        <w:pStyle w:val="ListParagraph"/>
        <w:numPr>
          <w:ilvl w:val="1"/>
          <w:numId w:val="1"/>
        </w:numPr>
        <w:jc w:val="both"/>
        <w:rPr>
          <w:rFonts w:ascii="Times New Roman" w:hAnsi="Times New Roman" w:cs="Times New Roman"/>
          <w:color w:val="000000" w:themeColor="text1"/>
        </w:rPr>
      </w:pPr>
      <w:r w:rsidRPr="007218D2">
        <w:rPr>
          <w:rFonts w:ascii="Times New Roman" w:hAnsi="Times New Roman" w:cs="Times New Roman"/>
          <w:color w:val="000000" w:themeColor="text1"/>
        </w:rPr>
        <w:t>Pasal 27 Ayat (1) Undang-undang Nomor 14 Tahun 1970 tentang Ketentuan Pokok Kekuasaan Kehakiman, yang menyatakan bahwa “Hakim sebagai penegak hukum dan keadilan wajib menggali, mengikuti dan memahami nilai-nilai yang hidup di dalam masyarakat</w:t>
      </w:r>
      <w:r w:rsidR="001776A8" w:rsidRPr="007218D2">
        <w:rPr>
          <w:rFonts w:ascii="Times New Roman" w:hAnsi="Times New Roman" w:cs="Times New Roman"/>
          <w:color w:val="000000" w:themeColor="text1"/>
        </w:rPr>
        <w:t>”</w:t>
      </w:r>
      <w:r w:rsidRPr="007218D2">
        <w:rPr>
          <w:rFonts w:ascii="Times New Roman" w:hAnsi="Times New Roman" w:cs="Times New Roman"/>
          <w:color w:val="000000" w:themeColor="text1"/>
        </w:rPr>
        <w:t>;</w:t>
      </w:r>
    </w:p>
    <w:p w14:paraId="7C1B25B5" w14:textId="4D556139" w:rsidR="00F95554" w:rsidRPr="007218D2" w:rsidRDefault="00F95554" w:rsidP="0081776B">
      <w:pPr>
        <w:pStyle w:val="ListParagraph"/>
        <w:numPr>
          <w:ilvl w:val="1"/>
          <w:numId w:val="1"/>
        </w:numPr>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Permohonan yang diajukan adalah gugatan </w:t>
      </w:r>
      <w:r w:rsidRPr="007218D2">
        <w:rPr>
          <w:rFonts w:ascii="Times New Roman" w:hAnsi="Times New Roman" w:cs="Times New Roman"/>
          <w:i/>
          <w:iCs/>
          <w:color w:val="000000" w:themeColor="text1"/>
        </w:rPr>
        <w:t xml:space="preserve">citizen lawsuit </w:t>
      </w:r>
      <w:r w:rsidRPr="007218D2">
        <w:rPr>
          <w:rFonts w:ascii="Times New Roman" w:hAnsi="Times New Roman" w:cs="Times New Roman"/>
          <w:color w:val="000000" w:themeColor="text1"/>
        </w:rPr>
        <w:t xml:space="preserve">yang biasa dikenal dengan sebutan </w:t>
      </w:r>
      <w:r w:rsidRPr="007218D2">
        <w:rPr>
          <w:rFonts w:ascii="Times New Roman" w:hAnsi="Times New Roman" w:cs="Times New Roman"/>
          <w:i/>
          <w:iCs/>
          <w:color w:val="000000" w:themeColor="text1"/>
        </w:rPr>
        <w:t>actio popularis</w:t>
      </w:r>
      <w:r w:rsidRPr="007218D2">
        <w:rPr>
          <w:rFonts w:ascii="Times New Roman" w:hAnsi="Times New Roman" w:cs="Times New Roman"/>
          <w:color w:val="000000" w:themeColor="text1"/>
        </w:rPr>
        <w:t>, yaitu prosedur pengajuan gugatan yang melibatkan kepentingan umum</w:t>
      </w:r>
      <w:r w:rsidRPr="007218D2">
        <w:rPr>
          <w:rFonts w:ascii="Times New Roman" w:hAnsi="Times New Roman" w:cs="Times New Roman"/>
          <w:i/>
          <w:iCs/>
          <w:color w:val="000000" w:themeColor="text1"/>
        </w:rPr>
        <w:t xml:space="preserve"> </w:t>
      </w:r>
      <w:r w:rsidRPr="007218D2">
        <w:rPr>
          <w:rFonts w:ascii="Times New Roman" w:hAnsi="Times New Roman" w:cs="Times New Roman"/>
          <w:iCs/>
          <w:color w:val="000000" w:themeColor="text1"/>
        </w:rPr>
        <w:t>(</w:t>
      </w:r>
      <w:r w:rsidRPr="007218D2">
        <w:rPr>
          <w:rFonts w:ascii="Times New Roman" w:hAnsi="Times New Roman" w:cs="Times New Roman"/>
          <w:i/>
          <w:iCs/>
          <w:color w:val="000000" w:themeColor="text1"/>
        </w:rPr>
        <w:t>public interest</w:t>
      </w:r>
      <w:r w:rsidRPr="007218D2">
        <w:rPr>
          <w:rFonts w:ascii="Times New Roman" w:hAnsi="Times New Roman" w:cs="Times New Roman"/>
          <w:iCs/>
          <w:color w:val="000000" w:themeColor="text1"/>
        </w:rPr>
        <w:t>)</w:t>
      </w:r>
      <w:r w:rsidRPr="007218D2">
        <w:rPr>
          <w:rFonts w:ascii="Times New Roman" w:hAnsi="Times New Roman" w:cs="Times New Roman"/>
          <w:i/>
          <w:iCs/>
          <w:color w:val="000000" w:themeColor="text1"/>
        </w:rPr>
        <w:t xml:space="preserve"> </w:t>
      </w:r>
      <w:r w:rsidRPr="007218D2">
        <w:rPr>
          <w:rFonts w:ascii="Times New Roman" w:hAnsi="Times New Roman" w:cs="Times New Roman"/>
          <w:color w:val="000000" w:themeColor="text1"/>
        </w:rPr>
        <w:t>namun diajukan oleh perwakilannya;</w:t>
      </w:r>
    </w:p>
    <w:p w14:paraId="3CA98375" w14:textId="79F91C19" w:rsidR="00F95554" w:rsidRPr="007218D2" w:rsidRDefault="00F95554" w:rsidP="0081776B">
      <w:pPr>
        <w:pStyle w:val="ListParagraph"/>
        <w:numPr>
          <w:ilvl w:val="1"/>
          <w:numId w:val="1"/>
        </w:numPr>
        <w:jc w:val="both"/>
        <w:rPr>
          <w:rFonts w:ascii="Times New Roman" w:hAnsi="Times New Roman" w:cs="Times New Roman"/>
          <w:color w:val="000000" w:themeColor="text1"/>
        </w:rPr>
      </w:pPr>
      <w:r w:rsidRPr="007218D2">
        <w:rPr>
          <w:rFonts w:ascii="Times New Roman" w:hAnsi="Times New Roman" w:cs="Times New Roman"/>
          <w:color w:val="000000" w:themeColor="text1"/>
        </w:rPr>
        <w:t>Setiap warga negara tanpa kecuali memiliki hak-nya untuk membela kepentingan umum.</w:t>
      </w:r>
    </w:p>
    <w:p w14:paraId="32261668" w14:textId="77777777" w:rsidR="00FA4522" w:rsidRPr="007218D2" w:rsidRDefault="00F95554" w:rsidP="0081776B">
      <w:pPr>
        <w:pStyle w:val="ListParagraph"/>
        <w:ind w:left="1080" w:firstLine="720"/>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Selain, Kasus Nunukan di atas, terdapat </w:t>
      </w:r>
      <w:r w:rsidR="00FA4522" w:rsidRPr="007218D2">
        <w:rPr>
          <w:rFonts w:ascii="Times New Roman" w:hAnsi="Times New Roman" w:cs="Times New Roman"/>
          <w:color w:val="000000" w:themeColor="text1"/>
        </w:rPr>
        <w:t xml:space="preserve">kasus </w:t>
      </w:r>
      <w:r w:rsidR="00FA4522" w:rsidRPr="007218D2">
        <w:rPr>
          <w:rFonts w:ascii="Times New Roman" w:hAnsi="Times New Roman" w:cs="Times New Roman"/>
          <w:i/>
          <w:color w:val="000000" w:themeColor="text1"/>
        </w:rPr>
        <w:t xml:space="preserve">citizen lawsuit </w:t>
      </w:r>
      <w:r w:rsidR="00FA4522" w:rsidRPr="007218D2">
        <w:rPr>
          <w:rFonts w:ascii="Times New Roman" w:hAnsi="Times New Roman" w:cs="Times New Roman"/>
          <w:color w:val="000000" w:themeColor="text1"/>
        </w:rPr>
        <w:t>lainnya di Indonesia, sebagai berikut:</w:t>
      </w:r>
    </w:p>
    <w:p w14:paraId="4D708054" w14:textId="766F54A7" w:rsidR="00FA4522" w:rsidRPr="007218D2" w:rsidRDefault="00FA4522" w:rsidP="0081776B">
      <w:pPr>
        <w:pStyle w:val="ListParagraph"/>
        <w:numPr>
          <w:ilvl w:val="0"/>
          <w:numId w:val="11"/>
        </w:numPr>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atas kenaikan harga Bahan Bakar Minyak (BBM) yang diajukan oleh LBH APIK. 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tersebut tidak diterima oleh Majelis Hakim Pengadilan Negeri Jakarta Pusat;</w:t>
      </w:r>
    </w:p>
    <w:p w14:paraId="690382BB" w14:textId="2F940CB0" w:rsidR="00F95554" w:rsidRPr="007218D2" w:rsidRDefault="00FA4522" w:rsidP="0081776B">
      <w:pPr>
        <w:pStyle w:val="ListParagraph"/>
        <w:numPr>
          <w:ilvl w:val="0"/>
          <w:numId w:val="11"/>
        </w:numPr>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atas Operasi Yustisi oleh Lembaga Bantuan Hukum (LBH) Jakarta. 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tersebut tidak diterima oleh Majelis Hakim Pengadilan Negeri Jakarta Pusat;</w:t>
      </w:r>
    </w:p>
    <w:p w14:paraId="6B49F5EE" w14:textId="65199B2C" w:rsidR="000F457D" w:rsidRPr="007218D2" w:rsidRDefault="00FA4522" w:rsidP="0081776B">
      <w:pPr>
        <w:pStyle w:val="ListParagraph"/>
        <w:numPr>
          <w:ilvl w:val="0"/>
          <w:numId w:val="11"/>
        </w:numPr>
        <w:jc w:val="both"/>
        <w:rPr>
          <w:rFonts w:ascii="Times New Roman" w:hAnsi="Times New Roman" w:cs="Times New Roman"/>
          <w:b/>
          <w:color w:val="000000" w:themeColor="text1"/>
        </w:rPr>
      </w:pPr>
      <w:r w:rsidRPr="007218D2">
        <w:rPr>
          <w:rFonts w:ascii="Times New Roman" w:hAnsi="Times New Roman" w:cs="Times New Roman"/>
          <w:color w:val="000000" w:themeColor="text1"/>
        </w:rPr>
        <w:t xml:space="preserve">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atas penyelenggaraan Ujian Nasional oleh Lembaga Bantuan Hukum (LBH) Jakarta. Gugatan ini dikabulkan untuk sebagian</w:t>
      </w:r>
      <w:r w:rsidR="00101393" w:rsidRPr="007218D2">
        <w:rPr>
          <w:rFonts w:ascii="Times New Roman" w:hAnsi="Times New Roman" w:cs="Times New Roman"/>
          <w:color w:val="000000" w:themeColor="text1"/>
        </w:rPr>
        <w:t xml:space="preserve"> oleh Pengadilan Negeri Jakarta Pusat pada tanggal 21 Mei 2007</w:t>
      </w:r>
      <w:r w:rsidRPr="007218D2">
        <w:rPr>
          <w:rFonts w:ascii="Times New Roman" w:hAnsi="Times New Roman" w:cs="Times New Roman"/>
          <w:color w:val="000000" w:themeColor="text1"/>
        </w:rPr>
        <w:t xml:space="preserve">, sehingga pemerintah diminta untuk meninjau ulang kebijakan penyelenggaraan Ujian </w:t>
      </w:r>
      <w:r w:rsidRPr="007218D2">
        <w:rPr>
          <w:rFonts w:ascii="Times New Roman" w:hAnsi="Times New Roman" w:cs="Times New Roman"/>
          <w:color w:val="000000" w:themeColor="text1"/>
        </w:rPr>
        <w:lastRenderedPageBreak/>
        <w:t>Nasional. Kemudian, Pemerintah sebagai terguga</w:t>
      </w:r>
      <w:r w:rsidR="00101393" w:rsidRPr="007218D2">
        <w:rPr>
          <w:rFonts w:ascii="Times New Roman" w:hAnsi="Times New Roman" w:cs="Times New Roman"/>
          <w:color w:val="000000" w:themeColor="text1"/>
        </w:rPr>
        <w:t>t mengajukan ke tingkat banding. Hasil putusan Pengadilan Tinggi DKI Jakarta pada tanggal 6 Desember 2007 adalah menguatkan putusan Pengadilan Negeri Jakarta Pusat. Selanjutnya, pemerintah mengajkan lagi gugatan pada tingkat kasasi dan ditolak oleh Mahkamah Agung melalui putusan Nomor 2596K/PDT/2008 pada 14 September 2009. Berdasarkan hal tersebut Putusan Pengadila Tinggi Jakarta yang menguatkan putusan pengadilan Negeri Jakarta Puusat sudah inkrah atau berkekuatan hukum tetap.</w:t>
      </w:r>
    </w:p>
    <w:p w14:paraId="61F1DF61" w14:textId="4F240043" w:rsidR="004E0E10" w:rsidRPr="007218D2" w:rsidRDefault="004E0E10" w:rsidP="0081776B">
      <w:pPr>
        <w:pStyle w:val="ListParagraph"/>
        <w:numPr>
          <w:ilvl w:val="0"/>
          <w:numId w:val="11"/>
        </w:numPr>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Gugatan </w:t>
      </w:r>
      <w:r w:rsidRPr="007218D2">
        <w:rPr>
          <w:rFonts w:ascii="Times New Roman" w:hAnsi="Times New Roman" w:cs="Times New Roman"/>
          <w:i/>
          <w:color w:val="000000" w:themeColor="text1"/>
        </w:rPr>
        <w:t xml:space="preserve">citizen lawsuit </w:t>
      </w:r>
      <w:r w:rsidRPr="007218D2">
        <w:rPr>
          <w:rFonts w:ascii="Times New Roman" w:hAnsi="Times New Roman" w:cs="Times New Roman"/>
          <w:color w:val="000000" w:themeColor="text1"/>
        </w:rPr>
        <w:t xml:space="preserve">yang diajukan oleh Masyarakat Pengguna Jalan Tol pada Jalan Tol Lingkar Luar Jakarata (JORR) pada putusan Nomor 40/Pdt.G/2008/PN.JKT.Sel tertanggal 19 Mei 2008. 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tersebut tidak dapat diterima oleh Majelis Hakim Pengadilan Negeri Jakarta Selatan karena tidak terpenuhinya syarat formil yaitu mengirimkan notifikasi atau somasi kepada calon tergugat.</w:t>
      </w:r>
      <w:r w:rsidRPr="007218D2">
        <w:rPr>
          <w:rStyle w:val="FootnoteReference"/>
          <w:rFonts w:ascii="Times New Roman" w:hAnsi="Times New Roman" w:cs="Times New Roman"/>
          <w:color w:val="000000" w:themeColor="text1"/>
        </w:rPr>
        <w:footnoteReference w:id="28"/>
      </w:r>
    </w:p>
    <w:p w14:paraId="734E8A3B" w14:textId="56967006" w:rsidR="003B15E7" w:rsidRPr="007218D2" w:rsidRDefault="003B15E7" w:rsidP="0081776B">
      <w:pPr>
        <w:pStyle w:val="ListParagraph"/>
        <w:numPr>
          <w:ilvl w:val="0"/>
          <w:numId w:val="11"/>
        </w:numPr>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Gugatan </w:t>
      </w:r>
      <w:r w:rsidRPr="007218D2">
        <w:rPr>
          <w:rFonts w:ascii="Times New Roman" w:hAnsi="Times New Roman" w:cs="Times New Roman"/>
          <w:i/>
          <w:color w:val="000000" w:themeColor="text1"/>
        </w:rPr>
        <w:t xml:space="preserve">citizen lawsuit </w:t>
      </w:r>
      <w:r w:rsidRPr="007218D2">
        <w:rPr>
          <w:rFonts w:ascii="Times New Roman" w:hAnsi="Times New Roman" w:cs="Times New Roman"/>
          <w:color w:val="000000" w:themeColor="text1"/>
        </w:rPr>
        <w:t xml:space="preserve">atas kebakaran hutan dan lahan di Kalimantan Tengah yang mengakibatkan kabut asap. Gugatan yang didaftarkan pada tanggal 16 Agustus 2016 diajukan oleh Warga Kalimantan Tengah terhadap Presiden sebagai Tergugat I ke Pengadilan Negeri Palangkaraya. Gugatan </w:t>
      </w:r>
      <w:r w:rsidRPr="007218D2">
        <w:rPr>
          <w:rFonts w:ascii="Times New Roman" w:hAnsi="Times New Roman" w:cs="Times New Roman"/>
          <w:i/>
          <w:color w:val="000000" w:themeColor="text1"/>
        </w:rPr>
        <w:t xml:space="preserve">citizen lawsuit </w:t>
      </w:r>
      <w:r w:rsidRPr="007218D2">
        <w:rPr>
          <w:rFonts w:ascii="Times New Roman" w:hAnsi="Times New Roman" w:cs="Times New Roman"/>
          <w:color w:val="000000" w:themeColor="text1"/>
        </w:rPr>
        <w:t xml:space="preserve">dengan nomor 118/Pdt.G/LH/2016/PN.PLK ini dikabulkan sebagian oleh Majelis Hakim. </w:t>
      </w:r>
      <w:r w:rsidR="00E21874" w:rsidRPr="007218D2">
        <w:rPr>
          <w:rFonts w:ascii="Times New Roman" w:hAnsi="Times New Roman" w:cs="Times New Roman"/>
          <w:color w:val="000000" w:themeColor="text1"/>
        </w:rPr>
        <w:t>Berdasarkan putusan tersebut, beberapa petitum yang dikabulkan adalah agar Tergugat I segera membuat beberapa turunan dari UUPPLH, membuat tim gabungan yang teridir atas Kementerian Lingkungan Hidup dan Kehutanan, Kementerian Pertanian, dan Kementerian Kesehatan, serta mengabulkan untuk pembangunan rumah sakit khusus paru, ruang evakuasi khusus kebakaran hutan, serta membentuk tim gabungan untuk penanggulanagan kebakaran.</w:t>
      </w:r>
      <w:r w:rsidR="00E21874" w:rsidRPr="007218D2">
        <w:rPr>
          <w:rStyle w:val="FootnoteReference"/>
          <w:rFonts w:ascii="Times New Roman" w:hAnsi="Times New Roman" w:cs="Times New Roman"/>
          <w:color w:val="000000" w:themeColor="text1"/>
        </w:rPr>
        <w:footnoteReference w:id="29"/>
      </w:r>
    </w:p>
    <w:p w14:paraId="0F6C97E3" w14:textId="27F5CD03" w:rsidR="000F457D" w:rsidRPr="007218D2" w:rsidRDefault="00795379" w:rsidP="0081776B">
      <w:pPr>
        <w:ind w:left="1080" w:firstLine="720"/>
        <w:jc w:val="both"/>
        <w:rPr>
          <w:color w:val="000000" w:themeColor="text1"/>
        </w:rPr>
      </w:pPr>
      <w:r w:rsidRPr="007218D2">
        <w:rPr>
          <w:color w:val="000000" w:themeColor="text1"/>
        </w:rPr>
        <w:t xml:space="preserve">Dari beberapa contoh kasus di atas, tidak semua gugatan </w:t>
      </w:r>
      <w:r w:rsidRPr="007218D2">
        <w:rPr>
          <w:i/>
          <w:color w:val="000000" w:themeColor="text1"/>
        </w:rPr>
        <w:t>citizen lawsuit</w:t>
      </w:r>
      <w:r w:rsidRPr="007218D2">
        <w:rPr>
          <w:color w:val="000000" w:themeColor="text1"/>
        </w:rPr>
        <w:t xml:space="preserve"> diterima oleh Majelias Hakim Pengadilan Negeri. </w:t>
      </w:r>
      <w:r w:rsidR="005D79D5" w:rsidRPr="007218D2">
        <w:rPr>
          <w:color w:val="000000" w:themeColor="text1"/>
        </w:rPr>
        <w:t xml:space="preserve">Terlebih apabila syarat utama untuk mengajukan gugatan </w:t>
      </w:r>
      <w:r w:rsidR="005D79D5" w:rsidRPr="007218D2">
        <w:rPr>
          <w:i/>
          <w:color w:val="000000" w:themeColor="text1"/>
        </w:rPr>
        <w:t>citizen lawsuit</w:t>
      </w:r>
      <w:r w:rsidR="005D79D5" w:rsidRPr="007218D2">
        <w:rPr>
          <w:color w:val="000000" w:themeColor="text1"/>
        </w:rPr>
        <w:t xml:space="preserve"> berupa memberikan notifikasi atau somasi kepada calon tergugat tidak dilakukan oleh calon penggugat, maka hal tersebut dapat menjadi salah satu faktor gugatan tidak </w:t>
      </w:r>
      <w:r w:rsidR="00CF2AAC" w:rsidRPr="007218D2">
        <w:rPr>
          <w:color w:val="000000" w:themeColor="text1"/>
        </w:rPr>
        <w:t>dapat diterima oleh Majelis Haki</w:t>
      </w:r>
      <w:r w:rsidR="005D79D5" w:rsidRPr="007218D2">
        <w:rPr>
          <w:color w:val="000000" w:themeColor="text1"/>
        </w:rPr>
        <w:t xml:space="preserve">m. Walaupun di Indonesia tidak memiliki peraturan perundang-undangan yang mengatur gugatan oleh warga negara atau </w:t>
      </w:r>
      <w:r w:rsidR="005D79D5" w:rsidRPr="007218D2">
        <w:rPr>
          <w:i/>
          <w:color w:val="000000" w:themeColor="text1"/>
        </w:rPr>
        <w:t>citizen lawsuit,</w:t>
      </w:r>
      <w:r w:rsidR="005D79D5" w:rsidRPr="007218D2">
        <w:rPr>
          <w:color w:val="000000" w:themeColor="text1"/>
        </w:rPr>
        <w:t xml:space="preserve"> namun dengan adanya </w:t>
      </w:r>
      <w:r w:rsidR="005D79D5" w:rsidRPr="007218D2">
        <w:rPr>
          <w:rFonts w:eastAsia="Times New Roman"/>
          <w:color w:val="000000" w:themeColor="text1"/>
        </w:rPr>
        <w:t>L</w:t>
      </w:r>
      <w:r w:rsidR="005D79D5" w:rsidRPr="007218D2">
        <w:rPr>
          <w:color w:val="000000" w:themeColor="text1"/>
        </w:rPr>
        <w:t>ampiran dari Keputusan Ketua Mahkamah Agung RI Nomor 36/KMA/SK/II/2013 tentang Pemberlakukan Pedoman Penanganan Perkara Lingkungan Hidup, dapat menjadi pedoman karena telah menjelaskan beberapa persyaratan untuk mengajukan gugatan warga negara.</w:t>
      </w:r>
    </w:p>
    <w:p w14:paraId="73AA1030" w14:textId="1509BED8" w:rsidR="00966C48" w:rsidRPr="007218D2" w:rsidRDefault="00966C48" w:rsidP="0081776B">
      <w:pPr>
        <w:ind w:left="1080" w:firstLine="720"/>
        <w:jc w:val="both"/>
        <w:rPr>
          <w:color w:val="000000" w:themeColor="text1"/>
        </w:rPr>
      </w:pPr>
      <w:r w:rsidRPr="007218D2">
        <w:rPr>
          <w:i/>
          <w:color w:val="000000" w:themeColor="text1"/>
        </w:rPr>
        <w:t>Citizen lawsuit</w:t>
      </w:r>
      <w:r w:rsidRPr="007218D2">
        <w:rPr>
          <w:color w:val="000000" w:themeColor="text1"/>
        </w:rPr>
        <w:t xml:space="preserve"> memiliki fungsi yang dapat mengisi kekosongan hukum yang ada, hal tersebut dapat terlihat dari peran dan posisi </w:t>
      </w:r>
      <w:r w:rsidRPr="007218D2">
        <w:rPr>
          <w:i/>
          <w:color w:val="000000" w:themeColor="text1"/>
        </w:rPr>
        <w:t>citizen lawsuit</w:t>
      </w:r>
      <w:r w:rsidRPr="007218D2">
        <w:rPr>
          <w:color w:val="000000" w:themeColor="text1"/>
        </w:rPr>
        <w:t xml:space="preserve"> yaitu mendorong pemerintah agar berhati-hati dalam mengambil kebijakan </w:t>
      </w:r>
      <w:r w:rsidR="00D34B83" w:rsidRPr="007218D2">
        <w:rPr>
          <w:color w:val="000000" w:themeColor="text1"/>
        </w:rPr>
        <w:t>yang berkaitan dengan kepentingan publik, mendorong pemerintah untuk mengeluarkan legislasi dan regulasi yang terkait guna melindungi hak warga negaranya, dan mendorong pemerintah untuk melakukan perbuatan tertentu demi memastikan agar hak warga negara telah terlindungi.</w:t>
      </w:r>
      <w:r w:rsidR="00D34B83" w:rsidRPr="007218D2">
        <w:rPr>
          <w:rStyle w:val="FootnoteReference"/>
          <w:color w:val="000000" w:themeColor="text1"/>
        </w:rPr>
        <w:footnoteReference w:id="30"/>
      </w:r>
    </w:p>
    <w:p w14:paraId="4DFB798E" w14:textId="77777777" w:rsidR="005D79D5" w:rsidRPr="007218D2" w:rsidRDefault="005D79D5" w:rsidP="0081776B">
      <w:pPr>
        <w:jc w:val="both"/>
        <w:rPr>
          <w:color w:val="000000" w:themeColor="text1"/>
        </w:rPr>
      </w:pPr>
    </w:p>
    <w:p w14:paraId="5539874F" w14:textId="1A018C9D" w:rsidR="00E72B21" w:rsidRPr="007218D2" w:rsidRDefault="00E72B21" w:rsidP="0081776B">
      <w:pPr>
        <w:pStyle w:val="ListParagraph"/>
        <w:numPr>
          <w:ilvl w:val="0"/>
          <w:numId w:val="1"/>
        </w:numPr>
        <w:ind w:left="709"/>
        <w:jc w:val="both"/>
        <w:rPr>
          <w:rFonts w:ascii="Times New Roman" w:hAnsi="Times New Roman" w:cs="Times New Roman"/>
          <w:b/>
          <w:color w:val="000000" w:themeColor="text1"/>
        </w:rPr>
      </w:pPr>
      <w:r w:rsidRPr="007218D2">
        <w:rPr>
          <w:rFonts w:ascii="Times New Roman" w:hAnsi="Times New Roman" w:cs="Times New Roman"/>
          <w:b/>
          <w:color w:val="000000" w:themeColor="text1"/>
        </w:rPr>
        <w:lastRenderedPageBreak/>
        <w:t xml:space="preserve">Gugatan </w:t>
      </w:r>
      <w:r w:rsidR="00355740" w:rsidRPr="007218D2">
        <w:rPr>
          <w:rFonts w:ascii="Times New Roman" w:hAnsi="Times New Roman" w:cs="Times New Roman"/>
          <w:b/>
          <w:i/>
          <w:color w:val="000000" w:themeColor="text1"/>
        </w:rPr>
        <w:t>Citizen Lawsuit</w:t>
      </w:r>
      <w:r w:rsidR="00355740" w:rsidRPr="007218D2">
        <w:rPr>
          <w:rFonts w:ascii="Times New Roman" w:hAnsi="Times New Roman" w:cs="Times New Roman"/>
          <w:b/>
          <w:color w:val="000000" w:themeColor="text1"/>
        </w:rPr>
        <w:t xml:space="preserve"> di Amerika Serikat</w:t>
      </w:r>
    </w:p>
    <w:p w14:paraId="1B08C25C" w14:textId="7F4F1E2B" w:rsidR="00E72B21" w:rsidRPr="007218D2" w:rsidRDefault="00E72B21" w:rsidP="0081776B">
      <w:pPr>
        <w:pStyle w:val="ListParagraph"/>
        <w:numPr>
          <w:ilvl w:val="0"/>
          <w:numId w:val="12"/>
        </w:numPr>
        <w:jc w:val="both"/>
        <w:rPr>
          <w:rFonts w:ascii="Times New Roman" w:hAnsi="Times New Roman" w:cs="Times New Roman"/>
          <w:b/>
          <w:color w:val="000000" w:themeColor="text1"/>
        </w:rPr>
      </w:pPr>
      <w:r w:rsidRPr="007218D2">
        <w:rPr>
          <w:rFonts w:ascii="Times New Roman" w:hAnsi="Times New Roman" w:cs="Times New Roman"/>
          <w:b/>
          <w:color w:val="000000" w:themeColor="text1"/>
        </w:rPr>
        <w:t xml:space="preserve">Mekanisme Gugatan </w:t>
      </w:r>
      <w:r w:rsidRPr="007218D2">
        <w:rPr>
          <w:rFonts w:ascii="Times New Roman" w:hAnsi="Times New Roman" w:cs="Times New Roman"/>
          <w:b/>
          <w:i/>
          <w:color w:val="000000" w:themeColor="text1"/>
        </w:rPr>
        <w:t xml:space="preserve">Citizen Lawsuit </w:t>
      </w:r>
      <w:r w:rsidRPr="007218D2">
        <w:rPr>
          <w:rFonts w:ascii="Times New Roman" w:hAnsi="Times New Roman" w:cs="Times New Roman"/>
          <w:b/>
          <w:color w:val="000000" w:themeColor="text1"/>
        </w:rPr>
        <w:t>di Amerika Serikat</w:t>
      </w:r>
    </w:p>
    <w:p w14:paraId="6605559E" w14:textId="77777777" w:rsidR="002021A1" w:rsidRPr="007218D2" w:rsidRDefault="00EA6326" w:rsidP="002021A1">
      <w:pPr>
        <w:ind w:left="1069" w:firstLine="720"/>
        <w:jc w:val="both"/>
        <w:rPr>
          <w:color w:val="000000" w:themeColor="text1"/>
        </w:rPr>
      </w:pPr>
      <w:r w:rsidRPr="007218D2">
        <w:rPr>
          <w:color w:val="000000" w:themeColor="text1"/>
        </w:rPr>
        <w:t xml:space="preserve">Gugatan </w:t>
      </w:r>
      <w:r w:rsidRPr="007218D2">
        <w:rPr>
          <w:i/>
          <w:color w:val="000000" w:themeColor="text1"/>
        </w:rPr>
        <w:t>citizen lawsuit</w:t>
      </w:r>
      <w:r w:rsidRPr="007218D2">
        <w:rPr>
          <w:color w:val="000000" w:themeColor="text1"/>
        </w:rPr>
        <w:t xml:space="preserve"> merupakan model gugatan yang lahir dan berkembang di negara-negara dengan sistem hukum </w:t>
      </w:r>
      <w:r w:rsidRPr="007218D2">
        <w:rPr>
          <w:i/>
          <w:color w:val="000000" w:themeColor="text1"/>
        </w:rPr>
        <w:t xml:space="preserve">common law </w:t>
      </w:r>
      <w:r w:rsidRPr="007218D2">
        <w:rPr>
          <w:color w:val="000000" w:themeColor="text1"/>
        </w:rPr>
        <w:t>(</w:t>
      </w:r>
      <w:r w:rsidRPr="007218D2">
        <w:rPr>
          <w:i/>
          <w:color w:val="000000" w:themeColor="text1"/>
        </w:rPr>
        <w:t>anglo saxon</w:t>
      </w:r>
      <w:r w:rsidRPr="007218D2">
        <w:rPr>
          <w:color w:val="000000" w:themeColor="text1"/>
        </w:rPr>
        <w:t>)</w:t>
      </w:r>
      <w:r w:rsidR="0032116A" w:rsidRPr="007218D2">
        <w:rPr>
          <w:color w:val="000000" w:themeColor="text1"/>
        </w:rPr>
        <w:t xml:space="preserve"> seperti Inggris, Amerika Serikat, Australia, dan India</w:t>
      </w:r>
      <w:r w:rsidRPr="007218D2">
        <w:rPr>
          <w:color w:val="000000" w:themeColor="text1"/>
        </w:rPr>
        <w:t xml:space="preserve">, </w:t>
      </w:r>
      <w:r w:rsidR="00E92F32" w:rsidRPr="007218D2">
        <w:rPr>
          <w:color w:val="000000" w:themeColor="text1"/>
        </w:rPr>
        <w:t xml:space="preserve">dimana </w:t>
      </w:r>
      <w:r w:rsidR="00E92F32" w:rsidRPr="007218D2">
        <w:rPr>
          <w:i/>
          <w:color w:val="000000" w:themeColor="text1"/>
        </w:rPr>
        <w:t>citizen</w:t>
      </w:r>
      <w:r w:rsidR="00E92F32" w:rsidRPr="007218D2">
        <w:rPr>
          <w:color w:val="000000" w:themeColor="text1"/>
        </w:rPr>
        <w:t xml:space="preserve"> atau warga negara memainkan peran penting dalam memastikan kepatuhan terhadap hukum lingkungan negara.</w:t>
      </w:r>
      <w:r w:rsidR="00E92F32" w:rsidRPr="007218D2">
        <w:rPr>
          <w:rStyle w:val="FootnoteReference"/>
          <w:color w:val="000000" w:themeColor="text1"/>
        </w:rPr>
        <w:footnoteReference w:id="31"/>
      </w:r>
      <w:r w:rsidR="00E92F32" w:rsidRPr="007218D2">
        <w:rPr>
          <w:color w:val="000000" w:themeColor="text1"/>
        </w:rPr>
        <w:t xml:space="preserve"> </w:t>
      </w:r>
      <w:r w:rsidR="002021A1" w:rsidRPr="007218D2">
        <w:rPr>
          <w:color w:val="000000" w:themeColor="text1"/>
        </w:rPr>
        <w:t xml:space="preserve">Hingga pada 2017, dalam seminggu terdapat beberapa kali dari warga negara yang memperdebatkan masalah kebijakan publik di pengadilan melalui </w:t>
      </w:r>
      <w:r w:rsidR="002021A1" w:rsidRPr="007218D2">
        <w:rPr>
          <w:i/>
          <w:color w:val="000000" w:themeColor="text1"/>
        </w:rPr>
        <w:t>citizen lawsuit</w:t>
      </w:r>
      <w:r w:rsidR="002021A1" w:rsidRPr="007218D2">
        <w:rPr>
          <w:color w:val="000000" w:themeColor="text1"/>
        </w:rPr>
        <w:t>.</w:t>
      </w:r>
      <w:r w:rsidR="002021A1" w:rsidRPr="007218D2">
        <w:rPr>
          <w:rStyle w:val="FootnoteReference"/>
          <w:color w:val="000000" w:themeColor="text1"/>
        </w:rPr>
        <w:footnoteReference w:id="32"/>
      </w:r>
    </w:p>
    <w:p w14:paraId="5F120509" w14:textId="37E0A2AF" w:rsidR="00E92F32" w:rsidRPr="007218D2" w:rsidRDefault="001A2A36" w:rsidP="002021A1">
      <w:pPr>
        <w:ind w:left="1069" w:firstLine="720"/>
        <w:jc w:val="both"/>
        <w:rPr>
          <w:color w:val="000000" w:themeColor="text1"/>
        </w:rPr>
      </w:pPr>
      <w:r w:rsidRPr="007218D2">
        <w:rPr>
          <w:color w:val="000000" w:themeColor="text1"/>
        </w:rPr>
        <w:t xml:space="preserve">Lahirnya gugatan </w:t>
      </w:r>
      <w:r w:rsidRPr="007218D2">
        <w:rPr>
          <w:i/>
          <w:color w:val="000000" w:themeColor="text1"/>
        </w:rPr>
        <w:t xml:space="preserve">citizen lawsuit </w:t>
      </w:r>
      <w:r w:rsidRPr="007218D2">
        <w:rPr>
          <w:color w:val="000000" w:themeColor="text1"/>
        </w:rPr>
        <w:t xml:space="preserve">di Amerika Serikat, diawali dengan adanya </w:t>
      </w:r>
      <w:r w:rsidRPr="007218D2">
        <w:rPr>
          <w:i/>
          <w:color w:val="000000" w:themeColor="text1"/>
        </w:rPr>
        <w:t xml:space="preserve">Clean Air Act Amendments of 1970 </w:t>
      </w:r>
      <w:r w:rsidRPr="007218D2">
        <w:rPr>
          <w:color w:val="000000" w:themeColor="text1"/>
        </w:rPr>
        <w:t>(“</w:t>
      </w:r>
      <w:r w:rsidRPr="007218D2">
        <w:rPr>
          <w:b/>
          <w:color w:val="000000" w:themeColor="text1"/>
        </w:rPr>
        <w:t>CAA 1970</w:t>
      </w:r>
      <w:r w:rsidRPr="007218D2">
        <w:rPr>
          <w:color w:val="000000" w:themeColor="text1"/>
        </w:rPr>
        <w:t>”). Agar tujuan dalam CAA 1970 dapat tercapai</w:t>
      </w:r>
      <w:r w:rsidR="002021A1" w:rsidRPr="007218D2">
        <w:rPr>
          <w:color w:val="000000" w:themeColor="text1"/>
        </w:rPr>
        <w:t xml:space="preserve"> dengan baik</w:t>
      </w:r>
      <w:r w:rsidRPr="007218D2">
        <w:rPr>
          <w:color w:val="000000" w:themeColor="text1"/>
        </w:rPr>
        <w:t xml:space="preserve">, maka diterapkan mekanisme penegakan hukum yang unik, </w:t>
      </w:r>
      <w:r w:rsidR="002021A1" w:rsidRPr="007218D2">
        <w:rPr>
          <w:color w:val="000000" w:themeColor="text1"/>
        </w:rPr>
        <w:t xml:space="preserve">dimana </w:t>
      </w:r>
      <w:r w:rsidRPr="007218D2">
        <w:rPr>
          <w:color w:val="000000" w:themeColor="text1"/>
        </w:rPr>
        <w:t xml:space="preserve">warga negara dapat memohon gugatan yang ditujukan tidak hanya kepada Pemerintah Amerika Serikat dan Badan Perlindungan </w:t>
      </w:r>
      <w:r w:rsidR="0032116A" w:rsidRPr="007218D2">
        <w:rPr>
          <w:color w:val="000000" w:themeColor="text1"/>
        </w:rPr>
        <w:t>Lingkungan</w:t>
      </w:r>
      <w:r w:rsidRPr="007218D2">
        <w:rPr>
          <w:color w:val="000000" w:themeColor="text1"/>
        </w:rPr>
        <w:t xml:space="preserve"> (</w:t>
      </w:r>
      <w:r w:rsidRPr="007218D2">
        <w:rPr>
          <w:i/>
          <w:color w:val="000000" w:themeColor="text1"/>
        </w:rPr>
        <w:t xml:space="preserve">Environmemtal Protection Agency </w:t>
      </w:r>
      <w:r w:rsidRPr="007218D2">
        <w:rPr>
          <w:color w:val="000000" w:themeColor="text1"/>
        </w:rPr>
        <w:t>/ EPA), tetapi juga kepada siapa pun yang telah melanggar standar emisi dan batasan yang sudah ditetapkan di dalam CAA.</w:t>
      </w:r>
      <w:r w:rsidRPr="007218D2">
        <w:rPr>
          <w:rStyle w:val="FootnoteReference"/>
          <w:color w:val="000000" w:themeColor="text1"/>
        </w:rPr>
        <w:footnoteReference w:id="33"/>
      </w:r>
      <w:r w:rsidR="008842E1" w:rsidRPr="007218D2">
        <w:rPr>
          <w:color w:val="000000" w:themeColor="text1"/>
        </w:rPr>
        <w:t xml:space="preserve"> </w:t>
      </w:r>
    </w:p>
    <w:p w14:paraId="5B9C4D74" w14:textId="51580DB3" w:rsidR="008842E1" w:rsidRPr="007218D2" w:rsidRDefault="001A2A36" w:rsidP="00E92F32">
      <w:pPr>
        <w:ind w:left="1069" w:firstLine="720"/>
        <w:jc w:val="both"/>
        <w:rPr>
          <w:color w:val="000000" w:themeColor="text1"/>
        </w:rPr>
      </w:pPr>
      <w:r w:rsidRPr="007218D2">
        <w:rPr>
          <w:color w:val="000000" w:themeColor="text1"/>
        </w:rPr>
        <w:t xml:space="preserve">Untuk mendefinisikan bentuk gugatan </w:t>
      </w:r>
      <w:r w:rsidRPr="007218D2">
        <w:rPr>
          <w:i/>
          <w:color w:val="000000" w:themeColor="text1"/>
        </w:rPr>
        <w:t>citizen lawsuit</w:t>
      </w:r>
      <w:r w:rsidRPr="007218D2">
        <w:rPr>
          <w:color w:val="000000" w:themeColor="text1"/>
        </w:rPr>
        <w:t xml:space="preserve">, </w:t>
      </w:r>
      <w:r w:rsidR="008842E1" w:rsidRPr="007218D2">
        <w:rPr>
          <w:color w:val="000000" w:themeColor="text1"/>
        </w:rPr>
        <w:t xml:space="preserve">maka </w:t>
      </w:r>
      <w:r w:rsidR="008842E1" w:rsidRPr="007218D2">
        <w:rPr>
          <w:i/>
          <w:color w:val="000000" w:themeColor="text1"/>
        </w:rPr>
        <w:t>senate committee</w:t>
      </w:r>
      <w:r w:rsidR="008842E1" w:rsidRPr="007218D2">
        <w:rPr>
          <w:color w:val="000000" w:themeColor="text1"/>
        </w:rPr>
        <w:t xml:space="preserve"> menjelaskan bahwa:</w:t>
      </w:r>
    </w:p>
    <w:p w14:paraId="63662DBE" w14:textId="16544F95" w:rsidR="008842E1" w:rsidRPr="007218D2" w:rsidRDefault="008842E1" w:rsidP="0081776B">
      <w:pPr>
        <w:ind w:left="1789"/>
        <w:jc w:val="both"/>
        <w:rPr>
          <w:color w:val="000000" w:themeColor="text1"/>
        </w:rPr>
      </w:pPr>
      <w:r w:rsidRPr="007218D2">
        <w:rPr>
          <w:color w:val="000000" w:themeColor="text1"/>
        </w:rPr>
        <w:t>“</w:t>
      </w:r>
      <w:r w:rsidRPr="007218D2">
        <w:rPr>
          <w:i/>
          <w:color w:val="000000" w:themeColor="text1"/>
        </w:rPr>
        <w:t>Government initiative in seeking enforcement of the Clean Air Act has been restrained. Authorizing the citizens to bring suits for violation of standards should motivate governmental agencies charged with responsiblity to bring enforcement and abatement proceedings</w:t>
      </w:r>
      <w:r w:rsidRPr="007218D2">
        <w:rPr>
          <w:color w:val="000000" w:themeColor="text1"/>
        </w:rPr>
        <w:t>.”</w:t>
      </w:r>
      <w:r w:rsidRPr="007218D2">
        <w:rPr>
          <w:rStyle w:val="FootnoteReference"/>
          <w:color w:val="000000" w:themeColor="text1"/>
        </w:rPr>
        <w:footnoteReference w:id="34"/>
      </w:r>
    </w:p>
    <w:p w14:paraId="7C1C4ED0" w14:textId="77777777" w:rsidR="00335813" w:rsidRPr="007218D2" w:rsidRDefault="0032116A" w:rsidP="0081776B">
      <w:pPr>
        <w:ind w:left="1069" w:firstLine="720"/>
        <w:jc w:val="both"/>
        <w:rPr>
          <w:color w:val="000000" w:themeColor="text1"/>
        </w:rPr>
      </w:pPr>
      <w:r w:rsidRPr="007218D2">
        <w:rPr>
          <w:color w:val="000000" w:themeColor="text1"/>
        </w:rPr>
        <w:t xml:space="preserve">Selain CAA 1970, gugatan </w:t>
      </w:r>
      <w:r w:rsidRPr="007218D2">
        <w:rPr>
          <w:i/>
          <w:color w:val="000000" w:themeColor="text1"/>
        </w:rPr>
        <w:t xml:space="preserve">citizen lawsuit </w:t>
      </w:r>
      <w:r w:rsidRPr="007218D2">
        <w:rPr>
          <w:color w:val="000000" w:themeColor="text1"/>
        </w:rPr>
        <w:t xml:space="preserve">juga tercantum pada </w:t>
      </w:r>
      <w:r w:rsidRPr="007218D2">
        <w:rPr>
          <w:i/>
          <w:color w:val="000000" w:themeColor="text1"/>
        </w:rPr>
        <w:t>Clean Water Act</w:t>
      </w:r>
      <w:r w:rsidRPr="007218D2">
        <w:rPr>
          <w:color w:val="000000" w:themeColor="text1"/>
        </w:rPr>
        <w:t xml:space="preserve"> (“</w:t>
      </w:r>
      <w:r w:rsidRPr="007218D2">
        <w:rPr>
          <w:b/>
          <w:color w:val="000000" w:themeColor="text1"/>
        </w:rPr>
        <w:t>CWA</w:t>
      </w:r>
      <w:r w:rsidRPr="007218D2">
        <w:rPr>
          <w:color w:val="000000" w:themeColor="text1"/>
        </w:rPr>
        <w:t>”) section 505 yang membolehkan warga negara mengajukan gugatan, dengan penjelasan sebagai berikut:</w:t>
      </w:r>
    </w:p>
    <w:p w14:paraId="7F3D026B" w14:textId="77777777" w:rsidR="00335813" w:rsidRPr="007218D2" w:rsidRDefault="00335813" w:rsidP="0081776B">
      <w:pPr>
        <w:ind w:left="1069" w:firstLine="720"/>
        <w:jc w:val="both"/>
        <w:rPr>
          <w:i/>
          <w:color w:val="000000" w:themeColor="text1"/>
        </w:rPr>
      </w:pPr>
      <w:r w:rsidRPr="007218D2">
        <w:rPr>
          <w:i/>
          <w:color w:val="000000" w:themeColor="text1"/>
        </w:rPr>
        <w:t>“…any</w:t>
      </w:r>
      <w:hyperlink r:id="rId9" w:history="1">
        <w:r w:rsidRPr="007218D2">
          <w:rPr>
            <w:i/>
            <w:color w:val="000000" w:themeColor="text1"/>
          </w:rPr>
          <w:t> citizen </w:t>
        </w:r>
      </w:hyperlink>
      <w:r w:rsidRPr="007218D2">
        <w:rPr>
          <w:i/>
          <w:color w:val="000000" w:themeColor="text1"/>
        </w:rPr>
        <w:t>may commence a civil action on his own behalf—</w:t>
      </w:r>
      <w:bookmarkStart w:id="1" w:name="a_1"/>
      <w:bookmarkEnd w:id="1"/>
    </w:p>
    <w:p w14:paraId="7DC44E11" w14:textId="77777777" w:rsidR="00335813" w:rsidRPr="007218D2" w:rsidRDefault="00335813" w:rsidP="0081776B">
      <w:pPr>
        <w:ind w:left="1789"/>
        <w:jc w:val="both"/>
        <w:rPr>
          <w:i/>
          <w:color w:val="000000" w:themeColor="text1"/>
        </w:rPr>
      </w:pPr>
      <w:r w:rsidRPr="007218D2">
        <w:rPr>
          <w:i/>
          <w:color w:val="000000" w:themeColor="text1"/>
        </w:rPr>
        <w:t>(1) against any </w:t>
      </w:r>
      <w:hyperlink r:id="rId10" w:history="1">
        <w:r w:rsidRPr="007218D2">
          <w:rPr>
            <w:i/>
            <w:color w:val="000000" w:themeColor="text1"/>
          </w:rPr>
          <w:t>person</w:t>
        </w:r>
      </w:hyperlink>
      <w:r w:rsidRPr="007218D2">
        <w:rPr>
          <w:i/>
          <w:color w:val="000000" w:themeColor="text1"/>
        </w:rPr>
        <w:t> (including (i) the United</w:t>
      </w:r>
      <w:hyperlink r:id="rId11" w:history="1">
        <w:r w:rsidRPr="007218D2">
          <w:rPr>
            <w:i/>
            <w:color w:val="000000" w:themeColor="text1"/>
          </w:rPr>
          <w:t> States,</w:t>
        </w:r>
      </w:hyperlink>
      <w:r w:rsidRPr="007218D2">
        <w:rPr>
          <w:i/>
          <w:color w:val="000000" w:themeColor="text1"/>
        </w:rPr>
        <w:t> and (ii) any other governmental instrumentality or agency to the extent permitted by the eleventh amendment to the Constitution) who is alleged to be in violation of (A) an </w:t>
      </w:r>
      <w:hyperlink r:id="rId12" w:history="1">
        <w:r w:rsidRPr="007218D2">
          <w:rPr>
            <w:i/>
            <w:color w:val="000000" w:themeColor="text1"/>
          </w:rPr>
          <w:t>effluent standard or limitation under this chapter</w:t>
        </w:r>
      </w:hyperlink>
      <w:r w:rsidRPr="007218D2">
        <w:rPr>
          <w:i/>
          <w:color w:val="000000" w:themeColor="text1"/>
        </w:rPr>
        <w:t> or (B) an order issued by the Administrator or a</w:t>
      </w:r>
      <w:hyperlink r:id="rId13" w:history="1">
        <w:r w:rsidRPr="007218D2">
          <w:rPr>
            <w:i/>
            <w:color w:val="000000" w:themeColor="text1"/>
          </w:rPr>
          <w:t> State </w:t>
        </w:r>
      </w:hyperlink>
      <w:r w:rsidRPr="007218D2">
        <w:rPr>
          <w:i/>
          <w:color w:val="000000" w:themeColor="text1"/>
        </w:rPr>
        <w:t>with respect to such a standard or limitation, or</w:t>
      </w:r>
      <w:bookmarkStart w:id="2" w:name="a_2"/>
      <w:bookmarkEnd w:id="2"/>
    </w:p>
    <w:p w14:paraId="5BFF8B2F" w14:textId="758B6196" w:rsidR="00A110F5" w:rsidRPr="007218D2" w:rsidRDefault="00335813" w:rsidP="0081776B">
      <w:pPr>
        <w:ind w:left="1789"/>
        <w:jc w:val="both"/>
        <w:rPr>
          <w:i/>
          <w:color w:val="000000" w:themeColor="text1"/>
        </w:rPr>
      </w:pPr>
      <w:r w:rsidRPr="007218D2">
        <w:rPr>
          <w:i/>
          <w:color w:val="000000" w:themeColor="text1"/>
        </w:rPr>
        <w:t>(2) against the Administrator where there is alleged a failure of the Administrator to perform any act or duty under this chapter which is not discretionary with the Administrator.</w:t>
      </w:r>
    </w:p>
    <w:p w14:paraId="3B26B286" w14:textId="1A17C07A" w:rsidR="00335813" w:rsidRPr="007218D2" w:rsidRDefault="00335813" w:rsidP="0081776B">
      <w:pPr>
        <w:ind w:left="1789"/>
        <w:jc w:val="both"/>
        <w:rPr>
          <w:i/>
          <w:color w:val="000000" w:themeColor="text1"/>
        </w:rPr>
      </w:pPr>
      <w:r w:rsidRPr="007218D2">
        <w:rPr>
          <w:i/>
          <w:color w:val="000000" w:themeColor="text1"/>
        </w:rPr>
        <w:t xml:space="preserve">The district courts shall have jurisdiction, without regard to the amount in controversy or the citizenship of the parties, to enforce such an effluent standard or limitation, or such an order, or to order the Administrator to </w:t>
      </w:r>
      <w:r w:rsidRPr="007218D2">
        <w:rPr>
          <w:i/>
          <w:color w:val="000000" w:themeColor="text1"/>
        </w:rPr>
        <w:lastRenderedPageBreak/>
        <w:t>perform such act or duty, as the case may be, and to apply any appropriate civil penalties under </w:t>
      </w:r>
      <w:hyperlink r:id="rId14" w:anchor="d" w:history="1">
        <w:r w:rsidRPr="007218D2">
          <w:rPr>
            <w:i/>
            <w:color w:val="000000" w:themeColor="text1"/>
          </w:rPr>
          <w:t>section 1319(d) of this title</w:t>
        </w:r>
      </w:hyperlink>
      <w:r w:rsidRPr="007218D2">
        <w:rPr>
          <w:i/>
          <w:color w:val="000000" w:themeColor="text1"/>
        </w:rPr>
        <w:t>.”</w:t>
      </w:r>
      <w:r w:rsidRPr="007218D2">
        <w:rPr>
          <w:rStyle w:val="FootnoteReference"/>
          <w:color w:val="000000" w:themeColor="text1"/>
        </w:rPr>
        <w:footnoteReference w:id="35"/>
      </w:r>
    </w:p>
    <w:p w14:paraId="0C59A908" w14:textId="77777777" w:rsidR="007D7D19" w:rsidRPr="007218D2" w:rsidRDefault="00335813" w:rsidP="0081776B">
      <w:pPr>
        <w:ind w:left="1069" w:firstLine="720"/>
        <w:jc w:val="both"/>
        <w:rPr>
          <w:color w:val="000000" w:themeColor="text1"/>
        </w:rPr>
      </w:pPr>
      <w:r w:rsidRPr="007218D2">
        <w:rPr>
          <w:color w:val="000000" w:themeColor="text1"/>
        </w:rPr>
        <w:t xml:space="preserve">Berdasarkan pengertian yang tercantum dalam CAA 1970 dan CWA di atas, dapat diketahui bahwa gugatan warga negara </w:t>
      </w:r>
      <w:r w:rsidR="007D7D19" w:rsidRPr="007218D2">
        <w:rPr>
          <w:color w:val="000000" w:themeColor="text1"/>
        </w:rPr>
        <w:t xml:space="preserve">atau </w:t>
      </w:r>
      <w:r w:rsidR="007D7D19" w:rsidRPr="007218D2">
        <w:rPr>
          <w:i/>
          <w:color w:val="000000" w:themeColor="text1"/>
        </w:rPr>
        <w:t xml:space="preserve">citizen lawsuit </w:t>
      </w:r>
      <w:r w:rsidRPr="007218D2">
        <w:rPr>
          <w:color w:val="000000" w:themeColor="text1"/>
        </w:rPr>
        <w:t xml:space="preserve">tidak hanya </w:t>
      </w:r>
      <w:r w:rsidR="007D7D19" w:rsidRPr="007218D2">
        <w:rPr>
          <w:color w:val="000000" w:themeColor="text1"/>
        </w:rPr>
        <w:t xml:space="preserve">diitujukan </w:t>
      </w:r>
      <w:r w:rsidRPr="007218D2">
        <w:rPr>
          <w:color w:val="000000" w:themeColor="text1"/>
        </w:rPr>
        <w:t>terhadap pemerintah yang dianggap gagal melakukan kewajibannya sehingga merugikan kerugian, tetapi juga dapat diajukan kepada siapa pun yang melanggar standar baku mutu atau kebijakan dari penyelenggara negara sehubungan dengan baku mutu tersebut.</w:t>
      </w:r>
    </w:p>
    <w:p w14:paraId="2AF2D974" w14:textId="052EE535" w:rsidR="00F62DED" w:rsidRPr="007218D2" w:rsidRDefault="007D7D19" w:rsidP="0081776B">
      <w:pPr>
        <w:ind w:left="1069" w:firstLine="720"/>
        <w:jc w:val="both"/>
        <w:rPr>
          <w:color w:val="000000" w:themeColor="text1"/>
        </w:rPr>
      </w:pPr>
      <w:r w:rsidRPr="007218D2">
        <w:rPr>
          <w:color w:val="000000" w:themeColor="text1"/>
        </w:rPr>
        <w:t xml:space="preserve">Gugatan warga negara atau </w:t>
      </w:r>
      <w:r w:rsidRPr="007218D2">
        <w:rPr>
          <w:i/>
          <w:color w:val="000000" w:themeColor="text1"/>
        </w:rPr>
        <w:t>citizen lawsuit</w:t>
      </w:r>
      <w:r w:rsidRPr="007218D2">
        <w:rPr>
          <w:color w:val="000000" w:themeColor="text1"/>
        </w:rPr>
        <w:t xml:space="preserve"> di Amerika Serikat dapat meminta </w:t>
      </w:r>
      <w:r w:rsidRPr="007218D2">
        <w:rPr>
          <w:i/>
          <w:color w:val="000000" w:themeColor="text1"/>
        </w:rPr>
        <w:t>civil penalties</w:t>
      </w:r>
      <w:r w:rsidRPr="007218D2">
        <w:rPr>
          <w:color w:val="000000" w:themeColor="text1"/>
        </w:rPr>
        <w:t xml:space="preserve">, yaitu dapat berupa uang paksa yang dibebankan kepada setiap keterlambatan dalam menghentikan pelanggaran baku mutu. Berdasarkan CWA section 309 (d), besarnya </w:t>
      </w:r>
      <w:r w:rsidRPr="007218D2">
        <w:rPr>
          <w:i/>
          <w:color w:val="000000" w:themeColor="text1"/>
        </w:rPr>
        <w:t xml:space="preserve">civil penalties </w:t>
      </w:r>
      <w:r w:rsidRPr="007218D2">
        <w:rPr>
          <w:color w:val="000000" w:themeColor="text1"/>
        </w:rPr>
        <w:t xml:space="preserve">tersebut adalah paling tinggi sebesar US$ 25.000 per hari untuk pelanggaran yang akan dibayarkan kepada negara. Selain itu, penggugat dalam </w:t>
      </w:r>
      <w:r w:rsidR="00A41F32" w:rsidRPr="007218D2">
        <w:rPr>
          <w:i/>
          <w:color w:val="000000" w:themeColor="text1"/>
        </w:rPr>
        <w:t>citizen lawsuit</w:t>
      </w:r>
      <w:r w:rsidRPr="007218D2">
        <w:rPr>
          <w:color w:val="000000" w:themeColor="text1"/>
        </w:rPr>
        <w:t xml:space="preserve"> dapat meminta tergugat u</w:t>
      </w:r>
      <w:r w:rsidR="00F62DED" w:rsidRPr="007218D2">
        <w:rPr>
          <w:color w:val="000000" w:themeColor="text1"/>
        </w:rPr>
        <w:t>n</w:t>
      </w:r>
      <w:r w:rsidRPr="007218D2">
        <w:rPr>
          <w:color w:val="000000" w:themeColor="text1"/>
        </w:rPr>
        <w:t xml:space="preserve">tuk menanggung biaya </w:t>
      </w:r>
      <w:r w:rsidR="00F62DED" w:rsidRPr="007218D2">
        <w:rPr>
          <w:color w:val="000000" w:themeColor="text1"/>
        </w:rPr>
        <w:t>lain sebagaimana tercantum dalam 33 U.S. Code $ 1365 (d), sebagai berikut:</w:t>
      </w:r>
      <w:r w:rsidR="00F62DED" w:rsidRPr="007218D2">
        <w:rPr>
          <w:rStyle w:val="FootnoteReference"/>
          <w:color w:val="000000" w:themeColor="text1"/>
        </w:rPr>
        <w:footnoteReference w:id="36"/>
      </w:r>
    </w:p>
    <w:p w14:paraId="2C5153BD" w14:textId="77777777" w:rsidR="00F62DED" w:rsidRPr="007218D2" w:rsidRDefault="00F62DED" w:rsidP="0081776B">
      <w:pPr>
        <w:ind w:left="1789"/>
        <w:jc w:val="both"/>
        <w:rPr>
          <w:rFonts w:eastAsia="Times New Roman"/>
          <w:color w:val="000000" w:themeColor="text1"/>
          <w:shd w:val="clear" w:color="auto" w:fill="FFFFFF"/>
        </w:rPr>
      </w:pPr>
      <w:r w:rsidRPr="007218D2">
        <w:rPr>
          <w:color w:val="000000" w:themeColor="text1"/>
        </w:rPr>
        <w:t>“</w:t>
      </w:r>
      <w:r w:rsidRPr="007218D2">
        <w:rPr>
          <w:rFonts w:eastAsia="Times New Roman"/>
          <w:i/>
          <w:color w:val="000000" w:themeColor="text1"/>
          <w:shd w:val="clear" w:color="auto" w:fill="FFFFFF"/>
        </w:rPr>
        <w:t>The court, in issuing any final order in any action brought pursuant to this section, may award costs of litigation (including reasonable attorney and expert witness fees) to any prevailing or substantially prevailing party, whenever the court determines such award is appropriate. The court may, if a temporary restraining order or preliminary injunction is sought, require the filing of a bond or equivalent security in accordance with the Federal Rules of Civil Procedure</w:t>
      </w:r>
      <w:r w:rsidRPr="007218D2">
        <w:rPr>
          <w:rFonts w:eastAsia="Times New Roman"/>
          <w:color w:val="000000" w:themeColor="text1"/>
          <w:shd w:val="clear" w:color="auto" w:fill="FFFFFF"/>
        </w:rPr>
        <w:t>.”</w:t>
      </w:r>
      <w:r w:rsidRPr="007218D2">
        <w:rPr>
          <w:rStyle w:val="FootnoteReference"/>
          <w:rFonts w:eastAsia="Times New Roman"/>
          <w:color w:val="000000" w:themeColor="text1"/>
          <w:shd w:val="clear" w:color="auto" w:fill="FFFFFF"/>
        </w:rPr>
        <w:footnoteReference w:id="37"/>
      </w:r>
    </w:p>
    <w:p w14:paraId="6550DCD8" w14:textId="312E6713" w:rsidR="002D2C92" w:rsidRPr="007218D2" w:rsidRDefault="00A41F32" w:rsidP="00A41F32">
      <w:pPr>
        <w:ind w:left="1069"/>
        <w:jc w:val="both"/>
        <w:rPr>
          <w:color w:val="000000" w:themeColor="text1"/>
        </w:rPr>
      </w:pPr>
      <w:r w:rsidRPr="007218D2">
        <w:rPr>
          <w:rFonts w:eastAsia="Times New Roman"/>
          <w:color w:val="000000" w:themeColor="text1"/>
          <w:shd w:val="clear" w:color="auto" w:fill="FFFFFF"/>
        </w:rPr>
        <w:t>P</w:t>
      </w:r>
      <w:r w:rsidR="002D2C92" w:rsidRPr="007218D2">
        <w:rPr>
          <w:rFonts w:eastAsia="Times New Roman"/>
          <w:color w:val="000000" w:themeColor="text1"/>
          <w:shd w:val="clear" w:color="auto" w:fill="FFFFFF"/>
        </w:rPr>
        <w:t xml:space="preserve">enggugat </w:t>
      </w:r>
      <w:r w:rsidR="002D2C92" w:rsidRPr="007218D2">
        <w:rPr>
          <w:rFonts w:eastAsia="Times New Roman"/>
          <w:i/>
          <w:color w:val="000000" w:themeColor="text1"/>
          <w:shd w:val="clear" w:color="auto" w:fill="FFFFFF"/>
        </w:rPr>
        <w:t>citizen lawsuit</w:t>
      </w:r>
      <w:r w:rsidR="00F62DED" w:rsidRPr="007218D2">
        <w:rPr>
          <w:rFonts w:eastAsia="Times New Roman"/>
          <w:color w:val="000000" w:themeColor="text1"/>
          <w:shd w:val="clear" w:color="auto" w:fill="FFFFFF"/>
        </w:rPr>
        <w:t xml:space="preserve"> </w:t>
      </w:r>
      <w:r w:rsidR="002D2C92" w:rsidRPr="007218D2">
        <w:rPr>
          <w:color w:val="000000" w:themeColor="text1"/>
        </w:rPr>
        <w:t xml:space="preserve">menuntut hukuman perdata, putusan sela ganti rugi, </w:t>
      </w:r>
      <w:r w:rsidRPr="007218D2">
        <w:rPr>
          <w:color w:val="000000" w:themeColor="text1"/>
        </w:rPr>
        <w:t>serta</w:t>
      </w:r>
      <w:r w:rsidR="002D2C92" w:rsidRPr="007218D2">
        <w:rPr>
          <w:color w:val="000000" w:themeColor="text1"/>
        </w:rPr>
        <w:t xml:space="preserve"> biaya pengacara</w:t>
      </w:r>
      <w:r w:rsidRPr="007218D2">
        <w:rPr>
          <w:color w:val="000000" w:themeColor="text1"/>
        </w:rPr>
        <w:t xml:space="preserve"> dan saksi ahli</w:t>
      </w:r>
      <w:r w:rsidR="002D2C92" w:rsidRPr="007218D2">
        <w:rPr>
          <w:color w:val="000000" w:themeColor="text1"/>
        </w:rPr>
        <w:t>. Hukuman perdata, yang diba</w:t>
      </w:r>
      <w:r w:rsidRPr="007218D2">
        <w:rPr>
          <w:color w:val="000000" w:themeColor="text1"/>
        </w:rPr>
        <w:t>yarkan ke Departemen Keuangan Amerika Serikat</w:t>
      </w:r>
      <w:r w:rsidR="002D2C92" w:rsidRPr="007218D2">
        <w:rPr>
          <w:color w:val="000000" w:themeColor="text1"/>
        </w:rPr>
        <w:t xml:space="preserve">, biasanya tersedia untuk tuntutan penegakan hukum, sementara putusan sela ganti rugi tersedia untuk tindakan penegakan hukum dan tuntutan hukum untuk memaksa lembaga melakukan tugas non-diskresi. </w:t>
      </w:r>
      <w:r w:rsidRPr="007218D2">
        <w:rPr>
          <w:color w:val="000000" w:themeColor="text1"/>
        </w:rPr>
        <w:t xml:space="preserve">Berdasarkan penjelasan di atas, </w:t>
      </w:r>
      <w:r w:rsidR="002D2C92" w:rsidRPr="007218D2">
        <w:rPr>
          <w:color w:val="000000" w:themeColor="text1"/>
        </w:rPr>
        <w:t>undang-undang lingkungan memberi wewenang kepada pengadilan untuk memberikan biaya pengacara dan saksi ahli yang wajar kepada pihak yang menang.</w:t>
      </w:r>
      <w:r w:rsidRPr="007218D2">
        <w:rPr>
          <w:rStyle w:val="FootnoteReference"/>
          <w:color w:val="000000" w:themeColor="text1"/>
        </w:rPr>
        <w:footnoteReference w:id="38"/>
      </w:r>
    </w:p>
    <w:p w14:paraId="74DD3DDE" w14:textId="7EA846D2" w:rsidR="00E72B21" w:rsidRPr="007218D2" w:rsidRDefault="007949A8" w:rsidP="0081776B">
      <w:pPr>
        <w:ind w:left="1069" w:firstLine="720"/>
        <w:jc w:val="both"/>
        <w:rPr>
          <w:color w:val="000000" w:themeColor="text1"/>
        </w:rPr>
      </w:pPr>
      <w:r w:rsidRPr="007218D2">
        <w:rPr>
          <w:color w:val="000000" w:themeColor="text1"/>
        </w:rPr>
        <w:t>Untuk megajukan gugatan citizen lawsuit di Amerika Serikat juga memiliki persyaratan untuk member</w:t>
      </w:r>
      <w:r w:rsidR="00B42F67" w:rsidRPr="007218D2">
        <w:rPr>
          <w:color w:val="000000" w:themeColor="text1"/>
        </w:rPr>
        <w:t xml:space="preserve">ikan notifikasi </w:t>
      </w:r>
      <w:r w:rsidR="0079682F" w:rsidRPr="007218D2">
        <w:rPr>
          <w:color w:val="000000" w:themeColor="text1"/>
        </w:rPr>
        <w:t>terlebih dahulu</w:t>
      </w:r>
      <w:r w:rsidR="00F62DED" w:rsidRPr="007218D2">
        <w:rPr>
          <w:color w:val="000000" w:themeColor="text1"/>
        </w:rPr>
        <w:t xml:space="preserve"> mengenai maksud dan tujuan diajukannya gugatan sebelum gugatan tersebut didaftarkan ke pengadilan. </w:t>
      </w:r>
      <w:r w:rsidR="001F7AF6" w:rsidRPr="007218D2">
        <w:rPr>
          <w:color w:val="000000" w:themeColor="text1"/>
        </w:rPr>
        <w:t xml:space="preserve">Notifikasi tersebut dibuat secara tertulis dan diberikan kepada pemerintah atau siapa pun yang melanggar dan instansi yang memiliki tanggung jawab untuk memberikan hak </w:t>
      </w:r>
      <w:r w:rsidR="001F7AF6" w:rsidRPr="007218D2">
        <w:rPr>
          <w:i/>
          <w:color w:val="000000" w:themeColor="text1"/>
        </w:rPr>
        <w:t>citzen lawsuit</w:t>
      </w:r>
      <w:r w:rsidR="001F7AF6" w:rsidRPr="007218D2">
        <w:rPr>
          <w:color w:val="000000" w:themeColor="text1"/>
        </w:rPr>
        <w:t>, selambat-lambatnya 60 hari sebelum gugatan didaftarkan.</w:t>
      </w:r>
      <w:r w:rsidR="00567A10" w:rsidRPr="007218D2">
        <w:rPr>
          <w:rStyle w:val="FootnoteReference"/>
          <w:color w:val="000000" w:themeColor="text1"/>
        </w:rPr>
        <w:footnoteReference w:id="39"/>
      </w:r>
      <w:r w:rsidR="001F7AF6" w:rsidRPr="007218D2">
        <w:rPr>
          <w:color w:val="000000" w:themeColor="text1"/>
        </w:rPr>
        <w:t xml:space="preserve"> Notifikasi ini merupakan hal yang penting, karena jika batas waktu pemberian notifikasi tidak terpenuhi, maka dapat dijadikan dasar untuk mengajukan mosi penolakan terhadap gugatan </w:t>
      </w:r>
      <w:r w:rsidR="001F7AF6" w:rsidRPr="007218D2">
        <w:rPr>
          <w:i/>
          <w:color w:val="000000" w:themeColor="text1"/>
        </w:rPr>
        <w:t>citizen lawsuit.</w:t>
      </w:r>
      <w:r w:rsidR="001F7AF6" w:rsidRPr="007218D2">
        <w:rPr>
          <w:color w:val="000000" w:themeColor="text1"/>
        </w:rPr>
        <w:t xml:space="preserve"> Notifikasi dalam </w:t>
      </w:r>
      <w:r w:rsidR="001F7AF6" w:rsidRPr="007218D2">
        <w:rPr>
          <w:i/>
          <w:color w:val="000000" w:themeColor="text1"/>
        </w:rPr>
        <w:t xml:space="preserve">citizen lawsuit </w:t>
      </w:r>
      <w:r w:rsidR="001F7AF6" w:rsidRPr="007218D2">
        <w:rPr>
          <w:color w:val="000000" w:themeColor="text1"/>
        </w:rPr>
        <w:t>harus memuat beberapa hal yaitu, terdapat informasi mengenai pelanggaran yang dituduhkan dan jenis pelanggaran atau objek</w:t>
      </w:r>
      <w:r w:rsidR="00AA0CE4" w:rsidRPr="007218D2">
        <w:rPr>
          <w:color w:val="000000" w:themeColor="text1"/>
        </w:rPr>
        <w:t xml:space="preserve"> </w:t>
      </w:r>
      <w:r w:rsidR="001F7AF6" w:rsidRPr="007218D2">
        <w:rPr>
          <w:color w:val="000000" w:themeColor="text1"/>
        </w:rPr>
        <w:t>gugatannya.</w:t>
      </w:r>
      <w:r w:rsidR="009A6C4E" w:rsidRPr="007218D2">
        <w:rPr>
          <w:rStyle w:val="FootnoteReference"/>
          <w:color w:val="000000" w:themeColor="text1"/>
        </w:rPr>
        <w:t xml:space="preserve"> </w:t>
      </w:r>
      <w:r w:rsidR="009A6C4E" w:rsidRPr="007218D2">
        <w:rPr>
          <w:rStyle w:val="FootnoteReference"/>
          <w:color w:val="000000" w:themeColor="text1"/>
        </w:rPr>
        <w:footnoteReference w:id="40"/>
      </w:r>
      <w:r w:rsidR="009F694B" w:rsidRPr="007218D2">
        <w:rPr>
          <w:color w:val="000000" w:themeColor="text1"/>
        </w:rPr>
        <w:t xml:space="preserve"> </w:t>
      </w:r>
      <w:r w:rsidR="00384A0B" w:rsidRPr="007218D2">
        <w:rPr>
          <w:color w:val="000000" w:themeColor="text1"/>
        </w:rPr>
        <w:t xml:space="preserve">Selain itu, permohonan </w:t>
      </w:r>
      <w:r w:rsidR="00384A0B" w:rsidRPr="007218D2">
        <w:rPr>
          <w:color w:val="000000" w:themeColor="text1"/>
        </w:rPr>
        <w:lastRenderedPageBreak/>
        <w:t xml:space="preserve">gugatan </w:t>
      </w:r>
      <w:r w:rsidR="00384A0B" w:rsidRPr="007218D2">
        <w:rPr>
          <w:i/>
          <w:color w:val="000000" w:themeColor="text1"/>
        </w:rPr>
        <w:t>citizen lawsuit</w:t>
      </w:r>
      <w:r w:rsidR="00384A0B" w:rsidRPr="007218D2">
        <w:rPr>
          <w:color w:val="000000" w:themeColor="text1"/>
        </w:rPr>
        <w:t xml:space="preserve"> dapat ditolak atau tidak akan dikabulkan apabila Badan Perlindungan Lingkungan (</w:t>
      </w:r>
      <w:r w:rsidR="00384A0B" w:rsidRPr="007218D2">
        <w:rPr>
          <w:i/>
          <w:color w:val="000000" w:themeColor="text1"/>
        </w:rPr>
        <w:t xml:space="preserve">Environmemtal Protection Agency </w:t>
      </w:r>
      <w:r w:rsidR="00384A0B" w:rsidRPr="007218D2">
        <w:rPr>
          <w:color w:val="000000" w:themeColor="text1"/>
        </w:rPr>
        <w:t>/ EPA) telah melakukan tindaka</w:t>
      </w:r>
      <w:r w:rsidR="009F694B" w:rsidRPr="007218D2">
        <w:rPr>
          <w:color w:val="000000" w:themeColor="text1"/>
        </w:rPr>
        <w:t>n terhadap masalah yang akan digugat</w:t>
      </w:r>
      <w:r w:rsidR="009A6C4E" w:rsidRPr="007218D2">
        <w:rPr>
          <w:color w:val="000000" w:themeColor="text1"/>
        </w:rPr>
        <w:t>.</w:t>
      </w:r>
      <w:r w:rsidR="009A6C4E" w:rsidRPr="007218D2">
        <w:rPr>
          <w:rStyle w:val="FootnoteReference"/>
          <w:color w:val="000000" w:themeColor="text1"/>
        </w:rPr>
        <w:footnoteReference w:id="41"/>
      </w:r>
    </w:p>
    <w:p w14:paraId="0C2F6D16" w14:textId="77777777" w:rsidR="00466DDC" w:rsidRPr="007218D2" w:rsidRDefault="00466DDC" w:rsidP="0081776B">
      <w:pPr>
        <w:pStyle w:val="ListParagraph"/>
        <w:ind w:left="1069"/>
        <w:jc w:val="both"/>
        <w:rPr>
          <w:rFonts w:ascii="Times New Roman" w:hAnsi="Times New Roman" w:cs="Times New Roman"/>
          <w:b/>
          <w:color w:val="000000" w:themeColor="text1"/>
        </w:rPr>
      </w:pPr>
    </w:p>
    <w:p w14:paraId="3BB3B7E3" w14:textId="387A9D97" w:rsidR="00364EB8" w:rsidRPr="007218D2" w:rsidRDefault="00E72B21" w:rsidP="001470C3">
      <w:pPr>
        <w:pStyle w:val="ListParagraph"/>
        <w:numPr>
          <w:ilvl w:val="0"/>
          <w:numId w:val="12"/>
        </w:numPr>
        <w:jc w:val="both"/>
        <w:rPr>
          <w:rFonts w:ascii="Times New Roman" w:hAnsi="Times New Roman" w:cs="Times New Roman"/>
          <w:b/>
          <w:color w:val="000000" w:themeColor="text1"/>
        </w:rPr>
      </w:pPr>
      <w:r w:rsidRPr="007218D2">
        <w:rPr>
          <w:rFonts w:ascii="Times New Roman" w:hAnsi="Times New Roman" w:cs="Times New Roman"/>
          <w:b/>
          <w:color w:val="000000" w:themeColor="text1"/>
        </w:rPr>
        <w:t xml:space="preserve">Contoh Kasus Gugatan </w:t>
      </w:r>
      <w:r w:rsidRPr="007218D2">
        <w:rPr>
          <w:rFonts w:ascii="Times New Roman" w:hAnsi="Times New Roman" w:cs="Times New Roman"/>
          <w:b/>
          <w:i/>
          <w:color w:val="000000" w:themeColor="text1"/>
        </w:rPr>
        <w:t>Citizen Lawsuit</w:t>
      </w:r>
      <w:r w:rsidRPr="007218D2">
        <w:rPr>
          <w:rFonts w:ascii="Times New Roman" w:hAnsi="Times New Roman" w:cs="Times New Roman"/>
          <w:b/>
          <w:color w:val="000000" w:themeColor="text1"/>
        </w:rPr>
        <w:t xml:space="preserve"> di Amerika Serikat</w:t>
      </w:r>
    </w:p>
    <w:p w14:paraId="36ABF60A" w14:textId="30857D94" w:rsidR="00A73323" w:rsidRPr="007218D2" w:rsidRDefault="00364EB8" w:rsidP="00466DDC">
      <w:pPr>
        <w:pStyle w:val="ListParagraph"/>
        <w:ind w:left="1069" w:firstLine="720"/>
        <w:jc w:val="both"/>
        <w:rPr>
          <w:rFonts w:ascii="Times New Roman" w:hAnsi="Times New Roman" w:cs="Times New Roman"/>
          <w:color w:val="000000" w:themeColor="text1"/>
        </w:rPr>
      </w:pP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telah memberikan peran utama dalam hukum lingkungan sejak awal tahun 1970 ketika Kongres mengesahkan sebagian besar undang-undang lingkungan federal sehingga telah membentuk kanon hukum lingkungan.</w:t>
      </w:r>
      <w:r w:rsidRPr="007218D2">
        <w:rPr>
          <w:rStyle w:val="FootnoteReference"/>
          <w:rFonts w:ascii="Times New Roman" w:hAnsi="Times New Roman" w:cs="Times New Roman"/>
          <w:color w:val="000000" w:themeColor="text1"/>
        </w:rPr>
        <w:footnoteReference w:id="42"/>
      </w:r>
      <w:r w:rsidR="00466DDC" w:rsidRPr="007218D2">
        <w:rPr>
          <w:rFonts w:ascii="Times New Roman" w:hAnsi="Times New Roman" w:cs="Times New Roman"/>
          <w:color w:val="000000" w:themeColor="text1"/>
        </w:rPr>
        <w:t xml:space="preserve"> </w:t>
      </w:r>
      <w:r w:rsidR="00A73323" w:rsidRPr="007218D2">
        <w:rPr>
          <w:rFonts w:ascii="Times New Roman" w:hAnsi="Times New Roman" w:cs="Times New Roman"/>
          <w:color w:val="000000" w:themeColor="text1"/>
        </w:rPr>
        <w:t>Kasus</w:t>
      </w:r>
      <w:r w:rsidR="009633D4" w:rsidRPr="007218D2">
        <w:rPr>
          <w:rFonts w:ascii="Times New Roman" w:hAnsi="Times New Roman" w:cs="Times New Roman"/>
          <w:color w:val="000000" w:themeColor="text1"/>
        </w:rPr>
        <w:t xml:space="preserve"> yang mengawali lahirnya gugatan </w:t>
      </w:r>
      <w:r w:rsidR="009633D4" w:rsidRPr="007218D2">
        <w:rPr>
          <w:rFonts w:ascii="Times New Roman" w:hAnsi="Times New Roman" w:cs="Times New Roman"/>
          <w:i/>
          <w:color w:val="000000" w:themeColor="text1"/>
        </w:rPr>
        <w:t xml:space="preserve">citizen lawsuit </w:t>
      </w:r>
      <w:r w:rsidR="009633D4" w:rsidRPr="007218D2">
        <w:rPr>
          <w:rFonts w:ascii="Times New Roman" w:hAnsi="Times New Roman" w:cs="Times New Roman"/>
          <w:color w:val="000000" w:themeColor="text1"/>
        </w:rPr>
        <w:t>di Amerika Serikat, adalah dengan adanya CAA 1970.</w:t>
      </w:r>
      <w:r w:rsidR="00A73323" w:rsidRPr="007218D2">
        <w:rPr>
          <w:rFonts w:ascii="Times New Roman" w:hAnsi="Times New Roman" w:cs="Times New Roman"/>
          <w:color w:val="000000" w:themeColor="text1"/>
        </w:rPr>
        <w:t xml:space="preserve"> Pada saat</w:t>
      </w:r>
      <w:r w:rsidR="009633D4" w:rsidRPr="007218D2">
        <w:rPr>
          <w:rFonts w:ascii="Times New Roman" w:hAnsi="Times New Roman" w:cs="Times New Roman"/>
          <w:color w:val="000000" w:themeColor="text1"/>
        </w:rPr>
        <w:t xml:space="preserve"> pemerintahan Obama, CAA digunakan dalam berbagai cara baik oleh warga negara maupun oleh pemerintah</w:t>
      </w:r>
      <w:r w:rsidR="009273CE" w:rsidRPr="007218D2">
        <w:rPr>
          <w:rFonts w:ascii="Times New Roman" w:hAnsi="Times New Roman" w:cs="Times New Roman"/>
          <w:color w:val="000000" w:themeColor="text1"/>
        </w:rPr>
        <w:t xml:space="preserve"> seperti untuk menentukan polutan dan keputusan terhadap perizinan untuk fasilitas tertentu yang berkaitan dengan polutan</w:t>
      </w:r>
      <w:r w:rsidR="009633D4" w:rsidRPr="007218D2">
        <w:rPr>
          <w:rFonts w:ascii="Times New Roman" w:hAnsi="Times New Roman" w:cs="Times New Roman"/>
          <w:color w:val="000000" w:themeColor="text1"/>
        </w:rPr>
        <w:t xml:space="preserve">. </w:t>
      </w:r>
      <w:r w:rsidR="009273CE" w:rsidRPr="007218D2">
        <w:rPr>
          <w:rFonts w:ascii="Times New Roman" w:hAnsi="Times New Roman" w:cs="Times New Roman"/>
          <w:color w:val="000000" w:themeColor="text1"/>
        </w:rPr>
        <w:t>Selain itu, p</w:t>
      </w:r>
      <w:r w:rsidR="009633D4" w:rsidRPr="007218D2">
        <w:rPr>
          <w:rFonts w:ascii="Times New Roman" w:hAnsi="Times New Roman" w:cs="Times New Roman"/>
          <w:color w:val="000000" w:themeColor="text1"/>
        </w:rPr>
        <w:t xml:space="preserve">emerintahan Obama menggunakan CAA untuk mengatasi masalah skala yang lebih besar, seperti perubahan iklim. </w:t>
      </w:r>
      <w:r w:rsidR="009273CE" w:rsidRPr="007218D2">
        <w:rPr>
          <w:rFonts w:ascii="Times New Roman" w:hAnsi="Times New Roman" w:cs="Times New Roman"/>
          <w:color w:val="000000" w:themeColor="text1"/>
        </w:rPr>
        <w:t>Misalnya</w:t>
      </w:r>
      <w:r w:rsidR="009633D4" w:rsidRPr="007218D2">
        <w:rPr>
          <w:rFonts w:ascii="Times New Roman" w:hAnsi="Times New Roman" w:cs="Times New Roman"/>
          <w:color w:val="000000" w:themeColor="text1"/>
        </w:rPr>
        <w:t xml:space="preserve"> </w:t>
      </w:r>
      <w:r w:rsidR="009273CE" w:rsidRPr="007218D2">
        <w:rPr>
          <w:rFonts w:ascii="Times New Roman" w:hAnsi="Times New Roman" w:cs="Times New Roman"/>
          <w:i/>
          <w:color w:val="000000" w:themeColor="text1"/>
        </w:rPr>
        <w:t>Clean Power Plan</w:t>
      </w:r>
      <w:r w:rsidR="009633D4" w:rsidRPr="007218D2">
        <w:rPr>
          <w:rFonts w:ascii="Times New Roman" w:hAnsi="Times New Roman" w:cs="Times New Roman"/>
          <w:color w:val="000000" w:themeColor="text1"/>
        </w:rPr>
        <w:t xml:space="preserve"> yang disel</w:t>
      </w:r>
      <w:r w:rsidR="009273CE" w:rsidRPr="007218D2">
        <w:rPr>
          <w:rFonts w:ascii="Times New Roman" w:hAnsi="Times New Roman" w:cs="Times New Roman"/>
          <w:color w:val="000000" w:themeColor="text1"/>
        </w:rPr>
        <w:t xml:space="preserve">esaikan pada bulan Oktober 2015, </w:t>
      </w:r>
      <w:r w:rsidR="009633D4" w:rsidRPr="007218D2">
        <w:rPr>
          <w:rFonts w:ascii="Times New Roman" w:hAnsi="Times New Roman" w:cs="Times New Roman"/>
          <w:color w:val="000000" w:themeColor="text1"/>
        </w:rPr>
        <w:t>secara khusus menetapkan "Dampak Perubahan Iklim dari Emisi G</w:t>
      </w:r>
      <w:r w:rsidR="009273CE" w:rsidRPr="007218D2">
        <w:rPr>
          <w:rFonts w:ascii="Times New Roman" w:hAnsi="Times New Roman" w:cs="Times New Roman"/>
          <w:color w:val="000000" w:themeColor="text1"/>
        </w:rPr>
        <w:t>as Rumah Kaca (</w:t>
      </w:r>
      <w:r w:rsidR="009273CE" w:rsidRPr="007218D2">
        <w:rPr>
          <w:rFonts w:ascii="Times New Roman" w:hAnsi="Times New Roman" w:cs="Times New Roman"/>
          <w:i/>
          <w:color w:val="000000" w:themeColor="text1"/>
        </w:rPr>
        <w:t>Greenhouse Gas</w:t>
      </w:r>
      <w:r w:rsidR="009273CE" w:rsidRPr="007218D2">
        <w:rPr>
          <w:rFonts w:ascii="Times New Roman" w:hAnsi="Times New Roman" w:cs="Times New Roman"/>
          <w:color w:val="000000" w:themeColor="text1"/>
        </w:rPr>
        <w:t>)</w:t>
      </w:r>
      <w:r w:rsidR="009633D4" w:rsidRPr="007218D2">
        <w:rPr>
          <w:rFonts w:ascii="Times New Roman" w:hAnsi="Times New Roman" w:cs="Times New Roman"/>
          <w:color w:val="000000" w:themeColor="text1"/>
        </w:rPr>
        <w:t xml:space="preserve">" dan </w:t>
      </w:r>
      <w:r w:rsidR="009273CE" w:rsidRPr="007218D2">
        <w:rPr>
          <w:rFonts w:ascii="Times New Roman" w:hAnsi="Times New Roman" w:cs="Times New Roman"/>
          <w:color w:val="000000" w:themeColor="text1"/>
        </w:rPr>
        <w:t>mengatur mengenai</w:t>
      </w:r>
      <w:r w:rsidR="009633D4" w:rsidRPr="007218D2">
        <w:rPr>
          <w:rFonts w:ascii="Times New Roman" w:hAnsi="Times New Roman" w:cs="Times New Roman"/>
          <w:color w:val="000000" w:themeColor="text1"/>
        </w:rPr>
        <w:t xml:space="preserve"> pembatasan </w:t>
      </w:r>
      <w:r w:rsidR="009273CE" w:rsidRPr="007218D2">
        <w:rPr>
          <w:rFonts w:ascii="Times New Roman" w:hAnsi="Times New Roman" w:cs="Times New Roman"/>
          <w:color w:val="000000" w:themeColor="text1"/>
        </w:rPr>
        <w:t>emisi unit pembangkit listrik.</w:t>
      </w:r>
      <w:r w:rsidR="009273CE" w:rsidRPr="007218D2">
        <w:rPr>
          <w:rStyle w:val="FootnoteReference"/>
          <w:rFonts w:ascii="Times New Roman" w:hAnsi="Times New Roman" w:cs="Times New Roman"/>
          <w:color w:val="000000" w:themeColor="text1"/>
        </w:rPr>
        <w:footnoteReference w:id="43"/>
      </w:r>
    </w:p>
    <w:p w14:paraId="5E60CE89" w14:textId="19A76E5F" w:rsidR="00A73323" w:rsidRPr="007218D2" w:rsidRDefault="009273CE" w:rsidP="00A73323">
      <w:pPr>
        <w:pStyle w:val="ListParagraph"/>
        <w:ind w:left="1069" w:firstLine="720"/>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Kemudian, saat Presiden Trump menjabat, pemerintahannya meninjau, merevisi, dan membatalkan banyak program CAA yang sudah diterapkan pada pemerintahan sebelumnya yang telah mendapatkan berbagai tingkat keberhasilan. Presiden Trump mengeluarkan perintah eksekutif yang mengarahkan EPA untuk mulai membongkar </w:t>
      </w:r>
      <w:r w:rsidRPr="007218D2">
        <w:rPr>
          <w:rFonts w:ascii="Times New Roman" w:hAnsi="Times New Roman" w:cs="Times New Roman"/>
          <w:i/>
          <w:color w:val="000000" w:themeColor="text1"/>
        </w:rPr>
        <w:t>Clean Power Plan</w:t>
      </w:r>
      <w:r w:rsidRPr="007218D2">
        <w:rPr>
          <w:rFonts w:ascii="Times New Roman" w:hAnsi="Times New Roman" w:cs="Times New Roman"/>
          <w:color w:val="000000" w:themeColor="text1"/>
        </w:rPr>
        <w:t xml:space="preserve"> </w:t>
      </w:r>
      <w:r w:rsidR="00A73323" w:rsidRPr="007218D2">
        <w:rPr>
          <w:rFonts w:ascii="Times New Roman" w:hAnsi="Times New Roman" w:cs="Times New Roman"/>
          <w:color w:val="000000" w:themeColor="text1"/>
        </w:rPr>
        <w:t>yang sudah dibuat pada saat kememipinan Presiden Obama.</w:t>
      </w:r>
      <w:r w:rsidR="00A73323" w:rsidRPr="007218D2">
        <w:rPr>
          <w:rStyle w:val="FootnoteReference"/>
          <w:rFonts w:ascii="Times New Roman" w:hAnsi="Times New Roman" w:cs="Times New Roman"/>
          <w:color w:val="000000" w:themeColor="text1"/>
        </w:rPr>
        <w:footnoteReference w:id="44"/>
      </w:r>
    </w:p>
    <w:p w14:paraId="5017C159" w14:textId="4650206B" w:rsidR="003D6B5D" w:rsidRPr="007218D2" w:rsidRDefault="00A73323" w:rsidP="00C113ED">
      <w:pPr>
        <w:pStyle w:val="ListParagraph"/>
        <w:ind w:left="1069" w:firstLine="720"/>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Kasus 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di Amerika Serikat yang terkenal adalah mengenai gugatan terhadap permasalahan lingkungan yang diajukan oleh Warga Negara Amerika karena pemerintah lalai dalam melakukan pelestarian terhadap spesies kelelawar langka. Gugatan tersebut berhasil dikabulkan dan pemerintah Amerika Serikat mengeluarkan </w:t>
      </w:r>
      <w:r w:rsidRPr="007218D2">
        <w:rPr>
          <w:rFonts w:ascii="Times New Roman" w:hAnsi="Times New Roman" w:cs="Times New Roman"/>
          <w:i/>
          <w:color w:val="000000" w:themeColor="text1"/>
        </w:rPr>
        <w:t>Act</w:t>
      </w:r>
      <w:r w:rsidRPr="007218D2">
        <w:rPr>
          <w:rFonts w:ascii="Times New Roman" w:hAnsi="Times New Roman" w:cs="Times New Roman"/>
          <w:color w:val="000000" w:themeColor="text1"/>
        </w:rPr>
        <w:t xml:space="preserve"> mengenai Konservasi Kelelawar Langka.</w:t>
      </w:r>
      <w:r w:rsidRPr="007218D2">
        <w:rPr>
          <w:rStyle w:val="FootnoteReference"/>
          <w:rFonts w:ascii="Times New Roman" w:hAnsi="Times New Roman" w:cs="Times New Roman"/>
          <w:color w:val="000000" w:themeColor="text1"/>
        </w:rPr>
        <w:footnoteReference w:id="45"/>
      </w:r>
      <w:r w:rsidR="0020711D" w:rsidRPr="007218D2">
        <w:rPr>
          <w:rFonts w:ascii="Times New Roman" w:hAnsi="Times New Roman" w:cs="Times New Roman"/>
          <w:color w:val="000000" w:themeColor="text1"/>
        </w:rPr>
        <w:t xml:space="preserve"> Selain itu terdapat </w:t>
      </w:r>
      <w:r w:rsidR="0020711D" w:rsidRPr="007218D2">
        <w:rPr>
          <w:rFonts w:ascii="Times New Roman" w:hAnsi="Times New Roman" w:cs="Times New Roman"/>
          <w:i/>
          <w:color w:val="000000" w:themeColor="text1"/>
        </w:rPr>
        <w:t>Endangered Species Act</w:t>
      </w:r>
      <w:r w:rsidRPr="007218D2">
        <w:rPr>
          <w:rFonts w:ascii="Times New Roman" w:hAnsi="Times New Roman" w:cs="Times New Roman"/>
          <w:color w:val="000000" w:themeColor="text1"/>
        </w:rPr>
        <w:t xml:space="preserve"> </w:t>
      </w:r>
      <w:r w:rsidR="0020711D" w:rsidRPr="007218D2">
        <w:rPr>
          <w:rFonts w:ascii="Times New Roman" w:hAnsi="Times New Roman" w:cs="Times New Roman"/>
          <w:color w:val="000000" w:themeColor="text1"/>
        </w:rPr>
        <w:t>(“</w:t>
      </w:r>
      <w:r w:rsidR="0020711D" w:rsidRPr="007218D2">
        <w:rPr>
          <w:rFonts w:ascii="Times New Roman" w:hAnsi="Times New Roman" w:cs="Times New Roman"/>
          <w:b/>
          <w:color w:val="000000" w:themeColor="text1"/>
        </w:rPr>
        <w:t>ESA</w:t>
      </w:r>
      <w:r w:rsidR="0020711D" w:rsidRPr="007218D2">
        <w:rPr>
          <w:rFonts w:ascii="Times New Roman" w:hAnsi="Times New Roman" w:cs="Times New Roman"/>
          <w:color w:val="000000" w:themeColor="text1"/>
        </w:rPr>
        <w:t xml:space="preserve">”) yang diberlakukan oleh pemerintah federal melalui gugatan </w:t>
      </w:r>
      <w:r w:rsidR="0020711D" w:rsidRPr="007218D2">
        <w:rPr>
          <w:rFonts w:ascii="Times New Roman" w:hAnsi="Times New Roman" w:cs="Times New Roman"/>
          <w:i/>
          <w:color w:val="000000" w:themeColor="text1"/>
        </w:rPr>
        <w:t>citizen lawsuit</w:t>
      </w:r>
      <w:r w:rsidR="0020711D" w:rsidRPr="007218D2">
        <w:rPr>
          <w:rFonts w:ascii="Times New Roman" w:hAnsi="Times New Roman" w:cs="Times New Roman"/>
          <w:color w:val="000000" w:themeColor="text1"/>
        </w:rPr>
        <w:t>.</w:t>
      </w:r>
      <w:r w:rsidR="0020711D" w:rsidRPr="007218D2">
        <w:rPr>
          <w:rStyle w:val="FootnoteReference"/>
          <w:rFonts w:ascii="Times New Roman" w:hAnsi="Times New Roman" w:cs="Times New Roman"/>
          <w:color w:val="000000" w:themeColor="text1"/>
        </w:rPr>
        <w:footnoteReference w:id="46"/>
      </w:r>
      <w:r w:rsidR="00C113ED" w:rsidRPr="007218D2">
        <w:rPr>
          <w:rFonts w:ascii="Times New Roman" w:hAnsi="Times New Roman" w:cs="Times New Roman"/>
          <w:color w:val="000000" w:themeColor="text1"/>
        </w:rPr>
        <w:t xml:space="preserve"> </w:t>
      </w:r>
      <w:r w:rsidR="003D6B5D" w:rsidRPr="007218D2">
        <w:rPr>
          <w:rFonts w:ascii="Times New Roman" w:hAnsi="Times New Roman" w:cs="Times New Roman"/>
          <w:color w:val="000000" w:themeColor="text1"/>
        </w:rPr>
        <w:t xml:space="preserve">Berdasarkan kasus </w:t>
      </w:r>
      <w:r w:rsidRPr="007218D2">
        <w:rPr>
          <w:rFonts w:ascii="Times New Roman" w:hAnsi="Times New Roman" w:cs="Times New Roman"/>
          <w:color w:val="000000" w:themeColor="text1"/>
        </w:rPr>
        <w:t>tersebut</w:t>
      </w:r>
      <w:r w:rsidR="003D6B5D" w:rsidRPr="007218D2">
        <w:rPr>
          <w:rFonts w:ascii="Times New Roman" w:hAnsi="Times New Roman" w:cs="Times New Roman"/>
          <w:color w:val="000000" w:themeColor="text1"/>
        </w:rPr>
        <w:t xml:space="preserve">, adanya gugatan </w:t>
      </w:r>
      <w:r w:rsidR="003D6B5D" w:rsidRPr="007218D2">
        <w:rPr>
          <w:rFonts w:ascii="Times New Roman" w:hAnsi="Times New Roman" w:cs="Times New Roman"/>
          <w:i/>
          <w:color w:val="000000" w:themeColor="text1"/>
        </w:rPr>
        <w:t>citizen lawsuit</w:t>
      </w:r>
      <w:r w:rsidR="00166B53" w:rsidRPr="007218D2">
        <w:rPr>
          <w:rFonts w:ascii="Times New Roman" w:hAnsi="Times New Roman" w:cs="Times New Roman"/>
          <w:color w:val="000000" w:themeColor="text1"/>
        </w:rPr>
        <w:t xml:space="preserve"> di Amerika Serikat </w:t>
      </w:r>
      <w:r w:rsidR="003D6B5D" w:rsidRPr="007218D2">
        <w:rPr>
          <w:rFonts w:ascii="Times New Roman" w:hAnsi="Times New Roman" w:cs="Times New Roman"/>
          <w:color w:val="000000" w:themeColor="text1"/>
        </w:rPr>
        <w:t>bertujuan agar pemerintah melakukan perbaikan atas kinerjanya dan mengeluarkan suatu kebijakan yang mengatur umum (</w:t>
      </w:r>
      <w:r w:rsidR="003D6B5D" w:rsidRPr="007218D2">
        <w:rPr>
          <w:rFonts w:ascii="Times New Roman" w:hAnsi="Times New Roman" w:cs="Times New Roman"/>
          <w:i/>
          <w:color w:val="000000" w:themeColor="text1"/>
        </w:rPr>
        <w:t>regeling</w:t>
      </w:r>
      <w:r w:rsidR="003D6B5D" w:rsidRPr="007218D2">
        <w:rPr>
          <w:rFonts w:ascii="Times New Roman" w:hAnsi="Times New Roman" w:cs="Times New Roman"/>
          <w:color w:val="000000" w:themeColor="text1"/>
        </w:rPr>
        <w:t>) agar kelalaian yang sebelunya terjadi tidak terula</w:t>
      </w:r>
      <w:r w:rsidR="00EB5046" w:rsidRPr="007218D2">
        <w:rPr>
          <w:rFonts w:ascii="Times New Roman" w:hAnsi="Times New Roman" w:cs="Times New Roman"/>
          <w:color w:val="000000" w:themeColor="text1"/>
        </w:rPr>
        <w:t>n</w:t>
      </w:r>
      <w:r w:rsidR="003D6B5D" w:rsidRPr="007218D2">
        <w:rPr>
          <w:rFonts w:ascii="Times New Roman" w:hAnsi="Times New Roman" w:cs="Times New Roman"/>
          <w:color w:val="000000" w:themeColor="text1"/>
        </w:rPr>
        <w:t>g lagi dimasa yang akan datang.</w:t>
      </w:r>
      <w:r w:rsidR="003D6B5D" w:rsidRPr="007218D2">
        <w:rPr>
          <w:rStyle w:val="FootnoteReference"/>
          <w:rFonts w:ascii="Times New Roman" w:hAnsi="Times New Roman" w:cs="Times New Roman"/>
          <w:color w:val="000000" w:themeColor="text1"/>
        </w:rPr>
        <w:footnoteReference w:id="47"/>
      </w:r>
    </w:p>
    <w:p w14:paraId="254CD635" w14:textId="77777777" w:rsidR="0081776B" w:rsidRPr="007218D2" w:rsidRDefault="0081776B" w:rsidP="0081776B">
      <w:pPr>
        <w:jc w:val="both"/>
        <w:rPr>
          <w:b/>
          <w:color w:val="000000" w:themeColor="text1"/>
        </w:rPr>
      </w:pPr>
    </w:p>
    <w:p w14:paraId="04334CF4" w14:textId="77777777" w:rsidR="00340F4F" w:rsidRPr="007218D2" w:rsidRDefault="00340F4F" w:rsidP="0081776B">
      <w:pPr>
        <w:jc w:val="both"/>
        <w:rPr>
          <w:b/>
          <w:color w:val="000000" w:themeColor="text1"/>
        </w:rPr>
      </w:pPr>
    </w:p>
    <w:p w14:paraId="3F1BE523" w14:textId="77777777" w:rsidR="00340F4F" w:rsidRPr="007218D2" w:rsidRDefault="00340F4F" w:rsidP="0081776B">
      <w:pPr>
        <w:jc w:val="both"/>
        <w:rPr>
          <w:b/>
          <w:color w:val="000000" w:themeColor="text1"/>
        </w:rPr>
      </w:pPr>
    </w:p>
    <w:p w14:paraId="2BCC464A" w14:textId="1FA9928F" w:rsidR="001C1CD4" w:rsidRPr="007218D2" w:rsidRDefault="00355740" w:rsidP="0081776B">
      <w:pPr>
        <w:pStyle w:val="ListParagraph"/>
        <w:numPr>
          <w:ilvl w:val="0"/>
          <w:numId w:val="1"/>
        </w:numPr>
        <w:ind w:left="709"/>
        <w:jc w:val="both"/>
        <w:rPr>
          <w:rFonts w:ascii="Times New Roman" w:hAnsi="Times New Roman" w:cs="Times New Roman"/>
          <w:b/>
          <w:color w:val="000000" w:themeColor="text1"/>
        </w:rPr>
      </w:pPr>
      <w:r w:rsidRPr="007218D2">
        <w:rPr>
          <w:rFonts w:ascii="Times New Roman" w:hAnsi="Times New Roman" w:cs="Times New Roman"/>
          <w:b/>
          <w:color w:val="000000" w:themeColor="text1"/>
        </w:rPr>
        <w:t>Tabel Perbandingan</w:t>
      </w:r>
      <w:r w:rsidR="003F7619" w:rsidRPr="007218D2">
        <w:rPr>
          <w:rFonts w:ascii="Times New Roman" w:hAnsi="Times New Roman" w:cs="Times New Roman"/>
          <w:b/>
          <w:color w:val="000000" w:themeColor="text1"/>
        </w:rPr>
        <w:t xml:space="preserve"> Gugatan </w:t>
      </w:r>
      <w:r w:rsidR="003F7619" w:rsidRPr="007218D2">
        <w:rPr>
          <w:rFonts w:ascii="Times New Roman" w:hAnsi="Times New Roman" w:cs="Times New Roman"/>
          <w:b/>
          <w:i/>
          <w:color w:val="000000" w:themeColor="text1"/>
        </w:rPr>
        <w:t>Citizen Lawsuit</w:t>
      </w:r>
      <w:r w:rsidR="003F7619" w:rsidRPr="007218D2">
        <w:rPr>
          <w:rFonts w:ascii="Times New Roman" w:hAnsi="Times New Roman" w:cs="Times New Roman"/>
          <w:b/>
          <w:color w:val="000000" w:themeColor="text1"/>
        </w:rPr>
        <w:t xml:space="preserve"> di Indonesia dan Amerika Serikat</w:t>
      </w:r>
    </w:p>
    <w:p w14:paraId="56B1610B" w14:textId="5DE84166" w:rsidR="001C1CD4" w:rsidRPr="007218D2" w:rsidRDefault="001C1CD4" w:rsidP="0081776B">
      <w:pPr>
        <w:ind w:left="720" w:firstLine="720"/>
        <w:jc w:val="both"/>
        <w:rPr>
          <w:color w:val="000000" w:themeColor="text1"/>
        </w:rPr>
      </w:pPr>
      <w:r w:rsidRPr="007218D2">
        <w:rPr>
          <w:color w:val="000000" w:themeColor="text1"/>
        </w:rPr>
        <w:lastRenderedPageBreak/>
        <w:t xml:space="preserve">Berdasarkan uraian mengenai gugatan </w:t>
      </w:r>
      <w:r w:rsidRPr="007218D2">
        <w:rPr>
          <w:i/>
          <w:color w:val="000000" w:themeColor="text1"/>
        </w:rPr>
        <w:t xml:space="preserve">citizen lawsuit </w:t>
      </w:r>
      <w:r w:rsidRPr="007218D2">
        <w:rPr>
          <w:color w:val="000000" w:themeColor="text1"/>
        </w:rPr>
        <w:t xml:space="preserve">pada bagian 2 dan bagian 3 tulisan ini, </w:t>
      </w:r>
      <w:r w:rsidRPr="007218D2">
        <w:rPr>
          <w:i/>
          <w:color w:val="000000" w:themeColor="text1"/>
        </w:rPr>
        <w:t>citizen lawsuit</w:t>
      </w:r>
      <w:r w:rsidRPr="007218D2">
        <w:rPr>
          <w:color w:val="000000" w:themeColor="text1"/>
        </w:rPr>
        <w:t xml:space="preserve"> yang dipraktikan di Indonesia dan Amerika Serikat memiliki </w:t>
      </w:r>
      <w:r w:rsidR="003F7619" w:rsidRPr="007218D2">
        <w:rPr>
          <w:color w:val="000000" w:themeColor="text1"/>
        </w:rPr>
        <w:t xml:space="preserve">persamaan dan </w:t>
      </w:r>
      <w:r w:rsidRPr="007218D2">
        <w:rPr>
          <w:color w:val="000000" w:themeColor="text1"/>
        </w:rPr>
        <w:t xml:space="preserve">perbedaan. Dalam hal ini, penulis membuat perbandingan dalam tabel untuk menunjukan persamaan dan perbedaan apa saja </w:t>
      </w:r>
      <w:r w:rsidR="003F7619" w:rsidRPr="007218D2">
        <w:rPr>
          <w:color w:val="000000" w:themeColor="text1"/>
        </w:rPr>
        <w:t xml:space="preserve">yang terdapat dalam </w:t>
      </w:r>
      <w:r w:rsidRPr="007218D2">
        <w:rPr>
          <w:color w:val="000000" w:themeColor="text1"/>
        </w:rPr>
        <w:t xml:space="preserve">gugatan </w:t>
      </w:r>
      <w:r w:rsidRPr="007218D2">
        <w:rPr>
          <w:i/>
          <w:color w:val="000000" w:themeColor="text1"/>
        </w:rPr>
        <w:t>citizen lawsuit</w:t>
      </w:r>
      <w:r w:rsidRPr="007218D2">
        <w:rPr>
          <w:color w:val="000000" w:themeColor="text1"/>
        </w:rPr>
        <w:t xml:space="preserve"> di Indonesia</w:t>
      </w:r>
      <w:r w:rsidR="00AD59D6" w:rsidRPr="007218D2">
        <w:rPr>
          <w:color w:val="000000" w:themeColor="text1"/>
        </w:rPr>
        <w:t xml:space="preserve"> dan Amerika Serikat, sebagai berikut:</w:t>
      </w:r>
    </w:p>
    <w:p w14:paraId="66B09729" w14:textId="77777777" w:rsidR="001470C3" w:rsidRPr="007218D2" w:rsidRDefault="001470C3" w:rsidP="0081776B">
      <w:pPr>
        <w:ind w:left="709"/>
        <w:jc w:val="both"/>
        <w:rPr>
          <w:color w:val="000000" w:themeColor="text1"/>
        </w:rPr>
      </w:pPr>
    </w:p>
    <w:tbl>
      <w:tblPr>
        <w:tblStyle w:val="TableGrid"/>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2733"/>
        <w:gridCol w:w="2751"/>
        <w:gridCol w:w="2817"/>
      </w:tblGrid>
      <w:tr w:rsidR="00AA0CE4" w:rsidRPr="007218D2" w14:paraId="7663E3E5" w14:textId="77777777" w:rsidTr="00C83F6F">
        <w:trPr>
          <w:trHeight w:val="325"/>
        </w:trPr>
        <w:tc>
          <w:tcPr>
            <w:tcW w:w="2733" w:type="dxa"/>
          </w:tcPr>
          <w:p w14:paraId="17147F79" w14:textId="77777777" w:rsidR="00E72B21" w:rsidRPr="007218D2" w:rsidRDefault="00E72B21" w:rsidP="0081776B">
            <w:pPr>
              <w:jc w:val="both"/>
              <w:rPr>
                <w:color w:val="000000" w:themeColor="text1"/>
              </w:rPr>
            </w:pPr>
          </w:p>
        </w:tc>
        <w:tc>
          <w:tcPr>
            <w:tcW w:w="2751" w:type="dxa"/>
          </w:tcPr>
          <w:p w14:paraId="086B0F24" w14:textId="060A1165" w:rsidR="00E72B21" w:rsidRPr="007218D2" w:rsidRDefault="00E72B21" w:rsidP="0081776B">
            <w:pPr>
              <w:jc w:val="center"/>
              <w:rPr>
                <w:b/>
                <w:color w:val="000000" w:themeColor="text1"/>
              </w:rPr>
            </w:pPr>
            <w:r w:rsidRPr="007218D2">
              <w:rPr>
                <w:b/>
                <w:color w:val="000000" w:themeColor="text1"/>
              </w:rPr>
              <w:t>Indonesia</w:t>
            </w:r>
          </w:p>
        </w:tc>
        <w:tc>
          <w:tcPr>
            <w:tcW w:w="2817" w:type="dxa"/>
          </w:tcPr>
          <w:p w14:paraId="0E3084D0" w14:textId="4B49FEBF" w:rsidR="00E72B21" w:rsidRPr="007218D2" w:rsidRDefault="00E72B21" w:rsidP="0081776B">
            <w:pPr>
              <w:jc w:val="center"/>
              <w:rPr>
                <w:b/>
                <w:color w:val="000000" w:themeColor="text1"/>
              </w:rPr>
            </w:pPr>
            <w:r w:rsidRPr="007218D2">
              <w:rPr>
                <w:b/>
                <w:color w:val="000000" w:themeColor="text1"/>
              </w:rPr>
              <w:t>Amerika Serikat</w:t>
            </w:r>
          </w:p>
        </w:tc>
      </w:tr>
      <w:tr w:rsidR="00AA0CE4" w:rsidRPr="007218D2" w14:paraId="4C1674D0" w14:textId="77777777" w:rsidTr="00C83F6F">
        <w:tc>
          <w:tcPr>
            <w:tcW w:w="2733" w:type="dxa"/>
          </w:tcPr>
          <w:p w14:paraId="25F8656D" w14:textId="5E5F9A22" w:rsidR="00BE6E96" w:rsidRPr="007218D2" w:rsidRDefault="00BE6E96" w:rsidP="0081776B">
            <w:pPr>
              <w:jc w:val="both"/>
              <w:rPr>
                <w:b/>
                <w:color w:val="000000" w:themeColor="text1"/>
              </w:rPr>
            </w:pPr>
            <w:r w:rsidRPr="007218D2">
              <w:rPr>
                <w:b/>
                <w:color w:val="000000" w:themeColor="text1"/>
              </w:rPr>
              <w:t>Penggugat</w:t>
            </w:r>
          </w:p>
        </w:tc>
        <w:tc>
          <w:tcPr>
            <w:tcW w:w="2751" w:type="dxa"/>
          </w:tcPr>
          <w:p w14:paraId="4557E070" w14:textId="2311C305" w:rsidR="00BE6E96" w:rsidRPr="007218D2" w:rsidRDefault="00BE6E96" w:rsidP="0081776B">
            <w:pPr>
              <w:jc w:val="both"/>
              <w:rPr>
                <w:color w:val="000000" w:themeColor="text1"/>
              </w:rPr>
            </w:pPr>
            <w:r w:rsidRPr="007218D2">
              <w:rPr>
                <w:color w:val="000000" w:themeColor="text1"/>
              </w:rPr>
              <w:t>Satu orang atau lebih Warga Negara Indonesia, dan bukan merupakan badan hukum.</w:t>
            </w:r>
          </w:p>
        </w:tc>
        <w:tc>
          <w:tcPr>
            <w:tcW w:w="2817" w:type="dxa"/>
          </w:tcPr>
          <w:p w14:paraId="5749FA5C" w14:textId="7B73656A" w:rsidR="00BE6E96" w:rsidRPr="007218D2" w:rsidRDefault="00BE6E96" w:rsidP="0081776B">
            <w:pPr>
              <w:jc w:val="both"/>
              <w:rPr>
                <w:color w:val="000000" w:themeColor="text1"/>
              </w:rPr>
            </w:pPr>
            <w:r w:rsidRPr="007218D2">
              <w:rPr>
                <w:color w:val="000000" w:themeColor="text1"/>
              </w:rPr>
              <w:t xml:space="preserve">Setiap warga negara yang memiliki </w:t>
            </w:r>
            <w:r w:rsidRPr="007218D2">
              <w:rPr>
                <w:i/>
                <w:color w:val="000000" w:themeColor="text1"/>
              </w:rPr>
              <w:t>standing.</w:t>
            </w:r>
          </w:p>
        </w:tc>
      </w:tr>
      <w:tr w:rsidR="00AA0CE4" w:rsidRPr="007218D2" w14:paraId="651689B0" w14:textId="77777777" w:rsidTr="00C83F6F">
        <w:tc>
          <w:tcPr>
            <w:tcW w:w="2733" w:type="dxa"/>
          </w:tcPr>
          <w:p w14:paraId="55013574" w14:textId="13520C98" w:rsidR="00E72B21" w:rsidRPr="007218D2" w:rsidRDefault="001C1CD4" w:rsidP="0081776B">
            <w:pPr>
              <w:jc w:val="both"/>
              <w:rPr>
                <w:b/>
                <w:color w:val="000000" w:themeColor="text1"/>
              </w:rPr>
            </w:pPr>
            <w:r w:rsidRPr="007218D2">
              <w:rPr>
                <w:b/>
                <w:color w:val="000000" w:themeColor="text1"/>
              </w:rPr>
              <w:t>Tergugat</w:t>
            </w:r>
          </w:p>
        </w:tc>
        <w:tc>
          <w:tcPr>
            <w:tcW w:w="2751" w:type="dxa"/>
          </w:tcPr>
          <w:p w14:paraId="2A6C8E4A" w14:textId="35B9FD2E" w:rsidR="00BE6E96" w:rsidRPr="007218D2" w:rsidRDefault="00BE6E96" w:rsidP="0081776B">
            <w:pPr>
              <w:jc w:val="both"/>
              <w:rPr>
                <w:color w:val="000000" w:themeColor="text1"/>
              </w:rPr>
            </w:pPr>
            <w:r w:rsidRPr="007218D2">
              <w:rPr>
                <w:color w:val="000000" w:themeColor="text1"/>
              </w:rPr>
              <w:t>Terbatas pada Penyelenggara Negara yaitu pemerintah dan/atau lembaga negara.</w:t>
            </w:r>
          </w:p>
        </w:tc>
        <w:tc>
          <w:tcPr>
            <w:tcW w:w="2817" w:type="dxa"/>
          </w:tcPr>
          <w:p w14:paraId="219B7CFC" w14:textId="4C2F88FC" w:rsidR="00E72B21" w:rsidRPr="007218D2" w:rsidRDefault="00AA0CE4" w:rsidP="0081776B">
            <w:pPr>
              <w:jc w:val="both"/>
              <w:rPr>
                <w:color w:val="000000" w:themeColor="text1"/>
              </w:rPr>
            </w:pPr>
            <w:r w:rsidRPr="007218D2">
              <w:rPr>
                <w:color w:val="000000" w:themeColor="text1"/>
              </w:rPr>
              <w:t>Pemerintah dan sesama</w:t>
            </w:r>
            <w:r w:rsidR="00BE6E96" w:rsidRPr="007218D2">
              <w:rPr>
                <w:color w:val="000000" w:themeColor="text1"/>
              </w:rPr>
              <w:t xml:space="preserve"> warga negara atau badan usaha yang gagal menaati kewajiban hukum.</w:t>
            </w:r>
          </w:p>
        </w:tc>
      </w:tr>
      <w:tr w:rsidR="00AA0CE4" w:rsidRPr="007218D2" w14:paraId="7817906F" w14:textId="77777777" w:rsidTr="00C83F6F">
        <w:tc>
          <w:tcPr>
            <w:tcW w:w="2733" w:type="dxa"/>
          </w:tcPr>
          <w:p w14:paraId="2CAD2358" w14:textId="7FDBB094" w:rsidR="00E72B21" w:rsidRPr="007218D2" w:rsidRDefault="00A110F5" w:rsidP="0081776B">
            <w:pPr>
              <w:jc w:val="both"/>
              <w:rPr>
                <w:b/>
                <w:color w:val="000000" w:themeColor="text1"/>
              </w:rPr>
            </w:pPr>
            <w:r w:rsidRPr="007218D2">
              <w:rPr>
                <w:b/>
                <w:color w:val="000000" w:themeColor="text1"/>
              </w:rPr>
              <w:t xml:space="preserve">Hubungan </w:t>
            </w:r>
            <w:r w:rsidR="008D41E4" w:rsidRPr="007218D2">
              <w:rPr>
                <w:b/>
                <w:color w:val="000000" w:themeColor="text1"/>
              </w:rPr>
              <w:t>Kepentingan</w:t>
            </w:r>
          </w:p>
        </w:tc>
        <w:tc>
          <w:tcPr>
            <w:tcW w:w="2751" w:type="dxa"/>
          </w:tcPr>
          <w:p w14:paraId="0931AADC" w14:textId="4E8BACBC" w:rsidR="00E72B21" w:rsidRPr="007218D2" w:rsidRDefault="001C1CD4" w:rsidP="0081776B">
            <w:pPr>
              <w:jc w:val="both"/>
              <w:rPr>
                <w:color w:val="000000" w:themeColor="text1"/>
              </w:rPr>
            </w:pPr>
            <w:r w:rsidRPr="007218D2">
              <w:rPr>
                <w:color w:val="000000" w:themeColor="text1"/>
              </w:rPr>
              <w:t>Kepentingan Umum</w:t>
            </w:r>
          </w:p>
        </w:tc>
        <w:tc>
          <w:tcPr>
            <w:tcW w:w="2817" w:type="dxa"/>
          </w:tcPr>
          <w:p w14:paraId="51745CC3" w14:textId="16DAF486" w:rsidR="00E72B21" w:rsidRPr="007218D2" w:rsidRDefault="001C1CD4" w:rsidP="0081776B">
            <w:pPr>
              <w:jc w:val="both"/>
              <w:rPr>
                <w:color w:val="000000" w:themeColor="text1"/>
              </w:rPr>
            </w:pPr>
            <w:r w:rsidRPr="007218D2">
              <w:rPr>
                <w:color w:val="000000" w:themeColor="text1"/>
              </w:rPr>
              <w:t>Kepentingan Umum</w:t>
            </w:r>
          </w:p>
        </w:tc>
      </w:tr>
      <w:tr w:rsidR="00AA0CE4" w:rsidRPr="007218D2" w14:paraId="2D68893F" w14:textId="77777777" w:rsidTr="00C83F6F">
        <w:tc>
          <w:tcPr>
            <w:tcW w:w="2733" w:type="dxa"/>
          </w:tcPr>
          <w:p w14:paraId="3B0CEC3C" w14:textId="216DE9DF" w:rsidR="00E72B21" w:rsidRPr="007218D2" w:rsidRDefault="008D41E4" w:rsidP="0081776B">
            <w:pPr>
              <w:jc w:val="both"/>
              <w:rPr>
                <w:b/>
                <w:color w:val="000000" w:themeColor="text1"/>
              </w:rPr>
            </w:pPr>
            <w:r w:rsidRPr="007218D2">
              <w:rPr>
                <w:b/>
                <w:color w:val="000000" w:themeColor="text1"/>
              </w:rPr>
              <w:t>Tuntutan</w:t>
            </w:r>
          </w:p>
        </w:tc>
        <w:tc>
          <w:tcPr>
            <w:tcW w:w="2751" w:type="dxa"/>
          </w:tcPr>
          <w:p w14:paraId="79CF81A6" w14:textId="09A74A40" w:rsidR="00E72B21" w:rsidRPr="007218D2" w:rsidRDefault="00BE6E96" w:rsidP="0081776B">
            <w:pPr>
              <w:jc w:val="both"/>
              <w:rPr>
                <w:color w:val="000000" w:themeColor="text1"/>
              </w:rPr>
            </w:pPr>
            <w:r w:rsidRPr="007218D2">
              <w:rPr>
                <w:color w:val="000000" w:themeColor="text1"/>
              </w:rPr>
              <w:t>Hanya dapat menuntut untuk</w:t>
            </w:r>
            <w:r w:rsidR="008141A6" w:rsidRPr="007218D2">
              <w:rPr>
                <w:color w:val="000000" w:themeColor="text1"/>
              </w:rPr>
              <w:t xml:space="preserve"> </w:t>
            </w:r>
            <w:r w:rsidRPr="007218D2">
              <w:rPr>
                <w:color w:val="000000" w:themeColor="text1"/>
              </w:rPr>
              <w:t>dilakukan pencegahan dan pemulihan kondisi serta pembentukan peraturan. Tidak diperkenankan memasukan tuntutan ganti rugi.</w:t>
            </w:r>
          </w:p>
        </w:tc>
        <w:tc>
          <w:tcPr>
            <w:tcW w:w="2817" w:type="dxa"/>
          </w:tcPr>
          <w:p w14:paraId="28ADC4ED" w14:textId="184069FA" w:rsidR="00E72B21" w:rsidRPr="007218D2" w:rsidRDefault="00BE6E96" w:rsidP="0081776B">
            <w:pPr>
              <w:jc w:val="both"/>
              <w:rPr>
                <w:color w:val="000000" w:themeColor="text1"/>
              </w:rPr>
            </w:pPr>
            <w:r w:rsidRPr="007218D2">
              <w:rPr>
                <w:color w:val="000000" w:themeColor="text1"/>
              </w:rPr>
              <w:t>Dapat menuntut tindakan pemulihan, mengehentikan pelanggaran, dan memaksa untuk membayar sanksi perdata.</w:t>
            </w:r>
          </w:p>
        </w:tc>
      </w:tr>
      <w:tr w:rsidR="00AA0CE4" w:rsidRPr="007218D2" w14:paraId="7A896CD4" w14:textId="77777777" w:rsidTr="00C83F6F">
        <w:tc>
          <w:tcPr>
            <w:tcW w:w="2733" w:type="dxa"/>
          </w:tcPr>
          <w:p w14:paraId="1E6604DD" w14:textId="10B1DD0B" w:rsidR="00E72B21" w:rsidRPr="007218D2" w:rsidRDefault="008D41E4" w:rsidP="0081776B">
            <w:pPr>
              <w:jc w:val="both"/>
              <w:rPr>
                <w:b/>
                <w:color w:val="000000" w:themeColor="text1"/>
              </w:rPr>
            </w:pPr>
            <w:r w:rsidRPr="007218D2">
              <w:rPr>
                <w:b/>
                <w:color w:val="000000" w:themeColor="text1"/>
              </w:rPr>
              <w:t>Prosedur</w:t>
            </w:r>
          </w:p>
        </w:tc>
        <w:tc>
          <w:tcPr>
            <w:tcW w:w="2751" w:type="dxa"/>
          </w:tcPr>
          <w:p w14:paraId="4AD556FE" w14:textId="045660BC" w:rsidR="00E72B21" w:rsidRPr="007218D2" w:rsidRDefault="001C1CD4" w:rsidP="0081776B">
            <w:pPr>
              <w:jc w:val="both"/>
              <w:rPr>
                <w:color w:val="000000" w:themeColor="text1"/>
              </w:rPr>
            </w:pPr>
            <w:r w:rsidRPr="007218D2">
              <w:rPr>
                <w:color w:val="000000" w:themeColor="text1"/>
              </w:rPr>
              <w:t>Notifikasi atau somasi wajib diajukan oleh calon penggugat kepada calon tergugat dalam jangka waktu 60 (enam puluh) hari kerja sebelum dilakukannya gugatan dan hal tersebut sifatnya adalah wajib. Apabila tidak ada notifikasi atau somasi kepada calon tergugat, maka gugatan tersebut wajib dinyatakan tidak diterima.</w:t>
            </w:r>
          </w:p>
        </w:tc>
        <w:tc>
          <w:tcPr>
            <w:tcW w:w="2817" w:type="dxa"/>
          </w:tcPr>
          <w:p w14:paraId="6D6C8B35" w14:textId="2417710C" w:rsidR="001C1CD4" w:rsidRPr="007218D2" w:rsidRDefault="001C1CD4" w:rsidP="0081776B">
            <w:pPr>
              <w:pStyle w:val="ListParagraph"/>
              <w:numPr>
                <w:ilvl w:val="0"/>
                <w:numId w:val="6"/>
              </w:numPr>
              <w:ind w:left="207" w:hanging="192"/>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Notifikasi atau somasi wajib diajukan oleh calon penggugat kepada calon tergugat dalam jangka waktu 60 (enam puluh) hari kerja sebelum dilakukannya gugatan dan hal tersebut sifatnya adalah wajib. Apabila tidak ada notifikasi, maka dapat dijadikan dasar untuk mengajukan mosi penolakan terhadap 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w:t>
            </w:r>
          </w:p>
          <w:p w14:paraId="0A507543" w14:textId="77777777" w:rsidR="001C1CD4" w:rsidRPr="007218D2" w:rsidRDefault="001C1CD4" w:rsidP="0081776B">
            <w:pPr>
              <w:pStyle w:val="ListParagraph"/>
              <w:numPr>
                <w:ilvl w:val="0"/>
                <w:numId w:val="6"/>
              </w:numPr>
              <w:ind w:left="207" w:hanging="192"/>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Dapat meminta </w:t>
            </w:r>
            <w:r w:rsidRPr="007218D2">
              <w:rPr>
                <w:rFonts w:ascii="Times New Roman" w:hAnsi="Times New Roman" w:cs="Times New Roman"/>
                <w:i/>
                <w:color w:val="000000" w:themeColor="text1"/>
              </w:rPr>
              <w:t>civil penalties</w:t>
            </w:r>
            <w:r w:rsidRPr="007218D2">
              <w:rPr>
                <w:rFonts w:ascii="Times New Roman" w:hAnsi="Times New Roman" w:cs="Times New Roman"/>
                <w:color w:val="000000" w:themeColor="text1"/>
              </w:rPr>
              <w:t xml:space="preserve">, yaitu berupa uang paksa yang dibebankan kepada setiap keterlambatan dalam menghentikan pelanggaran baku mutu. Berdasarkan CWA section 309 (d), besarnya </w:t>
            </w:r>
            <w:r w:rsidRPr="007218D2">
              <w:rPr>
                <w:rFonts w:ascii="Times New Roman" w:hAnsi="Times New Roman" w:cs="Times New Roman"/>
                <w:i/>
                <w:color w:val="000000" w:themeColor="text1"/>
              </w:rPr>
              <w:t xml:space="preserve">civil penalties </w:t>
            </w:r>
            <w:r w:rsidRPr="007218D2">
              <w:rPr>
                <w:rFonts w:ascii="Times New Roman" w:hAnsi="Times New Roman" w:cs="Times New Roman"/>
                <w:color w:val="000000" w:themeColor="text1"/>
              </w:rPr>
              <w:t xml:space="preserve">tersebut adalah paling tinggi </w:t>
            </w:r>
            <w:r w:rsidRPr="007218D2">
              <w:rPr>
                <w:rFonts w:ascii="Times New Roman" w:hAnsi="Times New Roman" w:cs="Times New Roman"/>
                <w:color w:val="000000" w:themeColor="text1"/>
              </w:rPr>
              <w:lastRenderedPageBreak/>
              <w:t>sebesar US$ 25.000 per hari untuk pelanggaran yang akan dibayarkan kepada negara.</w:t>
            </w:r>
          </w:p>
          <w:p w14:paraId="58F9757D" w14:textId="77777777" w:rsidR="001C1CD4" w:rsidRPr="007218D2" w:rsidRDefault="001C1CD4" w:rsidP="0081776B">
            <w:pPr>
              <w:pStyle w:val="ListParagraph"/>
              <w:numPr>
                <w:ilvl w:val="0"/>
                <w:numId w:val="6"/>
              </w:numPr>
              <w:ind w:left="207" w:hanging="192"/>
              <w:jc w:val="both"/>
              <w:rPr>
                <w:rFonts w:ascii="Times New Roman" w:hAnsi="Times New Roman" w:cs="Times New Roman"/>
                <w:color w:val="000000" w:themeColor="text1"/>
              </w:rPr>
            </w:pPr>
            <w:r w:rsidRPr="007218D2">
              <w:rPr>
                <w:rFonts w:ascii="Times New Roman" w:eastAsia="Times New Roman" w:hAnsi="Times New Roman" w:cs="Times New Roman"/>
                <w:color w:val="000000" w:themeColor="text1"/>
                <w:shd w:val="clear" w:color="auto" w:fill="FFFFFF"/>
              </w:rPr>
              <w:t xml:space="preserve">Warga negara dapat meminta </w:t>
            </w:r>
            <w:r w:rsidRPr="007218D2">
              <w:rPr>
                <w:rFonts w:ascii="Times New Roman" w:hAnsi="Times New Roman" w:cs="Times New Roman"/>
                <w:color w:val="000000" w:themeColor="text1"/>
              </w:rPr>
              <w:t>tergugat untuk menanggung biaya pengadilan (</w:t>
            </w:r>
            <w:r w:rsidRPr="007218D2">
              <w:rPr>
                <w:rFonts w:ascii="Times New Roman" w:hAnsi="Times New Roman" w:cs="Times New Roman"/>
                <w:i/>
                <w:color w:val="000000" w:themeColor="text1"/>
              </w:rPr>
              <w:t>litigation cost</w:t>
            </w:r>
            <w:r w:rsidRPr="007218D2">
              <w:rPr>
                <w:rFonts w:ascii="Times New Roman" w:hAnsi="Times New Roman" w:cs="Times New Roman"/>
                <w:color w:val="000000" w:themeColor="text1"/>
              </w:rPr>
              <w:t>), termasuk biaya untuk pengacara dan saksi ahli.</w:t>
            </w:r>
          </w:p>
          <w:p w14:paraId="75773DC4" w14:textId="3BE70088" w:rsidR="001C1CD4" w:rsidRPr="007218D2" w:rsidRDefault="001C1CD4" w:rsidP="0081776B">
            <w:pPr>
              <w:pStyle w:val="ListParagraph"/>
              <w:numPr>
                <w:ilvl w:val="0"/>
                <w:numId w:val="6"/>
              </w:numPr>
              <w:ind w:left="207" w:hanging="192"/>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dapat ditolak atau tidak akan dikabulkan apabila Badan Perlindungan Lingkungan (</w:t>
            </w:r>
            <w:r w:rsidRPr="007218D2">
              <w:rPr>
                <w:rFonts w:ascii="Times New Roman" w:hAnsi="Times New Roman" w:cs="Times New Roman"/>
                <w:i/>
                <w:color w:val="000000" w:themeColor="text1"/>
              </w:rPr>
              <w:t xml:space="preserve">Environmemtal Protection Agency </w:t>
            </w:r>
            <w:r w:rsidRPr="007218D2">
              <w:rPr>
                <w:rFonts w:ascii="Times New Roman" w:hAnsi="Times New Roman" w:cs="Times New Roman"/>
                <w:color w:val="000000" w:themeColor="text1"/>
              </w:rPr>
              <w:t>/ EPA) telah melakukan tindakan terhadap masalah yang akan digugat.</w:t>
            </w:r>
          </w:p>
        </w:tc>
      </w:tr>
    </w:tbl>
    <w:p w14:paraId="6A190B7F" w14:textId="77777777" w:rsidR="003F7619" w:rsidRPr="007218D2" w:rsidRDefault="003F7619" w:rsidP="0081776B">
      <w:pPr>
        <w:jc w:val="both"/>
        <w:rPr>
          <w:b/>
          <w:color w:val="000000" w:themeColor="text1"/>
        </w:rPr>
      </w:pPr>
    </w:p>
    <w:p w14:paraId="55B0012C" w14:textId="77777777" w:rsidR="008141A6" w:rsidRPr="007218D2" w:rsidRDefault="00355740" w:rsidP="0081776B">
      <w:pPr>
        <w:pStyle w:val="ListParagraph"/>
        <w:numPr>
          <w:ilvl w:val="0"/>
          <w:numId w:val="1"/>
        </w:numPr>
        <w:ind w:left="709"/>
        <w:jc w:val="both"/>
        <w:rPr>
          <w:rFonts w:ascii="Times New Roman" w:hAnsi="Times New Roman" w:cs="Times New Roman"/>
          <w:b/>
          <w:color w:val="000000" w:themeColor="text1"/>
        </w:rPr>
      </w:pPr>
      <w:r w:rsidRPr="007218D2">
        <w:rPr>
          <w:rFonts w:ascii="Times New Roman" w:hAnsi="Times New Roman" w:cs="Times New Roman"/>
          <w:b/>
          <w:color w:val="000000" w:themeColor="text1"/>
        </w:rPr>
        <w:t>Simpulan</w:t>
      </w:r>
    </w:p>
    <w:p w14:paraId="47D4D0A2" w14:textId="6CEF62D4" w:rsidR="008141A6" w:rsidRPr="007218D2" w:rsidRDefault="008141A6" w:rsidP="0081776B">
      <w:pPr>
        <w:pStyle w:val="ListParagraph"/>
        <w:ind w:firstLine="720"/>
        <w:jc w:val="both"/>
        <w:rPr>
          <w:rFonts w:ascii="Times New Roman" w:hAnsi="Times New Roman" w:cs="Times New Roman"/>
          <w:color w:val="000000" w:themeColor="text1"/>
        </w:rPr>
      </w:pPr>
      <w:r w:rsidRPr="007218D2">
        <w:rPr>
          <w:rFonts w:ascii="Times New Roman" w:hAnsi="Times New Roman" w:cs="Times New Roman"/>
          <w:color w:val="000000" w:themeColor="text1"/>
        </w:rPr>
        <w:t xml:space="preserve">Dalam sistem </w:t>
      </w:r>
      <w:r w:rsidRPr="007218D2">
        <w:rPr>
          <w:rFonts w:ascii="Times New Roman" w:hAnsi="Times New Roman" w:cs="Times New Roman"/>
          <w:i/>
          <w:color w:val="000000" w:themeColor="text1"/>
        </w:rPr>
        <w:t>common law</w:t>
      </w:r>
      <w:r w:rsidRPr="007218D2">
        <w:rPr>
          <w:rFonts w:ascii="Times New Roman" w:hAnsi="Times New Roman" w:cs="Times New Roman"/>
          <w:color w:val="000000" w:themeColor="text1"/>
        </w:rPr>
        <w:t xml:space="preserve">, hak gugat warga negara dikenal dengan istilah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sedangkan dalam sistem </w:t>
      </w:r>
      <w:r w:rsidRPr="007218D2">
        <w:rPr>
          <w:rFonts w:ascii="Times New Roman" w:hAnsi="Times New Roman" w:cs="Times New Roman"/>
          <w:i/>
          <w:color w:val="000000" w:themeColor="text1"/>
        </w:rPr>
        <w:t>civil law</w:t>
      </w:r>
      <w:r w:rsidRPr="007218D2">
        <w:rPr>
          <w:rFonts w:ascii="Times New Roman" w:hAnsi="Times New Roman" w:cs="Times New Roman"/>
          <w:color w:val="000000" w:themeColor="text1"/>
        </w:rPr>
        <w:t>, hak gugat warga negara</w:t>
      </w:r>
      <w:r w:rsidRPr="007218D2">
        <w:rPr>
          <w:rFonts w:ascii="Times New Roman" w:hAnsi="Times New Roman" w:cs="Times New Roman"/>
          <w:i/>
          <w:color w:val="000000" w:themeColor="text1"/>
        </w:rPr>
        <w:t xml:space="preserve"> </w:t>
      </w:r>
      <w:r w:rsidRPr="007218D2">
        <w:rPr>
          <w:rFonts w:ascii="Times New Roman" w:hAnsi="Times New Roman" w:cs="Times New Roman"/>
          <w:color w:val="000000" w:themeColor="text1"/>
        </w:rPr>
        <w:t xml:space="preserve">dikenal dengan istilah </w:t>
      </w:r>
      <w:r w:rsidRPr="007218D2">
        <w:rPr>
          <w:rFonts w:ascii="Times New Roman" w:hAnsi="Times New Roman" w:cs="Times New Roman"/>
          <w:i/>
          <w:color w:val="000000" w:themeColor="text1"/>
        </w:rPr>
        <w:t>action popularis</w:t>
      </w:r>
      <w:r w:rsidRPr="007218D2">
        <w:rPr>
          <w:rFonts w:ascii="Times New Roman" w:hAnsi="Times New Roman" w:cs="Times New Roman"/>
          <w:color w:val="000000" w:themeColor="text1"/>
        </w:rPr>
        <w:t xml:space="preserve">. 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lahir di negara-negara yang menganut sistem hukum </w:t>
      </w:r>
      <w:r w:rsidRPr="007218D2">
        <w:rPr>
          <w:rFonts w:ascii="Times New Roman" w:hAnsi="Times New Roman" w:cs="Times New Roman"/>
          <w:i/>
          <w:color w:val="000000" w:themeColor="text1"/>
        </w:rPr>
        <w:t>common law</w:t>
      </w:r>
      <w:r w:rsidRPr="007218D2">
        <w:rPr>
          <w:rFonts w:ascii="Times New Roman" w:hAnsi="Times New Roman" w:cs="Times New Roman"/>
          <w:color w:val="000000" w:themeColor="text1"/>
        </w:rPr>
        <w:t xml:space="preserve"> seperti Amerika Serikat</w:t>
      </w:r>
      <w:r w:rsidR="009614E9" w:rsidRPr="007218D2">
        <w:rPr>
          <w:rFonts w:ascii="Times New Roman" w:hAnsi="Times New Roman" w:cs="Times New Roman"/>
          <w:color w:val="000000" w:themeColor="text1"/>
        </w:rPr>
        <w:t>, Australia, dan India</w:t>
      </w:r>
      <w:r w:rsidRPr="007218D2">
        <w:rPr>
          <w:rFonts w:ascii="Times New Roman" w:hAnsi="Times New Roman" w:cs="Times New Roman"/>
          <w:color w:val="000000" w:themeColor="text1"/>
        </w:rPr>
        <w:t xml:space="preserve">. Namun pada tahun 2003, Pengadilan Negeri Jakarta Pusat telah menerima bentuk gugatan </w:t>
      </w:r>
      <w:r w:rsidRPr="007218D2">
        <w:rPr>
          <w:rFonts w:ascii="Times New Roman" w:hAnsi="Times New Roman" w:cs="Times New Roman"/>
          <w:i/>
          <w:color w:val="000000" w:themeColor="text1"/>
        </w:rPr>
        <w:t>citizen lawsuit</w:t>
      </w:r>
      <w:r w:rsidRPr="007218D2">
        <w:rPr>
          <w:rFonts w:ascii="Times New Roman" w:hAnsi="Times New Roman" w:cs="Times New Roman"/>
          <w:color w:val="000000" w:themeColor="text1"/>
        </w:rPr>
        <w:t xml:space="preserve">, sehingga walaupun gugatan </w:t>
      </w:r>
      <w:r w:rsidRPr="007218D2">
        <w:rPr>
          <w:rFonts w:ascii="Times New Roman" w:hAnsi="Times New Roman" w:cs="Times New Roman"/>
          <w:i/>
          <w:color w:val="000000" w:themeColor="text1"/>
        </w:rPr>
        <w:t xml:space="preserve">citizen </w:t>
      </w:r>
      <w:r w:rsidRPr="007218D2">
        <w:rPr>
          <w:rFonts w:ascii="Times New Roman" w:hAnsi="Times New Roman" w:cs="Times New Roman"/>
          <w:color w:val="000000" w:themeColor="text1"/>
        </w:rPr>
        <w:t xml:space="preserve">lawsuit ini tidak diatur dalam perundang-undangan, namun telah diakui dalam praktiknya. </w:t>
      </w:r>
    </w:p>
    <w:p w14:paraId="732E8B44" w14:textId="3333886C" w:rsidR="003F7619" w:rsidRPr="007218D2" w:rsidRDefault="008141A6" w:rsidP="0081776B">
      <w:pPr>
        <w:pStyle w:val="ListParagraph"/>
        <w:ind w:firstLine="720"/>
        <w:jc w:val="both"/>
        <w:rPr>
          <w:rFonts w:ascii="Times New Roman" w:hAnsi="Times New Roman" w:cs="Times New Roman"/>
          <w:color w:val="000000" w:themeColor="text1"/>
        </w:rPr>
        <w:sectPr w:rsidR="003F7619" w:rsidRPr="007218D2" w:rsidSect="00D23D71">
          <w:footerReference w:type="default" r:id="rId15"/>
          <w:pgSz w:w="11900" w:h="16840"/>
          <w:pgMar w:top="1440" w:right="1440" w:bottom="1440" w:left="1440" w:header="708" w:footer="708" w:gutter="0"/>
          <w:cols w:space="708"/>
          <w:docGrid w:linePitch="360"/>
        </w:sectPr>
      </w:pPr>
      <w:r w:rsidRPr="007218D2">
        <w:rPr>
          <w:rFonts w:ascii="Times New Roman" w:hAnsi="Times New Roman" w:cs="Times New Roman"/>
          <w:color w:val="000000" w:themeColor="text1"/>
        </w:rPr>
        <w:t xml:space="preserve">Mekanisme gugatan </w:t>
      </w:r>
      <w:r w:rsidRPr="007218D2">
        <w:rPr>
          <w:rFonts w:ascii="Times New Roman" w:hAnsi="Times New Roman" w:cs="Times New Roman"/>
          <w:i/>
          <w:color w:val="000000" w:themeColor="text1"/>
        </w:rPr>
        <w:t xml:space="preserve">citizen lawsuit </w:t>
      </w:r>
      <w:r w:rsidRPr="007218D2">
        <w:rPr>
          <w:rFonts w:ascii="Times New Roman" w:hAnsi="Times New Roman" w:cs="Times New Roman"/>
          <w:color w:val="000000" w:themeColor="text1"/>
        </w:rPr>
        <w:t xml:space="preserve">di Indonesia dan Amerika Serikat memiliki beberapa persamaan dan perbedaan. Pertama, persamaannya adalah, warga negara yang akan melakukan guagatan </w:t>
      </w:r>
      <w:r w:rsidRPr="007218D2">
        <w:rPr>
          <w:rFonts w:ascii="Times New Roman" w:hAnsi="Times New Roman" w:cs="Times New Roman"/>
          <w:i/>
          <w:color w:val="000000" w:themeColor="text1"/>
        </w:rPr>
        <w:t xml:space="preserve">citizen lawsuit </w:t>
      </w:r>
      <w:r w:rsidRPr="007218D2">
        <w:rPr>
          <w:rFonts w:ascii="Times New Roman" w:hAnsi="Times New Roman" w:cs="Times New Roman"/>
          <w:color w:val="000000" w:themeColor="text1"/>
        </w:rPr>
        <w:t xml:space="preserve">harus menyediakan notifikasi atau somasi kepada calon tergugat selambat-lambatnya 60 hari sebelum gugatan didaftarkan ke pengadilan. </w:t>
      </w:r>
      <w:r w:rsidRPr="007218D2">
        <w:rPr>
          <w:rFonts w:ascii="Times New Roman" w:hAnsi="Times New Roman" w:cs="Times New Roman"/>
          <w:i/>
          <w:color w:val="000000" w:themeColor="text1"/>
        </w:rPr>
        <w:t>Kedua</w:t>
      </w:r>
      <w:r w:rsidRPr="007218D2">
        <w:rPr>
          <w:rFonts w:ascii="Times New Roman" w:hAnsi="Times New Roman" w:cs="Times New Roman"/>
          <w:color w:val="000000" w:themeColor="text1"/>
        </w:rPr>
        <w:t xml:space="preserve">, perbedannya adalah gugatan </w:t>
      </w:r>
      <w:r w:rsidRPr="007218D2">
        <w:rPr>
          <w:rFonts w:ascii="Times New Roman" w:hAnsi="Times New Roman" w:cs="Times New Roman"/>
          <w:i/>
          <w:color w:val="000000" w:themeColor="text1"/>
        </w:rPr>
        <w:t xml:space="preserve">citizen lawsuit </w:t>
      </w:r>
      <w:r w:rsidRPr="007218D2">
        <w:rPr>
          <w:rFonts w:ascii="Times New Roman" w:hAnsi="Times New Roman" w:cs="Times New Roman"/>
          <w:color w:val="000000" w:themeColor="text1"/>
        </w:rPr>
        <w:t>di Indonesia tidak bisa memintakan ganti rug</w:t>
      </w:r>
      <w:r w:rsidR="007C6ADB">
        <w:rPr>
          <w:rFonts w:ascii="Times New Roman" w:hAnsi="Times New Roman" w:cs="Times New Roman"/>
          <w:color w:val="000000" w:themeColor="text1"/>
        </w:rPr>
        <w:t>i dalam petitumnya. Sedangkan dalam</w:t>
      </w:r>
      <w:r w:rsidRPr="007218D2">
        <w:rPr>
          <w:rFonts w:ascii="Times New Roman" w:hAnsi="Times New Roman" w:cs="Times New Roman"/>
          <w:color w:val="000000" w:themeColor="text1"/>
        </w:rPr>
        <w:t xml:space="preserve"> gugatan </w:t>
      </w:r>
      <w:r w:rsidRPr="007218D2">
        <w:rPr>
          <w:rFonts w:ascii="Times New Roman" w:hAnsi="Times New Roman" w:cs="Times New Roman"/>
          <w:i/>
          <w:color w:val="000000" w:themeColor="text1"/>
        </w:rPr>
        <w:t xml:space="preserve">citizen lawsuit </w:t>
      </w:r>
      <w:r w:rsidRPr="007218D2">
        <w:rPr>
          <w:rFonts w:ascii="Times New Roman" w:hAnsi="Times New Roman" w:cs="Times New Roman"/>
          <w:color w:val="000000" w:themeColor="text1"/>
        </w:rPr>
        <w:t xml:space="preserve">di Amerika Serikat, dapat dimintakan </w:t>
      </w:r>
      <w:r w:rsidRPr="007218D2">
        <w:rPr>
          <w:rFonts w:ascii="Times New Roman" w:hAnsi="Times New Roman" w:cs="Times New Roman"/>
          <w:i/>
          <w:color w:val="000000" w:themeColor="text1"/>
        </w:rPr>
        <w:t xml:space="preserve">civil penalties </w:t>
      </w:r>
      <w:r w:rsidRPr="007218D2">
        <w:rPr>
          <w:rFonts w:ascii="Times New Roman" w:hAnsi="Times New Roman" w:cs="Times New Roman"/>
          <w:color w:val="000000" w:themeColor="text1"/>
        </w:rPr>
        <w:t xml:space="preserve">dan </w:t>
      </w:r>
      <w:r w:rsidRPr="007218D2">
        <w:rPr>
          <w:rFonts w:ascii="Times New Roman" w:hAnsi="Times New Roman" w:cs="Times New Roman"/>
          <w:i/>
          <w:color w:val="000000" w:themeColor="text1"/>
        </w:rPr>
        <w:t>litigation cost</w:t>
      </w:r>
      <w:r w:rsidRPr="007218D2">
        <w:rPr>
          <w:rFonts w:ascii="Times New Roman" w:hAnsi="Times New Roman" w:cs="Times New Roman"/>
          <w:color w:val="000000" w:themeColor="text1"/>
        </w:rPr>
        <w:t>.</w:t>
      </w:r>
    </w:p>
    <w:p w14:paraId="6593CF42" w14:textId="1E772CF0" w:rsidR="00DA4B37" w:rsidRPr="007218D2" w:rsidRDefault="00947A76" w:rsidP="0081776B">
      <w:pPr>
        <w:jc w:val="center"/>
        <w:rPr>
          <w:b/>
          <w:color w:val="000000" w:themeColor="text1"/>
        </w:rPr>
      </w:pPr>
      <w:r w:rsidRPr="007218D2">
        <w:rPr>
          <w:b/>
          <w:color w:val="000000" w:themeColor="text1"/>
        </w:rPr>
        <w:lastRenderedPageBreak/>
        <w:t>Daftar Putsaka</w:t>
      </w:r>
    </w:p>
    <w:p w14:paraId="3DAC8500" w14:textId="77777777" w:rsidR="00947A76" w:rsidRPr="007218D2" w:rsidRDefault="00947A76" w:rsidP="0081776B">
      <w:pPr>
        <w:jc w:val="both"/>
        <w:rPr>
          <w:b/>
          <w:color w:val="000000" w:themeColor="text1"/>
        </w:rPr>
      </w:pPr>
    </w:p>
    <w:p w14:paraId="07CFFC76" w14:textId="42ECF0FA" w:rsidR="00677BAB" w:rsidRPr="007218D2" w:rsidRDefault="00DA4F69" w:rsidP="0081776B">
      <w:pPr>
        <w:jc w:val="both"/>
        <w:rPr>
          <w:b/>
          <w:color w:val="000000" w:themeColor="text1"/>
        </w:rPr>
      </w:pPr>
      <w:r w:rsidRPr="007218D2">
        <w:rPr>
          <w:b/>
          <w:color w:val="000000" w:themeColor="text1"/>
        </w:rPr>
        <w:t>Buku</w:t>
      </w:r>
    </w:p>
    <w:p w14:paraId="621A6CF7" w14:textId="0BE8E2A8" w:rsidR="007341DE" w:rsidRPr="007218D2" w:rsidRDefault="007341DE" w:rsidP="0081776B">
      <w:pPr>
        <w:ind w:left="720" w:hanging="720"/>
        <w:jc w:val="both"/>
        <w:rPr>
          <w:rFonts w:eastAsia="Times New Roman"/>
          <w:color w:val="000000" w:themeColor="text1"/>
        </w:rPr>
      </w:pPr>
      <w:r w:rsidRPr="007218D2">
        <w:rPr>
          <w:rFonts w:eastAsia="Times New Roman"/>
          <w:color w:val="000000" w:themeColor="text1"/>
        </w:rPr>
        <w:t xml:space="preserve">Bimasakti, Muhammad Adiguna. </w:t>
      </w:r>
      <w:r w:rsidR="006F0DF4">
        <w:rPr>
          <w:rFonts w:eastAsia="Times New Roman"/>
          <w:color w:val="000000" w:themeColor="text1"/>
        </w:rPr>
        <w:t>(</w:t>
      </w:r>
      <w:r w:rsidR="006F0DF4" w:rsidRPr="007218D2">
        <w:rPr>
          <w:rFonts w:eastAsia="Times New Roman"/>
          <w:color w:val="000000" w:themeColor="text1"/>
        </w:rPr>
        <w:t>2019</w:t>
      </w:r>
      <w:r w:rsidR="006F0DF4">
        <w:rPr>
          <w:rFonts w:eastAsia="Times New Roman"/>
          <w:color w:val="000000" w:themeColor="text1"/>
        </w:rPr>
        <w:t xml:space="preserve">). </w:t>
      </w:r>
      <w:r w:rsidRPr="007218D2">
        <w:rPr>
          <w:rFonts w:eastAsia="Times New Roman"/>
          <w:i/>
          <w:color w:val="000000" w:themeColor="text1"/>
        </w:rPr>
        <w:t>Hukum Acara dan Wacana Citizen Lawsuit di Indonesia Pasca Undang-undang Administrasi Pemerintahan</w:t>
      </w:r>
      <w:r w:rsidRPr="007218D2">
        <w:rPr>
          <w:rFonts w:eastAsia="Times New Roman"/>
          <w:color w:val="000000" w:themeColor="text1"/>
        </w:rPr>
        <w:t>. Yogyakarta: Deepublish.</w:t>
      </w:r>
    </w:p>
    <w:p w14:paraId="2AD336F1" w14:textId="7CBF4B71" w:rsidR="007341DE" w:rsidRPr="007218D2" w:rsidRDefault="007341DE" w:rsidP="0081776B">
      <w:pPr>
        <w:ind w:left="720" w:hanging="720"/>
        <w:jc w:val="both"/>
        <w:rPr>
          <w:color w:val="000000" w:themeColor="text1"/>
        </w:rPr>
      </w:pPr>
      <w:r w:rsidRPr="007218D2">
        <w:rPr>
          <w:rFonts w:eastAsia="Times New Roman"/>
          <w:color w:val="000000" w:themeColor="text1"/>
        </w:rPr>
        <w:t xml:space="preserve">HS, H. Salim dan Erlies Septiana Nurbani. </w:t>
      </w:r>
      <w:r w:rsidR="006F0DF4">
        <w:rPr>
          <w:rFonts w:eastAsia="Times New Roman"/>
          <w:color w:val="000000" w:themeColor="text1"/>
        </w:rPr>
        <w:t>(</w:t>
      </w:r>
      <w:r w:rsidR="006F0DF4" w:rsidRPr="007218D2">
        <w:rPr>
          <w:rFonts w:eastAsia="Times New Roman"/>
          <w:color w:val="000000" w:themeColor="text1"/>
        </w:rPr>
        <w:t>2013</w:t>
      </w:r>
      <w:r w:rsidR="006F0DF4">
        <w:rPr>
          <w:rFonts w:eastAsia="Times New Roman"/>
          <w:color w:val="000000" w:themeColor="text1"/>
        </w:rPr>
        <w:t xml:space="preserve">). </w:t>
      </w:r>
      <w:r w:rsidRPr="007218D2">
        <w:rPr>
          <w:rFonts w:eastAsia="Times New Roman"/>
          <w:i/>
          <w:color w:val="000000" w:themeColor="text1"/>
        </w:rPr>
        <w:t>Penerapan Teori Hukum Pada Penelitian Tesis dan Disertasi</w:t>
      </w:r>
      <w:r w:rsidRPr="007218D2">
        <w:rPr>
          <w:rFonts w:eastAsia="Times New Roman"/>
          <w:color w:val="000000" w:themeColor="text1"/>
        </w:rPr>
        <w:t>. Jakarta: Raja Grafindo Persada</w:t>
      </w:r>
      <w:r w:rsidR="006F0DF4">
        <w:rPr>
          <w:rFonts w:eastAsia="Times New Roman"/>
          <w:color w:val="000000" w:themeColor="text1"/>
        </w:rPr>
        <w:t>.</w:t>
      </w:r>
      <w:r w:rsidRPr="007218D2">
        <w:rPr>
          <w:rFonts w:eastAsia="Times New Roman"/>
          <w:color w:val="000000" w:themeColor="text1"/>
        </w:rPr>
        <w:t xml:space="preserve"> </w:t>
      </w:r>
    </w:p>
    <w:p w14:paraId="03EF9505" w14:textId="51BE178D" w:rsidR="007341DE" w:rsidRPr="007218D2" w:rsidRDefault="007341DE" w:rsidP="0081776B">
      <w:pPr>
        <w:ind w:left="720" w:hanging="720"/>
        <w:jc w:val="both"/>
        <w:rPr>
          <w:color w:val="000000" w:themeColor="text1"/>
        </w:rPr>
      </w:pPr>
      <w:r w:rsidRPr="007218D2">
        <w:rPr>
          <w:color w:val="000000" w:themeColor="text1"/>
        </w:rPr>
        <w:t>Mertokusmo, Sudikno.</w:t>
      </w:r>
      <w:r w:rsidR="006F0DF4">
        <w:rPr>
          <w:color w:val="000000" w:themeColor="text1"/>
        </w:rPr>
        <w:t xml:space="preserve"> (2013).</w:t>
      </w:r>
      <w:r w:rsidRPr="007218D2">
        <w:rPr>
          <w:color w:val="000000" w:themeColor="text1"/>
        </w:rPr>
        <w:t xml:space="preserve"> </w:t>
      </w:r>
      <w:r w:rsidRPr="007218D2">
        <w:rPr>
          <w:i/>
          <w:color w:val="000000" w:themeColor="text1"/>
        </w:rPr>
        <w:t>Hukum Acara Perdata Indonesia</w:t>
      </w:r>
      <w:r w:rsidRPr="007218D2">
        <w:rPr>
          <w:color w:val="000000" w:themeColor="text1"/>
        </w:rPr>
        <w:t>. Yogyakarta: Cahaya Atma Pustaka</w:t>
      </w:r>
      <w:r w:rsidR="006F0DF4">
        <w:rPr>
          <w:color w:val="000000" w:themeColor="text1"/>
        </w:rPr>
        <w:t>.</w:t>
      </w:r>
    </w:p>
    <w:p w14:paraId="19348FA6" w14:textId="39850C2B" w:rsidR="007341DE" w:rsidRPr="007218D2" w:rsidRDefault="007341DE" w:rsidP="0081776B">
      <w:pPr>
        <w:ind w:left="720" w:hanging="720"/>
        <w:jc w:val="both"/>
        <w:rPr>
          <w:color w:val="000000" w:themeColor="text1"/>
        </w:rPr>
      </w:pPr>
      <w:r w:rsidRPr="007218D2">
        <w:rPr>
          <w:color w:val="000000" w:themeColor="text1"/>
        </w:rPr>
        <w:t xml:space="preserve">Rahmadi, Takdir. </w:t>
      </w:r>
      <w:r w:rsidR="006F0DF4">
        <w:rPr>
          <w:color w:val="000000" w:themeColor="text1"/>
        </w:rPr>
        <w:t xml:space="preserve">(2019). </w:t>
      </w:r>
      <w:r w:rsidRPr="007218D2">
        <w:rPr>
          <w:i/>
          <w:color w:val="000000" w:themeColor="text1"/>
        </w:rPr>
        <w:t>Hukum Lingkungan di Indonesia</w:t>
      </w:r>
      <w:r w:rsidRPr="007218D2">
        <w:rPr>
          <w:color w:val="000000" w:themeColor="text1"/>
        </w:rPr>
        <w:t>. Depok: Rajawali Pers, 2019.</w:t>
      </w:r>
    </w:p>
    <w:p w14:paraId="10779AF0" w14:textId="049A5ADC" w:rsidR="007341DE" w:rsidRPr="007218D2" w:rsidRDefault="007341DE" w:rsidP="0081776B">
      <w:pPr>
        <w:ind w:left="720" w:hanging="720"/>
        <w:jc w:val="both"/>
        <w:rPr>
          <w:color w:val="000000" w:themeColor="text1"/>
        </w:rPr>
      </w:pPr>
      <w:r w:rsidRPr="007218D2">
        <w:t xml:space="preserve">Santosa, Mas Achmad. </w:t>
      </w:r>
      <w:r w:rsidR="006F0DF4">
        <w:t xml:space="preserve">(2016). </w:t>
      </w:r>
      <w:r w:rsidRPr="007218D2">
        <w:rPr>
          <w:i/>
        </w:rPr>
        <w:t>Alam pun butuh Hukum dan Keadilan</w:t>
      </w:r>
      <w:r w:rsidRPr="007218D2">
        <w:t>. Jakarta: as@-prima pustaka.</w:t>
      </w:r>
    </w:p>
    <w:p w14:paraId="577FB58A" w14:textId="309C6D35" w:rsidR="007341DE" w:rsidRPr="007218D2" w:rsidRDefault="007341DE" w:rsidP="0081776B">
      <w:pPr>
        <w:ind w:left="720" w:hanging="720"/>
        <w:jc w:val="both"/>
        <w:rPr>
          <w:color w:val="000000" w:themeColor="text1"/>
        </w:rPr>
      </w:pPr>
      <w:r w:rsidRPr="007218D2">
        <w:rPr>
          <w:color w:val="000000" w:themeColor="text1"/>
        </w:rPr>
        <w:t>Soekanto, Soerjono dan Sri Mamudji.</w:t>
      </w:r>
      <w:r w:rsidR="006F0DF4">
        <w:rPr>
          <w:color w:val="000000" w:themeColor="text1"/>
        </w:rPr>
        <w:t xml:space="preserve"> (1985).</w:t>
      </w:r>
      <w:r w:rsidRPr="007218D2">
        <w:rPr>
          <w:color w:val="000000" w:themeColor="text1"/>
        </w:rPr>
        <w:t xml:space="preserve"> </w:t>
      </w:r>
      <w:r w:rsidRPr="007218D2">
        <w:rPr>
          <w:i/>
          <w:iCs/>
          <w:color w:val="000000" w:themeColor="text1"/>
        </w:rPr>
        <w:t>Penelitian Hukum Normatif suatu Tinjauan Singkat</w:t>
      </w:r>
      <w:r w:rsidRPr="007218D2">
        <w:rPr>
          <w:color w:val="000000" w:themeColor="text1"/>
        </w:rPr>
        <w:t>. Jakarta: Rajawali</w:t>
      </w:r>
      <w:r w:rsidR="006F0DF4">
        <w:rPr>
          <w:color w:val="000000" w:themeColor="text1"/>
        </w:rPr>
        <w:t>.</w:t>
      </w:r>
    </w:p>
    <w:p w14:paraId="59644C7E" w14:textId="7C16686F" w:rsidR="007341DE" w:rsidRPr="007218D2" w:rsidRDefault="007341DE" w:rsidP="0081776B">
      <w:pPr>
        <w:ind w:left="720" w:hanging="720"/>
        <w:jc w:val="both"/>
        <w:rPr>
          <w:color w:val="000000" w:themeColor="text1"/>
        </w:rPr>
      </w:pPr>
      <w:r w:rsidRPr="007218D2">
        <w:rPr>
          <w:color w:val="000000" w:themeColor="text1"/>
        </w:rPr>
        <w:t xml:space="preserve">Wibisna, Andri G. </w:t>
      </w:r>
      <w:r w:rsidR="006F0DF4">
        <w:rPr>
          <w:color w:val="000000" w:themeColor="text1"/>
        </w:rPr>
        <w:t xml:space="preserve">(2017). </w:t>
      </w:r>
      <w:r w:rsidRPr="007218D2">
        <w:rPr>
          <w:i/>
          <w:color w:val="000000" w:themeColor="text1"/>
        </w:rPr>
        <w:t>Penegakan Hukum Lingkukan melalui Pertanggungjawaban Perdata</w:t>
      </w:r>
      <w:r w:rsidRPr="007218D2">
        <w:rPr>
          <w:color w:val="000000" w:themeColor="text1"/>
        </w:rPr>
        <w:t>. Depok: BP-FHUI</w:t>
      </w:r>
      <w:r w:rsidR="006F0DF4">
        <w:rPr>
          <w:color w:val="000000" w:themeColor="text1"/>
        </w:rPr>
        <w:t>.</w:t>
      </w:r>
    </w:p>
    <w:p w14:paraId="2F0D933F" w14:textId="77777777" w:rsidR="00DA4F69" w:rsidRPr="007218D2" w:rsidRDefault="00DA4F69" w:rsidP="0081776B">
      <w:pPr>
        <w:jc w:val="both"/>
        <w:rPr>
          <w:color w:val="000000" w:themeColor="text1"/>
        </w:rPr>
      </w:pPr>
    </w:p>
    <w:p w14:paraId="36D6B147" w14:textId="77777777" w:rsidR="00DA4F69" w:rsidRPr="007218D2" w:rsidRDefault="00DA4F69" w:rsidP="0081776B">
      <w:pPr>
        <w:jc w:val="both"/>
        <w:rPr>
          <w:b/>
          <w:color w:val="000000" w:themeColor="text1"/>
        </w:rPr>
      </w:pPr>
      <w:r w:rsidRPr="007218D2">
        <w:rPr>
          <w:b/>
          <w:color w:val="000000" w:themeColor="text1"/>
        </w:rPr>
        <w:t>Artikel Ilmiah</w:t>
      </w:r>
    </w:p>
    <w:p w14:paraId="5A22F3DB" w14:textId="0F7B2572" w:rsidR="007341DE" w:rsidRPr="0053200E" w:rsidRDefault="007341DE" w:rsidP="0081776B">
      <w:pPr>
        <w:widowControl w:val="0"/>
        <w:autoSpaceDE w:val="0"/>
        <w:autoSpaceDN w:val="0"/>
        <w:adjustRightInd w:val="0"/>
        <w:ind w:left="720" w:hanging="720"/>
        <w:jc w:val="both"/>
        <w:rPr>
          <w:color w:val="000000" w:themeColor="text1"/>
        </w:rPr>
      </w:pPr>
      <w:r w:rsidRPr="0053200E">
        <w:rPr>
          <w:color w:val="000000" w:themeColor="text1"/>
        </w:rPr>
        <w:t xml:space="preserve">Aubakar, Muzzakir. </w:t>
      </w:r>
      <w:r w:rsidRPr="00C83F6F">
        <w:rPr>
          <w:i/>
          <w:color w:val="000000" w:themeColor="text1"/>
        </w:rPr>
        <w:t>Hak Mengajukan Gugatan dalam Sengketa Lingkungan Hidup.</w:t>
      </w:r>
      <w:r w:rsidRPr="0053200E">
        <w:rPr>
          <w:color w:val="000000" w:themeColor="text1"/>
        </w:rPr>
        <w:t xml:space="preserve"> </w:t>
      </w:r>
      <w:r w:rsidRPr="00C83F6F">
        <w:rPr>
          <w:color w:val="000000" w:themeColor="text1"/>
        </w:rPr>
        <w:t>Kanun Jurnal Ilmu Hukum. Vol</w:t>
      </w:r>
      <w:r w:rsidR="0053200E">
        <w:rPr>
          <w:color w:val="000000" w:themeColor="text1"/>
        </w:rPr>
        <w:t>ume</w:t>
      </w:r>
      <w:r w:rsidRPr="00C83F6F">
        <w:rPr>
          <w:color w:val="000000" w:themeColor="text1"/>
        </w:rPr>
        <w:t xml:space="preserve"> 1 No</w:t>
      </w:r>
      <w:r w:rsidR="0053200E">
        <w:rPr>
          <w:color w:val="000000" w:themeColor="text1"/>
        </w:rPr>
        <w:t>mor</w:t>
      </w:r>
      <w:r w:rsidRPr="00C83F6F">
        <w:rPr>
          <w:color w:val="000000" w:themeColor="text1"/>
        </w:rPr>
        <w:t xml:space="preserve"> 1 </w:t>
      </w:r>
      <w:r w:rsidRPr="0053200E">
        <w:rPr>
          <w:color w:val="000000" w:themeColor="text1"/>
        </w:rPr>
        <w:t>April 2019.</w:t>
      </w:r>
    </w:p>
    <w:p w14:paraId="09F1F5B3" w14:textId="020988AD" w:rsidR="007341DE" w:rsidRPr="0053200E" w:rsidRDefault="007341DE" w:rsidP="0081776B">
      <w:pPr>
        <w:widowControl w:val="0"/>
        <w:autoSpaceDE w:val="0"/>
        <w:autoSpaceDN w:val="0"/>
        <w:adjustRightInd w:val="0"/>
        <w:ind w:left="720" w:hanging="720"/>
        <w:jc w:val="both"/>
      </w:pPr>
      <w:r w:rsidRPr="00D72BE1">
        <w:t xml:space="preserve">Campbell, Jonathan S. </w:t>
      </w:r>
      <w:r w:rsidRPr="00C83F6F">
        <w:rPr>
          <w:i/>
        </w:rPr>
        <w:t>Has the Citizen Suit Provision of the Clean Water Act Exceeds its Supplemental Birth?</w:t>
      </w:r>
      <w:r w:rsidR="00D72BE1">
        <w:t>.</w:t>
      </w:r>
      <w:r w:rsidRPr="00D72BE1">
        <w:t xml:space="preserve"> </w:t>
      </w:r>
      <w:r w:rsidRPr="00C83F6F">
        <w:t>William &amp; Mary Environmental Law and Policy Review. Vol</w:t>
      </w:r>
      <w:r w:rsidR="00D72BE1">
        <w:t>ume</w:t>
      </w:r>
      <w:r w:rsidRPr="00C83F6F">
        <w:t xml:space="preserve"> 24 Issue 2 </w:t>
      </w:r>
      <w:r w:rsidRPr="0053200E">
        <w:t>April 2000.</w:t>
      </w:r>
    </w:p>
    <w:p w14:paraId="226B7F0A" w14:textId="7BC1345E" w:rsidR="007341DE" w:rsidRPr="0053200E" w:rsidRDefault="007341DE" w:rsidP="0081776B">
      <w:pPr>
        <w:widowControl w:val="0"/>
        <w:autoSpaceDE w:val="0"/>
        <w:autoSpaceDN w:val="0"/>
        <w:adjustRightInd w:val="0"/>
        <w:ind w:left="720" w:hanging="720"/>
        <w:jc w:val="both"/>
        <w:rPr>
          <w:color w:val="000000" w:themeColor="text1"/>
        </w:rPr>
      </w:pPr>
      <w:r w:rsidRPr="0053200E">
        <w:t xml:space="preserve">Dumas, Marion. </w:t>
      </w:r>
      <w:r w:rsidRPr="00C83F6F">
        <w:rPr>
          <w:rFonts w:eastAsia="Times New Roman"/>
          <w:i/>
        </w:rPr>
        <w:t>Taking the Law to Court: Citizen Suits and the Legislative Process</w:t>
      </w:r>
      <w:r w:rsidRPr="0053200E">
        <w:t xml:space="preserve">. </w:t>
      </w:r>
      <w:r w:rsidRPr="00C83F6F">
        <w:rPr>
          <w:rFonts w:eastAsia="Times New Roman"/>
        </w:rPr>
        <w:t>American Journal of Political Science. Vol</w:t>
      </w:r>
      <w:r w:rsidR="00D72BE1">
        <w:rPr>
          <w:rFonts w:eastAsia="Times New Roman"/>
        </w:rPr>
        <w:t>ume</w:t>
      </w:r>
      <w:r w:rsidRPr="00C83F6F">
        <w:rPr>
          <w:rFonts w:eastAsia="Times New Roman"/>
        </w:rPr>
        <w:t xml:space="preserve"> 61 No</w:t>
      </w:r>
      <w:r w:rsidR="00D72BE1">
        <w:rPr>
          <w:rFonts w:eastAsia="Times New Roman"/>
        </w:rPr>
        <w:t>mor</w:t>
      </w:r>
      <w:r w:rsidRPr="00C83F6F">
        <w:rPr>
          <w:rFonts w:eastAsia="Times New Roman"/>
        </w:rPr>
        <w:t xml:space="preserve"> 4</w:t>
      </w:r>
      <w:r w:rsidR="00D72BE1">
        <w:rPr>
          <w:rFonts w:eastAsia="Times New Roman"/>
        </w:rPr>
        <w:t xml:space="preserve"> </w:t>
      </w:r>
      <w:r w:rsidRPr="0053200E">
        <w:rPr>
          <w:rFonts w:eastAsia="Times New Roman"/>
        </w:rPr>
        <w:t>Oktober 2017.</w:t>
      </w:r>
    </w:p>
    <w:p w14:paraId="10F56027" w14:textId="3496D773" w:rsidR="007341DE" w:rsidRPr="00957E78" w:rsidRDefault="007341DE" w:rsidP="0081776B">
      <w:pPr>
        <w:ind w:left="720" w:hanging="720"/>
        <w:jc w:val="both"/>
        <w:rPr>
          <w:color w:val="000000" w:themeColor="text1"/>
        </w:rPr>
      </w:pPr>
      <w:r w:rsidRPr="0053200E">
        <w:rPr>
          <w:color w:val="000000" w:themeColor="text1"/>
        </w:rPr>
        <w:t xml:space="preserve">Fajar, Moh. Ibnu. </w:t>
      </w:r>
      <w:r w:rsidRPr="00C83F6F">
        <w:rPr>
          <w:i/>
          <w:color w:val="000000" w:themeColor="text1"/>
        </w:rPr>
        <w:t xml:space="preserve">Penguatan Gugatan </w:t>
      </w:r>
      <w:r w:rsidRPr="00957E78">
        <w:rPr>
          <w:i/>
          <w:color w:val="000000" w:themeColor="text1"/>
        </w:rPr>
        <w:t>Citizen Lawsuit</w:t>
      </w:r>
      <w:r w:rsidRPr="00C83F6F">
        <w:rPr>
          <w:i/>
          <w:color w:val="000000" w:themeColor="text1"/>
        </w:rPr>
        <w:t xml:space="preserve"> / </w:t>
      </w:r>
      <w:r w:rsidRPr="00957E78">
        <w:rPr>
          <w:i/>
          <w:color w:val="000000" w:themeColor="text1"/>
        </w:rPr>
        <w:t>Actio Popularis</w:t>
      </w:r>
      <w:r w:rsidRPr="00C83F6F">
        <w:rPr>
          <w:i/>
          <w:color w:val="000000" w:themeColor="text1"/>
        </w:rPr>
        <w:t xml:space="preserve"> sebagai Upaya Perlindungan Hak Konstitusional Akibat Kelalaian yang Dilakukan Oleh Penyelenggara Negara</w:t>
      </w:r>
      <w:r w:rsidRPr="0053200E">
        <w:rPr>
          <w:color w:val="000000" w:themeColor="text1"/>
        </w:rPr>
        <w:t>. Tesis Program Studi Magister Ilmu Hukum Fakultas Hukum Unviversitas Brawijaya 2017.</w:t>
      </w:r>
    </w:p>
    <w:p w14:paraId="30767084" w14:textId="2BA08280" w:rsidR="007341DE" w:rsidRPr="00957E78" w:rsidRDefault="007341DE" w:rsidP="0081776B">
      <w:pPr>
        <w:widowControl w:val="0"/>
        <w:autoSpaceDE w:val="0"/>
        <w:autoSpaceDN w:val="0"/>
        <w:adjustRightInd w:val="0"/>
        <w:ind w:left="720" w:hanging="720"/>
        <w:jc w:val="both"/>
        <w:rPr>
          <w:color w:val="000000" w:themeColor="text1"/>
        </w:rPr>
      </w:pPr>
      <w:r w:rsidRPr="00957E78">
        <w:rPr>
          <w:color w:val="000000" w:themeColor="text1"/>
        </w:rPr>
        <w:t xml:space="preserve">Fatah, Abdul. </w:t>
      </w:r>
      <w:r w:rsidRPr="00C83F6F">
        <w:rPr>
          <w:i/>
          <w:color w:val="000000" w:themeColor="text1"/>
        </w:rPr>
        <w:t>Gugatan Warga Negara sebagai Mekanisme Pemenuhan Hak Asasi Manusia dan Hak Konstitusional Warga Negara</w:t>
      </w:r>
      <w:r w:rsidRPr="00957E78">
        <w:rPr>
          <w:color w:val="000000" w:themeColor="text1"/>
        </w:rPr>
        <w:t xml:space="preserve">. </w:t>
      </w:r>
      <w:r w:rsidRPr="00C83F6F">
        <w:rPr>
          <w:color w:val="000000" w:themeColor="text1"/>
        </w:rPr>
        <w:t>Jurnal Yuridika. Vol</w:t>
      </w:r>
      <w:r w:rsidR="00957E78">
        <w:rPr>
          <w:color w:val="000000" w:themeColor="text1"/>
        </w:rPr>
        <w:t>ume</w:t>
      </w:r>
      <w:r w:rsidRPr="00C83F6F">
        <w:rPr>
          <w:color w:val="000000" w:themeColor="text1"/>
        </w:rPr>
        <w:t xml:space="preserve"> 28 No</w:t>
      </w:r>
      <w:r w:rsidR="00957E78">
        <w:rPr>
          <w:color w:val="000000" w:themeColor="text1"/>
        </w:rPr>
        <w:t>mor</w:t>
      </w:r>
      <w:r w:rsidRPr="00C83F6F">
        <w:rPr>
          <w:color w:val="000000" w:themeColor="text1"/>
        </w:rPr>
        <w:t xml:space="preserve"> 3</w:t>
      </w:r>
      <w:r w:rsidR="00957E78">
        <w:rPr>
          <w:color w:val="000000" w:themeColor="text1"/>
        </w:rPr>
        <w:t xml:space="preserve"> </w:t>
      </w:r>
      <w:r w:rsidRPr="0053200E">
        <w:rPr>
          <w:color w:val="000000" w:themeColor="text1"/>
        </w:rPr>
        <w:t>September-Desember 2013</w:t>
      </w:r>
      <w:r w:rsidR="00957E78">
        <w:rPr>
          <w:color w:val="000000" w:themeColor="text1"/>
        </w:rPr>
        <w:t>.</w:t>
      </w:r>
    </w:p>
    <w:p w14:paraId="4AC74235" w14:textId="0F7537B3" w:rsidR="007341DE" w:rsidRPr="001A40F7" w:rsidRDefault="007341DE" w:rsidP="0081776B">
      <w:pPr>
        <w:widowControl w:val="0"/>
        <w:autoSpaceDE w:val="0"/>
        <w:autoSpaceDN w:val="0"/>
        <w:adjustRightInd w:val="0"/>
        <w:ind w:left="720" w:hanging="720"/>
        <w:jc w:val="both"/>
        <w:rPr>
          <w:color w:val="000000" w:themeColor="text1"/>
        </w:rPr>
      </w:pPr>
      <w:r w:rsidRPr="00957E78">
        <w:rPr>
          <w:color w:val="000000" w:themeColor="text1"/>
        </w:rPr>
        <w:t xml:space="preserve">Henry, Yose Octavia dan Disriani Latifa Soroinda. </w:t>
      </w:r>
      <w:r w:rsidRPr="00C83F6F">
        <w:rPr>
          <w:bCs/>
          <w:i/>
          <w:color w:val="000000" w:themeColor="text1"/>
        </w:rPr>
        <w:t xml:space="preserve">Perbandingan dan Penerapan Gugatan </w:t>
      </w:r>
      <w:r w:rsidRPr="001A40F7">
        <w:rPr>
          <w:i/>
          <w:iCs/>
          <w:color w:val="000000" w:themeColor="text1"/>
        </w:rPr>
        <w:t xml:space="preserve">Citizen Lawsuit </w:t>
      </w:r>
      <w:r w:rsidRPr="00C83F6F">
        <w:rPr>
          <w:bCs/>
          <w:i/>
          <w:color w:val="000000" w:themeColor="text1"/>
        </w:rPr>
        <w:t>di Indonesia dengan di Amerika Serikat dan di India</w:t>
      </w:r>
      <w:r w:rsidRPr="0053200E">
        <w:rPr>
          <w:color w:val="000000" w:themeColor="text1"/>
        </w:rPr>
        <w:t>. Karya Ilmiah Fakultas Hukum Universitas Indonesia 2014.</w:t>
      </w:r>
    </w:p>
    <w:p w14:paraId="5943C551" w14:textId="5DCE7A30" w:rsidR="007341DE" w:rsidRPr="0053200E" w:rsidRDefault="007341DE" w:rsidP="0081776B">
      <w:pPr>
        <w:widowControl w:val="0"/>
        <w:autoSpaceDE w:val="0"/>
        <w:autoSpaceDN w:val="0"/>
        <w:adjustRightInd w:val="0"/>
        <w:ind w:left="720" w:hanging="720"/>
        <w:jc w:val="both"/>
      </w:pPr>
      <w:r w:rsidRPr="001A40F7">
        <w:rPr>
          <w:color w:val="000000" w:themeColor="text1"/>
        </w:rPr>
        <w:t xml:space="preserve">May, James R. </w:t>
      </w:r>
      <w:r w:rsidRPr="00C83F6F">
        <w:rPr>
          <w:i/>
        </w:rPr>
        <w:t>The Availability of State Environmental Citizen Suits</w:t>
      </w:r>
      <w:r w:rsidRPr="001A40F7">
        <w:t xml:space="preserve">. </w:t>
      </w:r>
      <w:r w:rsidRPr="00C83F6F">
        <w:t>Natural Resources and Environmental. Vol</w:t>
      </w:r>
      <w:r w:rsidR="001A40F7">
        <w:t>ume</w:t>
      </w:r>
      <w:r w:rsidRPr="00C83F6F">
        <w:t xml:space="preserve"> 18 No</w:t>
      </w:r>
      <w:r w:rsidR="001A40F7">
        <w:t>mor</w:t>
      </w:r>
      <w:r w:rsidRPr="00C83F6F">
        <w:t xml:space="preserve"> 4</w:t>
      </w:r>
      <w:r w:rsidR="001A40F7">
        <w:t xml:space="preserve"> </w:t>
      </w:r>
      <w:r w:rsidRPr="0053200E">
        <w:t>Spring 2004</w:t>
      </w:r>
      <w:r w:rsidR="001A40F7">
        <w:t>.</w:t>
      </w:r>
    </w:p>
    <w:p w14:paraId="17F59B01" w14:textId="005875E7" w:rsidR="007341DE" w:rsidRPr="0053200E" w:rsidRDefault="007341DE" w:rsidP="0081776B">
      <w:pPr>
        <w:widowControl w:val="0"/>
        <w:autoSpaceDE w:val="0"/>
        <w:autoSpaceDN w:val="0"/>
        <w:adjustRightInd w:val="0"/>
        <w:ind w:left="720" w:hanging="720"/>
        <w:jc w:val="both"/>
        <w:rPr>
          <w:color w:val="000000" w:themeColor="text1"/>
        </w:rPr>
      </w:pPr>
      <w:r w:rsidRPr="0053200E">
        <w:t xml:space="preserve">Mogharabi, Sara et. al. </w:t>
      </w:r>
      <w:r w:rsidRPr="00C83F6F">
        <w:rPr>
          <w:i/>
        </w:rPr>
        <w:t>Environmental Citizen Suits in the Trump Era</w:t>
      </w:r>
      <w:r w:rsidRPr="0053200E">
        <w:t xml:space="preserve">. </w:t>
      </w:r>
      <w:r w:rsidRPr="00C83F6F">
        <w:t>Natural Resources and Environmental. Vol</w:t>
      </w:r>
      <w:r w:rsidR="001A40F7">
        <w:t>ume</w:t>
      </w:r>
      <w:r w:rsidRPr="00C83F6F">
        <w:t xml:space="preserve"> 32 No</w:t>
      </w:r>
      <w:r w:rsidR="001A40F7">
        <w:t>mor</w:t>
      </w:r>
      <w:r w:rsidRPr="00C83F6F">
        <w:t xml:space="preserve"> 2</w:t>
      </w:r>
      <w:r w:rsidR="001A40F7">
        <w:t xml:space="preserve"> </w:t>
      </w:r>
      <w:r w:rsidRPr="0053200E">
        <w:t>Fall 2017.</w:t>
      </w:r>
    </w:p>
    <w:p w14:paraId="44484264" w14:textId="487B7D08" w:rsidR="007341DE" w:rsidRPr="0053200E" w:rsidRDefault="007341DE" w:rsidP="0081776B">
      <w:pPr>
        <w:widowControl w:val="0"/>
        <w:autoSpaceDE w:val="0"/>
        <w:autoSpaceDN w:val="0"/>
        <w:adjustRightInd w:val="0"/>
        <w:ind w:left="720" w:hanging="720"/>
        <w:jc w:val="both"/>
        <w:rPr>
          <w:color w:val="000000" w:themeColor="text1"/>
        </w:rPr>
      </w:pPr>
      <w:r w:rsidRPr="001A40F7">
        <w:rPr>
          <w:rFonts w:eastAsia="Times New Roman"/>
        </w:rPr>
        <w:t xml:space="preserve">Nathanson, Kirsten, Thomas R. Lundquist, and Sarah Bordelon. </w:t>
      </w:r>
      <w:r w:rsidRPr="00C83F6F">
        <w:rPr>
          <w:rFonts w:eastAsia="Times New Roman"/>
          <w:i/>
        </w:rPr>
        <w:t>Developments in ESA Citizen Suits and Citizen Enforcement of Wildlife Laws</w:t>
      </w:r>
      <w:r w:rsidRPr="001A40F7">
        <w:rPr>
          <w:rFonts w:eastAsia="Times New Roman"/>
        </w:rPr>
        <w:t xml:space="preserve">. </w:t>
      </w:r>
      <w:r w:rsidRPr="00C83F6F">
        <w:t>Natural Resources and Environmental. Vol</w:t>
      </w:r>
      <w:r w:rsidR="001A40F7">
        <w:t>ume</w:t>
      </w:r>
      <w:r w:rsidRPr="00C83F6F">
        <w:t xml:space="preserve"> 29 No</w:t>
      </w:r>
      <w:r w:rsidR="001A40F7">
        <w:t>mor</w:t>
      </w:r>
      <w:r w:rsidRPr="00C83F6F">
        <w:t xml:space="preserve"> 3</w:t>
      </w:r>
      <w:r w:rsidRPr="0053200E">
        <w:t xml:space="preserve"> Winter 2015.</w:t>
      </w:r>
    </w:p>
    <w:p w14:paraId="2327C5AE" w14:textId="42F0F676" w:rsidR="007341DE" w:rsidRPr="0053200E" w:rsidRDefault="007341DE" w:rsidP="0081776B">
      <w:pPr>
        <w:ind w:left="720" w:hanging="720"/>
        <w:jc w:val="both"/>
        <w:rPr>
          <w:color w:val="000000" w:themeColor="text1"/>
        </w:rPr>
      </w:pPr>
      <w:r w:rsidRPr="0053200E">
        <w:rPr>
          <w:color w:val="000000" w:themeColor="text1"/>
        </w:rPr>
        <w:t xml:space="preserve">Nauen, Charles N, </w:t>
      </w:r>
      <w:r w:rsidRPr="00C83F6F">
        <w:rPr>
          <w:i/>
          <w:color w:val="000000" w:themeColor="text1"/>
        </w:rPr>
        <w:t>Citizen Environmental Lawsuits After Gwaltney: The Thrill of Victory or The Agony of Defeat</w:t>
      </w:r>
      <w:r w:rsidRPr="0053200E">
        <w:rPr>
          <w:bCs/>
          <w:color w:val="000000" w:themeColor="text1"/>
        </w:rPr>
        <w:t xml:space="preserve">”. </w:t>
      </w:r>
      <w:r w:rsidRPr="00C83F6F">
        <w:rPr>
          <w:bCs/>
          <w:color w:val="000000" w:themeColor="text1"/>
        </w:rPr>
        <w:t>William Mitchell Law Review. Vol</w:t>
      </w:r>
      <w:r w:rsidR="001A40F7">
        <w:rPr>
          <w:bCs/>
          <w:color w:val="000000" w:themeColor="text1"/>
        </w:rPr>
        <w:t>ume</w:t>
      </w:r>
      <w:r w:rsidRPr="00C83F6F">
        <w:rPr>
          <w:bCs/>
          <w:color w:val="000000" w:themeColor="text1"/>
        </w:rPr>
        <w:t xml:space="preserve"> 15 Rev 327 </w:t>
      </w:r>
      <w:r w:rsidRPr="0053200E">
        <w:rPr>
          <w:bCs/>
          <w:color w:val="000000" w:themeColor="text1"/>
        </w:rPr>
        <w:t>1989.</w:t>
      </w:r>
    </w:p>
    <w:p w14:paraId="47D76566" w14:textId="2B794237" w:rsidR="007341DE" w:rsidRPr="00C83F6F" w:rsidRDefault="007341DE" w:rsidP="0081776B">
      <w:pPr>
        <w:ind w:left="720" w:hanging="720"/>
        <w:jc w:val="both"/>
        <w:rPr>
          <w:color w:val="000000" w:themeColor="text1"/>
        </w:rPr>
      </w:pPr>
      <w:r w:rsidRPr="0053200E">
        <w:rPr>
          <w:color w:val="000000" w:themeColor="text1"/>
        </w:rPr>
        <w:t xml:space="preserve">Naviah, Faradina. </w:t>
      </w:r>
      <w:r w:rsidRPr="00C83F6F">
        <w:rPr>
          <w:i/>
          <w:color w:val="000000" w:themeColor="text1"/>
        </w:rPr>
        <w:t>Penerapan Mekanisme Gugatan Citizen Lawsuit dalam Hukum Acara Perdata di Indonesia</w:t>
      </w:r>
      <w:r w:rsidRPr="0053200E">
        <w:rPr>
          <w:color w:val="000000" w:themeColor="text1"/>
        </w:rPr>
        <w:t xml:space="preserve">. </w:t>
      </w:r>
      <w:r w:rsidRPr="00C83F6F">
        <w:rPr>
          <w:color w:val="000000" w:themeColor="text1"/>
        </w:rPr>
        <w:t>Jurnal Verstek Vol</w:t>
      </w:r>
      <w:r w:rsidR="001A40F7">
        <w:rPr>
          <w:color w:val="000000" w:themeColor="text1"/>
        </w:rPr>
        <w:t>ume</w:t>
      </w:r>
      <w:r w:rsidRPr="00C83F6F">
        <w:rPr>
          <w:color w:val="000000" w:themeColor="text1"/>
        </w:rPr>
        <w:t xml:space="preserve"> 1 No</w:t>
      </w:r>
      <w:r w:rsidR="001A40F7">
        <w:rPr>
          <w:color w:val="000000" w:themeColor="text1"/>
        </w:rPr>
        <w:t>mor</w:t>
      </w:r>
      <w:r w:rsidRPr="00C83F6F">
        <w:rPr>
          <w:color w:val="000000" w:themeColor="text1"/>
        </w:rPr>
        <w:t xml:space="preserve"> 3</w:t>
      </w:r>
      <w:r w:rsidRPr="0053200E">
        <w:rPr>
          <w:color w:val="000000" w:themeColor="text1"/>
        </w:rPr>
        <w:t xml:space="preserve"> 2013.</w:t>
      </w:r>
    </w:p>
    <w:p w14:paraId="2D59D4F2" w14:textId="0527632E" w:rsidR="007341DE" w:rsidRPr="0053200E" w:rsidRDefault="007341DE" w:rsidP="00E92F32">
      <w:pPr>
        <w:ind w:left="720" w:hanging="720"/>
        <w:jc w:val="both"/>
        <w:rPr>
          <w:color w:val="000000" w:themeColor="text1"/>
        </w:rPr>
      </w:pPr>
      <w:r w:rsidRPr="0053200E">
        <w:rPr>
          <w:color w:val="000000" w:themeColor="text1"/>
        </w:rPr>
        <w:t xml:space="preserve">Putra, I Putu Rsmandi Arsha, I Ketut Tjukup, dan Nyoman A. Martana. </w:t>
      </w:r>
      <w:r w:rsidRPr="00924311">
        <w:rPr>
          <w:i/>
          <w:color w:val="000000" w:themeColor="text1"/>
        </w:rPr>
        <w:t>Tuntutan Hak Dalam Penegakan Hak Lingkungan (Environmental Right)</w:t>
      </w:r>
      <w:r w:rsidRPr="00C83F6F">
        <w:rPr>
          <w:color w:val="000000" w:themeColor="text1"/>
        </w:rPr>
        <w:t>. Jurnal Hukum Acara Perdata Adhaper. Vol</w:t>
      </w:r>
      <w:r w:rsidR="00924311">
        <w:rPr>
          <w:color w:val="000000" w:themeColor="text1"/>
        </w:rPr>
        <w:t>ume</w:t>
      </w:r>
      <w:r w:rsidRPr="00C83F6F">
        <w:rPr>
          <w:color w:val="000000" w:themeColor="text1"/>
        </w:rPr>
        <w:t xml:space="preserve"> 2 No</w:t>
      </w:r>
      <w:r w:rsidR="00924311">
        <w:rPr>
          <w:color w:val="000000" w:themeColor="text1"/>
        </w:rPr>
        <w:t>mor</w:t>
      </w:r>
      <w:r w:rsidRPr="00C83F6F">
        <w:rPr>
          <w:color w:val="000000" w:themeColor="text1"/>
        </w:rPr>
        <w:t xml:space="preserve"> 1</w:t>
      </w:r>
      <w:r w:rsidRPr="0053200E">
        <w:rPr>
          <w:color w:val="000000" w:themeColor="text1"/>
        </w:rPr>
        <w:t xml:space="preserve"> Januari-Juni 2016.</w:t>
      </w:r>
    </w:p>
    <w:p w14:paraId="38EDF4B6" w14:textId="0B8C09F7" w:rsidR="00466DDC" w:rsidRPr="0053200E" w:rsidRDefault="00466DDC" w:rsidP="00E92F32">
      <w:pPr>
        <w:ind w:left="720" w:hanging="720"/>
        <w:jc w:val="both"/>
        <w:rPr>
          <w:color w:val="000000" w:themeColor="text1"/>
        </w:rPr>
      </w:pPr>
      <w:r w:rsidRPr="0053200E">
        <w:lastRenderedPageBreak/>
        <w:t xml:space="preserve">Ryan, Mark A. </w:t>
      </w:r>
      <w:r w:rsidRPr="00C83F6F">
        <w:rPr>
          <w:rFonts w:eastAsia="Times New Roman"/>
          <w:i/>
        </w:rPr>
        <w:t>Clean Water Act Citizen Suits: What the Numbers Tell Us</w:t>
      </w:r>
      <w:r w:rsidRPr="0053200E">
        <w:t xml:space="preserve">. </w:t>
      </w:r>
      <w:r w:rsidRPr="00C83F6F">
        <w:t>Natural Resources and Environmental. Vol</w:t>
      </w:r>
      <w:r w:rsidR="00AD3835">
        <w:t>ume</w:t>
      </w:r>
      <w:r w:rsidRPr="00C83F6F">
        <w:t xml:space="preserve"> 32 No</w:t>
      </w:r>
      <w:r w:rsidR="00AD3835">
        <w:t>mor</w:t>
      </w:r>
      <w:r w:rsidRPr="00C83F6F">
        <w:t xml:space="preserve"> 2 </w:t>
      </w:r>
      <w:r w:rsidRPr="0053200E">
        <w:t>Fall 2017.</w:t>
      </w:r>
    </w:p>
    <w:p w14:paraId="660B87D0" w14:textId="77777777" w:rsidR="00E92F32" w:rsidRPr="007218D2" w:rsidRDefault="00E92F32" w:rsidP="00E92F32">
      <w:pPr>
        <w:ind w:left="720" w:hanging="720"/>
        <w:jc w:val="both"/>
        <w:rPr>
          <w:color w:val="000000" w:themeColor="text1"/>
        </w:rPr>
      </w:pPr>
    </w:p>
    <w:p w14:paraId="6FD0C1B7" w14:textId="1666EF3F" w:rsidR="00DA4F69" w:rsidRPr="007218D2" w:rsidRDefault="00AD3835" w:rsidP="0081776B">
      <w:pPr>
        <w:jc w:val="both"/>
        <w:rPr>
          <w:b/>
          <w:color w:val="000000" w:themeColor="text1"/>
        </w:rPr>
      </w:pPr>
      <w:r>
        <w:rPr>
          <w:b/>
          <w:color w:val="000000" w:themeColor="text1"/>
        </w:rPr>
        <w:t>Undang-undang dan Putusan</w:t>
      </w:r>
    </w:p>
    <w:p w14:paraId="3388C448" w14:textId="3E84DF77" w:rsidR="007341DE" w:rsidRPr="00773CE1" w:rsidRDefault="00AD3835" w:rsidP="0081776B">
      <w:pPr>
        <w:ind w:left="720" w:hanging="720"/>
        <w:jc w:val="both"/>
        <w:rPr>
          <w:b/>
          <w:color w:val="000000" w:themeColor="text1"/>
        </w:rPr>
      </w:pPr>
      <w:r w:rsidRPr="00AD3835">
        <w:rPr>
          <w:color w:val="000000" w:themeColor="text1"/>
        </w:rPr>
        <w:t xml:space="preserve">Republik </w:t>
      </w:r>
      <w:r w:rsidR="007341DE" w:rsidRPr="00773CE1">
        <w:rPr>
          <w:color w:val="000000" w:themeColor="text1"/>
        </w:rPr>
        <w:t xml:space="preserve">Indonesia. </w:t>
      </w:r>
      <w:r w:rsidR="007341DE" w:rsidRPr="00C83F6F">
        <w:rPr>
          <w:color w:val="000000" w:themeColor="text1"/>
        </w:rPr>
        <w:t xml:space="preserve">Undang-undang </w:t>
      </w:r>
      <w:r w:rsidR="00773CE1">
        <w:rPr>
          <w:color w:val="000000" w:themeColor="text1"/>
        </w:rPr>
        <w:t>Nomor</w:t>
      </w:r>
      <w:r w:rsidR="00773CE1" w:rsidRPr="00AD3835">
        <w:rPr>
          <w:color w:val="000000" w:themeColor="text1"/>
        </w:rPr>
        <w:t xml:space="preserve"> 19 Tahun 1970</w:t>
      </w:r>
      <w:r w:rsidR="00773CE1">
        <w:rPr>
          <w:color w:val="000000" w:themeColor="text1"/>
        </w:rPr>
        <w:t xml:space="preserve"> </w:t>
      </w:r>
      <w:r w:rsidR="007341DE" w:rsidRPr="00C83F6F">
        <w:rPr>
          <w:color w:val="000000" w:themeColor="text1"/>
        </w:rPr>
        <w:t>tentang Ketentuan-ketentuan Pokok Kekuasaan Kehakiman</w:t>
      </w:r>
      <w:r w:rsidR="007341DE" w:rsidRPr="00AD3835">
        <w:rPr>
          <w:color w:val="000000" w:themeColor="text1"/>
        </w:rPr>
        <w:t>. L</w:t>
      </w:r>
      <w:r w:rsidR="00773CE1">
        <w:rPr>
          <w:color w:val="000000" w:themeColor="text1"/>
        </w:rPr>
        <w:t>embaran Negara Nomor</w:t>
      </w:r>
      <w:r w:rsidR="007341DE" w:rsidRPr="00AD3835">
        <w:rPr>
          <w:color w:val="000000" w:themeColor="text1"/>
        </w:rPr>
        <w:t xml:space="preserve"> 74</w:t>
      </w:r>
      <w:r w:rsidR="00773CE1">
        <w:rPr>
          <w:color w:val="000000" w:themeColor="text1"/>
        </w:rPr>
        <w:t xml:space="preserve"> Tahun 1970</w:t>
      </w:r>
      <w:r w:rsidR="007341DE" w:rsidRPr="00AD3835">
        <w:rPr>
          <w:color w:val="000000" w:themeColor="text1"/>
        </w:rPr>
        <w:t xml:space="preserve">. </w:t>
      </w:r>
      <w:r w:rsidR="00773CE1">
        <w:rPr>
          <w:color w:val="000000" w:themeColor="text1"/>
        </w:rPr>
        <w:t>Tambahan Lembaran Negara Nomor</w:t>
      </w:r>
      <w:r w:rsidR="007341DE" w:rsidRPr="00AD3835">
        <w:rPr>
          <w:color w:val="000000" w:themeColor="text1"/>
        </w:rPr>
        <w:t>. 2951.</w:t>
      </w:r>
    </w:p>
    <w:p w14:paraId="20DEDE4B" w14:textId="5C20A210" w:rsidR="007341DE" w:rsidRPr="00773CE1" w:rsidRDefault="00AD3835" w:rsidP="0081776B">
      <w:pPr>
        <w:ind w:left="720" w:hanging="720"/>
        <w:jc w:val="both"/>
        <w:rPr>
          <w:color w:val="000000" w:themeColor="text1"/>
        </w:rPr>
      </w:pPr>
      <w:r w:rsidRPr="00773CE1">
        <w:rPr>
          <w:color w:val="000000" w:themeColor="text1"/>
        </w:rPr>
        <w:t xml:space="preserve">Republik </w:t>
      </w:r>
      <w:r w:rsidR="007341DE" w:rsidRPr="00773CE1">
        <w:rPr>
          <w:color w:val="000000" w:themeColor="text1"/>
        </w:rPr>
        <w:t xml:space="preserve">Indonesia. </w:t>
      </w:r>
      <w:r w:rsidR="007341DE" w:rsidRPr="00C83F6F">
        <w:rPr>
          <w:color w:val="000000" w:themeColor="text1"/>
        </w:rPr>
        <w:t>Undang-undang</w:t>
      </w:r>
      <w:r w:rsidR="00773CE1">
        <w:rPr>
          <w:color w:val="000000" w:themeColor="text1"/>
        </w:rPr>
        <w:t xml:space="preserve"> </w:t>
      </w:r>
      <w:r w:rsidR="00773CE1">
        <w:rPr>
          <w:color w:val="000000" w:themeColor="text1"/>
        </w:rPr>
        <w:t xml:space="preserve"> Nomor</w:t>
      </w:r>
      <w:r w:rsidR="00773CE1" w:rsidRPr="00AD3835">
        <w:rPr>
          <w:color w:val="000000" w:themeColor="text1"/>
        </w:rPr>
        <w:t xml:space="preserve"> 32 Tahun 2009</w:t>
      </w:r>
      <w:r w:rsidR="007341DE" w:rsidRPr="00C83F6F">
        <w:rPr>
          <w:color w:val="000000" w:themeColor="text1"/>
        </w:rPr>
        <w:t xml:space="preserve"> tentang Perlindungan dan Pengelolaan Lingkungan Hidup</w:t>
      </w:r>
      <w:r w:rsidR="007341DE" w:rsidRPr="00AD3835">
        <w:rPr>
          <w:color w:val="000000" w:themeColor="text1"/>
        </w:rPr>
        <w:t xml:space="preserve">. </w:t>
      </w:r>
      <w:r w:rsidR="00773CE1">
        <w:rPr>
          <w:color w:val="000000" w:themeColor="text1"/>
        </w:rPr>
        <w:t>Lembaran Negara Nomor</w:t>
      </w:r>
      <w:r w:rsidR="007341DE" w:rsidRPr="00AD3835">
        <w:rPr>
          <w:color w:val="000000" w:themeColor="text1"/>
        </w:rPr>
        <w:t xml:space="preserve"> 140</w:t>
      </w:r>
      <w:r w:rsidR="00773CE1">
        <w:rPr>
          <w:color w:val="000000" w:themeColor="text1"/>
        </w:rPr>
        <w:t xml:space="preserve"> Tahun 2009</w:t>
      </w:r>
      <w:r w:rsidR="007341DE" w:rsidRPr="00AD3835">
        <w:rPr>
          <w:color w:val="000000" w:themeColor="text1"/>
        </w:rPr>
        <w:t xml:space="preserve">. </w:t>
      </w:r>
      <w:r w:rsidR="00773CE1">
        <w:rPr>
          <w:color w:val="000000" w:themeColor="text1"/>
        </w:rPr>
        <w:t>Tambahan Lembaran Negara Nomor</w:t>
      </w:r>
      <w:r w:rsidR="007341DE" w:rsidRPr="00AD3835">
        <w:rPr>
          <w:color w:val="000000" w:themeColor="text1"/>
        </w:rPr>
        <w:t>5059.</w:t>
      </w:r>
    </w:p>
    <w:p w14:paraId="21029873" w14:textId="77777777" w:rsidR="007341DE" w:rsidRPr="00AD3835" w:rsidRDefault="007341DE" w:rsidP="0081776B">
      <w:pPr>
        <w:ind w:left="720" w:hanging="720"/>
        <w:jc w:val="both"/>
        <w:rPr>
          <w:color w:val="000000" w:themeColor="text1"/>
        </w:rPr>
      </w:pPr>
      <w:r w:rsidRPr="00AD3835">
        <w:rPr>
          <w:color w:val="000000" w:themeColor="text1"/>
        </w:rPr>
        <w:t>Keputusan Ketua Mahkamah Agung RI Nomor 36/KMA/SK/II/2013 tentang Pemberlakukan Pedoman Penanganan Perkara Lingkungan Hidup.</w:t>
      </w:r>
    </w:p>
    <w:p w14:paraId="72E856CA" w14:textId="77777777" w:rsidR="00DA4F69" w:rsidRPr="007218D2" w:rsidRDefault="00DA4F69" w:rsidP="0081776B">
      <w:pPr>
        <w:jc w:val="both"/>
        <w:rPr>
          <w:color w:val="000000" w:themeColor="text1"/>
        </w:rPr>
      </w:pPr>
    </w:p>
    <w:p w14:paraId="56566F5A" w14:textId="77777777" w:rsidR="00DA4F69" w:rsidRPr="007218D2" w:rsidRDefault="00DA4F69" w:rsidP="0081776B">
      <w:pPr>
        <w:jc w:val="both"/>
        <w:rPr>
          <w:b/>
          <w:color w:val="000000" w:themeColor="text1"/>
        </w:rPr>
      </w:pPr>
      <w:r w:rsidRPr="007218D2">
        <w:rPr>
          <w:b/>
          <w:color w:val="000000" w:themeColor="text1"/>
        </w:rPr>
        <w:t>Internet</w:t>
      </w:r>
    </w:p>
    <w:p w14:paraId="4CFAC628" w14:textId="6DEF50F0" w:rsidR="00DA4F69" w:rsidRPr="007218D2" w:rsidRDefault="00DA4F69" w:rsidP="0081776B">
      <w:pPr>
        <w:pStyle w:val="Heading1"/>
        <w:shd w:val="clear" w:color="auto" w:fill="FFFFFF"/>
        <w:spacing w:before="0" w:beforeAutospacing="0" w:after="0" w:afterAutospacing="0"/>
        <w:ind w:left="720" w:hanging="720"/>
        <w:jc w:val="both"/>
        <w:rPr>
          <w:rFonts w:eastAsia="Times New Roman"/>
          <w:b w:val="0"/>
          <w:bCs w:val="0"/>
          <w:color w:val="000000" w:themeColor="text1"/>
          <w:sz w:val="24"/>
          <w:szCs w:val="24"/>
        </w:rPr>
      </w:pPr>
      <w:r w:rsidRPr="007218D2">
        <w:rPr>
          <w:b w:val="0"/>
          <w:color w:val="000000" w:themeColor="text1"/>
          <w:sz w:val="24"/>
          <w:szCs w:val="24"/>
        </w:rPr>
        <w:t>Legal Information Institue</w:t>
      </w:r>
      <w:r w:rsidR="00773CE1">
        <w:rPr>
          <w:b w:val="0"/>
          <w:color w:val="000000" w:themeColor="text1"/>
          <w:sz w:val="24"/>
          <w:szCs w:val="24"/>
        </w:rPr>
        <w:t xml:space="preserve">. </w:t>
      </w:r>
      <w:r w:rsidRPr="00C83F6F">
        <w:rPr>
          <w:rFonts w:eastAsia="Times New Roman"/>
          <w:b w:val="0"/>
          <w:bCs w:val="0"/>
          <w:i/>
          <w:color w:val="000000" w:themeColor="text1"/>
          <w:sz w:val="24"/>
          <w:szCs w:val="24"/>
        </w:rPr>
        <w:t>33 U.S. Code § 1365 - Citizen suits</w:t>
      </w:r>
      <w:r w:rsidRPr="007218D2">
        <w:rPr>
          <w:rFonts w:eastAsia="Times New Roman"/>
          <w:b w:val="0"/>
          <w:bCs w:val="0"/>
          <w:color w:val="000000" w:themeColor="text1"/>
          <w:sz w:val="24"/>
          <w:szCs w:val="24"/>
        </w:rPr>
        <w:t xml:space="preserve">. </w:t>
      </w:r>
      <w:hyperlink r:id="rId16" w:history="1">
        <w:r w:rsidRPr="007218D2">
          <w:rPr>
            <w:rStyle w:val="Hyperlink"/>
            <w:rFonts w:eastAsia="Times New Roman"/>
            <w:b w:val="0"/>
            <w:bCs w:val="0"/>
            <w:color w:val="000000" w:themeColor="text1"/>
            <w:sz w:val="24"/>
            <w:szCs w:val="24"/>
          </w:rPr>
          <w:t>https://www.law.cornell.edu/uscode/text/33/1365</w:t>
        </w:r>
      </w:hyperlink>
      <w:r w:rsidRPr="007218D2">
        <w:rPr>
          <w:rFonts w:eastAsia="Times New Roman"/>
          <w:b w:val="0"/>
          <w:bCs w:val="0"/>
          <w:color w:val="000000" w:themeColor="text1"/>
          <w:sz w:val="24"/>
          <w:szCs w:val="24"/>
        </w:rPr>
        <w:t>. Diakses pada 1 Januari 202</w:t>
      </w:r>
      <w:r w:rsidR="00FA043B">
        <w:rPr>
          <w:rFonts w:eastAsia="Times New Roman"/>
          <w:b w:val="0"/>
          <w:bCs w:val="0"/>
          <w:color w:val="000000" w:themeColor="text1"/>
          <w:sz w:val="24"/>
          <w:szCs w:val="24"/>
        </w:rPr>
        <w:t>1</w:t>
      </w:r>
      <w:r w:rsidRPr="007218D2">
        <w:rPr>
          <w:rFonts w:eastAsia="Times New Roman"/>
          <w:b w:val="0"/>
          <w:bCs w:val="0"/>
          <w:color w:val="000000" w:themeColor="text1"/>
          <w:sz w:val="24"/>
          <w:szCs w:val="24"/>
        </w:rPr>
        <w:t>.</w:t>
      </w:r>
    </w:p>
    <w:p w14:paraId="67EE6E4E" w14:textId="2A9A858D" w:rsidR="00947A76" w:rsidRPr="007218D2" w:rsidRDefault="00DA4F69" w:rsidP="0081776B">
      <w:pPr>
        <w:ind w:left="720" w:hanging="720"/>
        <w:jc w:val="both"/>
        <w:rPr>
          <w:b/>
          <w:color w:val="000000" w:themeColor="text1"/>
        </w:rPr>
      </w:pPr>
      <w:r w:rsidRPr="007218D2">
        <w:rPr>
          <w:color w:val="000000" w:themeColor="text1"/>
        </w:rPr>
        <w:t xml:space="preserve">Walhi. </w:t>
      </w:r>
      <w:r w:rsidRPr="00C83F6F">
        <w:rPr>
          <w:rFonts w:eastAsia="Times New Roman"/>
          <w:bCs/>
          <w:i/>
          <w:color w:val="000000" w:themeColor="text1"/>
          <w:shd w:val="clear" w:color="auto" w:fill="FFFFFF"/>
        </w:rPr>
        <w:t>Hakim Kabulkan Sebagian Gugatan Citizen Law Suit Warga Kalteng</w:t>
      </w:r>
      <w:r w:rsidRPr="007218D2">
        <w:rPr>
          <w:rFonts w:eastAsia="Times New Roman"/>
          <w:bCs/>
          <w:color w:val="000000" w:themeColor="text1"/>
          <w:shd w:val="clear" w:color="auto" w:fill="FFFFFF"/>
        </w:rPr>
        <w:t xml:space="preserve">. </w:t>
      </w:r>
      <w:hyperlink r:id="rId17" w:history="1">
        <w:r w:rsidRPr="007218D2">
          <w:rPr>
            <w:rStyle w:val="Hyperlink"/>
            <w:rFonts w:eastAsia="Times New Roman"/>
            <w:bCs/>
            <w:color w:val="000000" w:themeColor="text1"/>
            <w:shd w:val="clear" w:color="auto" w:fill="FFFFFF"/>
          </w:rPr>
          <w:t>https://www.walhi.or.id/hakim-kabulkan-sebagian-gugatan-citizen-law-suit-warga-kalteng</w:t>
        </w:r>
      </w:hyperlink>
      <w:r w:rsidRPr="007218D2">
        <w:rPr>
          <w:rFonts w:eastAsia="Times New Roman"/>
          <w:bCs/>
          <w:color w:val="000000" w:themeColor="text1"/>
          <w:shd w:val="clear" w:color="auto" w:fill="FFFFFF"/>
        </w:rPr>
        <w:t>. Diakses pada 1 Januari 202</w:t>
      </w:r>
      <w:r w:rsidR="00FA043B">
        <w:rPr>
          <w:rFonts w:eastAsia="Times New Roman"/>
          <w:bCs/>
          <w:color w:val="000000" w:themeColor="text1"/>
          <w:shd w:val="clear" w:color="auto" w:fill="FFFFFF"/>
        </w:rPr>
        <w:t>1</w:t>
      </w:r>
      <w:r w:rsidRPr="007218D2">
        <w:rPr>
          <w:rFonts w:eastAsia="Times New Roman"/>
          <w:bCs/>
          <w:color w:val="000000" w:themeColor="text1"/>
          <w:shd w:val="clear" w:color="auto" w:fill="FFFFFF"/>
        </w:rPr>
        <w:t>.</w:t>
      </w:r>
    </w:p>
    <w:sectPr w:rsidR="00947A76" w:rsidRPr="007218D2" w:rsidSect="00D23D7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E5E37" w14:textId="77777777" w:rsidR="007435BF" w:rsidRDefault="007435BF" w:rsidP="00FF329E">
      <w:r>
        <w:separator/>
      </w:r>
    </w:p>
  </w:endnote>
  <w:endnote w:type="continuationSeparator" w:id="0">
    <w:p w14:paraId="29006363" w14:textId="77777777" w:rsidR="007435BF" w:rsidRDefault="007435BF" w:rsidP="00FF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D10A" w14:textId="77777777" w:rsidR="00416CC1" w:rsidRPr="00951429" w:rsidRDefault="00416CC1" w:rsidP="00454C8D">
    <w:pPr>
      <w:pStyle w:val="Footer"/>
      <w:tabs>
        <w:tab w:val="clear" w:pos="4680"/>
        <w:tab w:val="clear" w:pos="9360"/>
      </w:tabs>
      <w:jc w:val="right"/>
      <w:rPr>
        <w:rFonts w:ascii="Times New Roman" w:hAnsi="Times New Roman" w:cs="Times New Roman"/>
        <w:caps/>
        <w:noProof/>
        <w:color w:val="000000" w:themeColor="text1"/>
        <w:sz w:val="20"/>
        <w:szCs w:val="20"/>
      </w:rPr>
    </w:pPr>
    <w:r w:rsidRPr="00951429">
      <w:rPr>
        <w:rFonts w:ascii="Times New Roman" w:hAnsi="Times New Roman" w:cs="Times New Roman"/>
        <w:caps/>
        <w:color w:val="000000" w:themeColor="text1"/>
        <w:sz w:val="20"/>
        <w:szCs w:val="20"/>
      </w:rPr>
      <w:fldChar w:fldCharType="begin"/>
    </w:r>
    <w:r w:rsidRPr="00951429">
      <w:rPr>
        <w:rFonts w:ascii="Times New Roman" w:hAnsi="Times New Roman" w:cs="Times New Roman"/>
        <w:caps/>
        <w:color w:val="000000" w:themeColor="text1"/>
        <w:sz w:val="20"/>
        <w:szCs w:val="20"/>
      </w:rPr>
      <w:instrText xml:space="preserve"> PAGE   \* MERGEFORMAT </w:instrText>
    </w:r>
    <w:r w:rsidRPr="00951429">
      <w:rPr>
        <w:rFonts w:ascii="Times New Roman" w:hAnsi="Times New Roman" w:cs="Times New Roman"/>
        <w:caps/>
        <w:color w:val="000000" w:themeColor="text1"/>
        <w:sz w:val="20"/>
        <w:szCs w:val="20"/>
      </w:rPr>
      <w:fldChar w:fldCharType="separate"/>
    </w:r>
    <w:r w:rsidR="00C83F6F">
      <w:rPr>
        <w:rFonts w:ascii="Times New Roman" w:hAnsi="Times New Roman" w:cs="Times New Roman"/>
        <w:caps/>
        <w:noProof/>
        <w:color w:val="000000" w:themeColor="text1"/>
        <w:sz w:val="20"/>
        <w:szCs w:val="20"/>
      </w:rPr>
      <w:t>9</w:t>
    </w:r>
    <w:r w:rsidRPr="00951429">
      <w:rPr>
        <w:rFonts w:ascii="Times New Roman" w:hAnsi="Times New Roman" w:cs="Times New Roman"/>
        <w:caps/>
        <w:noProof/>
        <w:color w:val="000000" w:themeColor="text1"/>
        <w:sz w:val="20"/>
        <w:szCs w:val="20"/>
      </w:rPr>
      <w:fldChar w:fldCharType="end"/>
    </w:r>
  </w:p>
  <w:p w14:paraId="52197BFC" w14:textId="77777777" w:rsidR="00416CC1" w:rsidRPr="00951429" w:rsidRDefault="00416CC1">
    <w:pPr>
      <w:pStyle w:val="Footer"/>
      <w:rPr>
        <w:rFonts w:ascii="Times New Roman" w:hAnsi="Times New Roman" w:cs="Times New Roman"/>
        <w:color w:val="000000" w:themeColor="text1"/>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F1C77" w14:textId="77777777" w:rsidR="007435BF" w:rsidRDefault="007435BF" w:rsidP="00FF329E">
      <w:r>
        <w:separator/>
      </w:r>
    </w:p>
  </w:footnote>
  <w:footnote w:type="continuationSeparator" w:id="0">
    <w:p w14:paraId="57899F0D" w14:textId="77777777" w:rsidR="007435BF" w:rsidRDefault="007435BF" w:rsidP="00FF329E">
      <w:r>
        <w:continuationSeparator/>
      </w:r>
    </w:p>
  </w:footnote>
  <w:footnote w:id="1">
    <w:p w14:paraId="0905FA65" w14:textId="7AB42BC6"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Sudikno Mertokusmo</w:t>
      </w:r>
      <w:r>
        <w:rPr>
          <w:color w:val="000000" w:themeColor="text1"/>
          <w:sz w:val="20"/>
          <w:szCs w:val="20"/>
        </w:rPr>
        <w:t>. (</w:t>
      </w:r>
      <w:r w:rsidRPr="00340F4F">
        <w:rPr>
          <w:color w:val="000000" w:themeColor="text1"/>
          <w:sz w:val="20"/>
          <w:szCs w:val="20"/>
        </w:rPr>
        <w:t>2013</w:t>
      </w:r>
      <w:r>
        <w:rPr>
          <w:color w:val="000000" w:themeColor="text1"/>
          <w:sz w:val="20"/>
          <w:szCs w:val="20"/>
        </w:rPr>
        <w:t xml:space="preserve">). </w:t>
      </w:r>
      <w:r w:rsidRPr="00340F4F">
        <w:rPr>
          <w:i/>
          <w:color w:val="000000" w:themeColor="text1"/>
          <w:sz w:val="20"/>
          <w:szCs w:val="20"/>
        </w:rPr>
        <w:t>Hukum Acara Perdata Indonesia</w:t>
      </w:r>
      <w:r>
        <w:rPr>
          <w:color w:val="000000" w:themeColor="text1"/>
          <w:sz w:val="20"/>
          <w:szCs w:val="20"/>
        </w:rPr>
        <w:t xml:space="preserve">. </w:t>
      </w:r>
      <w:r w:rsidRPr="00340F4F">
        <w:rPr>
          <w:color w:val="000000" w:themeColor="text1"/>
          <w:sz w:val="20"/>
          <w:szCs w:val="20"/>
        </w:rPr>
        <w:t>Yogyakarta: Cahaya Atma Pustaka,</w:t>
      </w:r>
      <w:r>
        <w:rPr>
          <w:color w:val="000000" w:themeColor="text1"/>
          <w:sz w:val="20"/>
          <w:szCs w:val="20"/>
        </w:rPr>
        <w:t>.</w:t>
      </w:r>
      <w:r w:rsidRPr="00340F4F">
        <w:rPr>
          <w:color w:val="000000" w:themeColor="text1"/>
          <w:sz w:val="20"/>
          <w:szCs w:val="20"/>
        </w:rPr>
        <w:t xml:space="preserve"> h. 1-2.</w:t>
      </w:r>
    </w:p>
  </w:footnote>
  <w:footnote w:id="2">
    <w:p w14:paraId="109A4BBA" w14:textId="4279A30C"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Andri G. Wibisana</w:t>
      </w:r>
      <w:r>
        <w:rPr>
          <w:color w:val="000000" w:themeColor="text1"/>
          <w:sz w:val="20"/>
          <w:szCs w:val="20"/>
        </w:rPr>
        <w:t>. (</w:t>
      </w:r>
      <w:r w:rsidRPr="00340F4F">
        <w:rPr>
          <w:color w:val="000000" w:themeColor="text1"/>
          <w:sz w:val="20"/>
          <w:szCs w:val="20"/>
        </w:rPr>
        <w:t>2017</w:t>
      </w:r>
      <w:r>
        <w:rPr>
          <w:color w:val="000000" w:themeColor="text1"/>
          <w:sz w:val="20"/>
          <w:szCs w:val="20"/>
        </w:rPr>
        <w:t>).</w:t>
      </w:r>
      <w:r w:rsidRPr="00340F4F">
        <w:rPr>
          <w:color w:val="000000" w:themeColor="text1"/>
          <w:sz w:val="20"/>
          <w:szCs w:val="20"/>
        </w:rPr>
        <w:t xml:space="preserve"> </w:t>
      </w:r>
      <w:r w:rsidRPr="00340F4F">
        <w:rPr>
          <w:i/>
          <w:color w:val="000000" w:themeColor="text1"/>
          <w:sz w:val="20"/>
          <w:szCs w:val="20"/>
        </w:rPr>
        <w:t>Penegakan Hukum Lingkukan melalui Pertanggungjawaban Perdata</w:t>
      </w:r>
      <w:r>
        <w:rPr>
          <w:color w:val="000000" w:themeColor="text1"/>
          <w:sz w:val="20"/>
          <w:szCs w:val="20"/>
        </w:rPr>
        <w:t xml:space="preserve">. </w:t>
      </w:r>
      <w:r w:rsidRPr="00340F4F">
        <w:rPr>
          <w:color w:val="000000" w:themeColor="text1"/>
          <w:sz w:val="20"/>
          <w:szCs w:val="20"/>
        </w:rPr>
        <w:t>Depok: BP-FHUI</w:t>
      </w:r>
      <w:r>
        <w:rPr>
          <w:color w:val="000000" w:themeColor="text1"/>
          <w:sz w:val="20"/>
          <w:szCs w:val="20"/>
        </w:rPr>
        <w:t>.</w:t>
      </w:r>
      <w:r w:rsidRPr="00340F4F">
        <w:rPr>
          <w:color w:val="000000" w:themeColor="text1"/>
          <w:sz w:val="20"/>
          <w:szCs w:val="20"/>
        </w:rPr>
        <w:t xml:space="preserve"> h. 15.</w:t>
      </w:r>
    </w:p>
  </w:footnote>
  <w:footnote w:id="3">
    <w:p w14:paraId="0546B6F1" w14:textId="449A2DB0"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Takdir Rahmadi</w:t>
      </w:r>
      <w:r>
        <w:rPr>
          <w:color w:val="000000" w:themeColor="text1"/>
          <w:sz w:val="20"/>
          <w:szCs w:val="20"/>
        </w:rPr>
        <w:t>. (2019).</w:t>
      </w:r>
      <w:r w:rsidRPr="00340F4F">
        <w:rPr>
          <w:color w:val="000000" w:themeColor="text1"/>
          <w:sz w:val="20"/>
          <w:szCs w:val="20"/>
        </w:rPr>
        <w:t xml:space="preserve"> </w:t>
      </w:r>
      <w:r w:rsidRPr="00340F4F">
        <w:rPr>
          <w:i/>
          <w:color w:val="000000" w:themeColor="text1"/>
          <w:sz w:val="20"/>
          <w:szCs w:val="20"/>
        </w:rPr>
        <w:t>Hukum Lingkungan di Indonesia</w:t>
      </w:r>
      <w:r>
        <w:rPr>
          <w:color w:val="000000" w:themeColor="text1"/>
          <w:sz w:val="20"/>
          <w:szCs w:val="20"/>
        </w:rPr>
        <w:t xml:space="preserve">. </w:t>
      </w:r>
      <w:r w:rsidRPr="00340F4F">
        <w:rPr>
          <w:color w:val="000000" w:themeColor="text1"/>
          <w:sz w:val="20"/>
          <w:szCs w:val="20"/>
        </w:rPr>
        <w:t>Depok: Rajawali Pers</w:t>
      </w:r>
      <w:r>
        <w:rPr>
          <w:color w:val="000000" w:themeColor="text1"/>
          <w:sz w:val="20"/>
          <w:szCs w:val="20"/>
        </w:rPr>
        <w:t xml:space="preserve">. </w:t>
      </w:r>
      <w:r w:rsidRPr="00340F4F">
        <w:rPr>
          <w:color w:val="000000" w:themeColor="text1"/>
          <w:sz w:val="20"/>
          <w:szCs w:val="20"/>
        </w:rPr>
        <w:t>h</w:t>
      </w:r>
      <w:r>
        <w:rPr>
          <w:color w:val="000000" w:themeColor="text1"/>
          <w:sz w:val="20"/>
          <w:szCs w:val="20"/>
        </w:rPr>
        <w:t xml:space="preserve"> </w:t>
      </w:r>
      <w:r w:rsidRPr="00340F4F">
        <w:rPr>
          <w:color w:val="000000" w:themeColor="text1"/>
          <w:sz w:val="20"/>
          <w:szCs w:val="20"/>
        </w:rPr>
        <w:t>. 282.</w:t>
      </w:r>
    </w:p>
  </w:footnote>
  <w:footnote w:id="4">
    <w:p w14:paraId="5D2998D0" w14:textId="4C121082"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Wibisana, </w:t>
      </w:r>
      <w:r w:rsidRPr="00340F4F">
        <w:rPr>
          <w:i/>
          <w:color w:val="000000" w:themeColor="text1"/>
          <w:sz w:val="20"/>
          <w:szCs w:val="20"/>
        </w:rPr>
        <w:t>Penegakan</w:t>
      </w:r>
      <w:r w:rsidRPr="00340F4F">
        <w:rPr>
          <w:color w:val="000000" w:themeColor="text1"/>
          <w:sz w:val="20"/>
          <w:szCs w:val="20"/>
        </w:rPr>
        <w:t>… hlm. 16-23.</w:t>
      </w:r>
    </w:p>
  </w:footnote>
  <w:footnote w:id="5">
    <w:p w14:paraId="17418282" w14:textId="70E7CC33"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w:t>
      </w:r>
      <w:r w:rsidRPr="00CD640F">
        <w:rPr>
          <w:color w:val="000000" w:themeColor="text1"/>
          <w:sz w:val="20"/>
          <w:szCs w:val="20"/>
        </w:rPr>
        <w:t>Ps. 91 Ayat (1)</w:t>
      </w:r>
      <w:r w:rsidRPr="005022E4">
        <w:rPr>
          <w:color w:val="000000" w:themeColor="text1"/>
          <w:sz w:val="20"/>
          <w:szCs w:val="20"/>
        </w:rPr>
        <w:t xml:space="preserve"> </w:t>
      </w:r>
      <w:r w:rsidRPr="00C83F6F">
        <w:rPr>
          <w:color w:val="000000" w:themeColor="text1"/>
          <w:sz w:val="20"/>
          <w:szCs w:val="20"/>
        </w:rPr>
        <w:t xml:space="preserve">Undang-undang </w:t>
      </w:r>
      <w:r>
        <w:rPr>
          <w:color w:val="000000" w:themeColor="text1"/>
          <w:sz w:val="20"/>
          <w:szCs w:val="20"/>
        </w:rPr>
        <w:t>Nomor</w:t>
      </w:r>
      <w:r w:rsidRPr="00CD640F">
        <w:rPr>
          <w:color w:val="000000" w:themeColor="text1"/>
          <w:sz w:val="20"/>
          <w:szCs w:val="20"/>
        </w:rPr>
        <w:t xml:space="preserve"> 32 Tahun 2009</w:t>
      </w:r>
      <w:r w:rsidRPr="00C83F6F">
        <w:rPr>
          <w:color w:val="000000" w:themeColor="text1"/>
          <w:sz w:val="20"/>
          <w:szCs w:val="20"/>
        </w:rPr>
        <w:t xml:space="preserve"> tentang Perlindungan dan Pengelolaan Lingkungan Hidup.</w:t>
      </w:r>
    </w:p>
  </w:footnote>
  <w:footnote w:id="6">
    <w:p w14:paraId="5A7AD4FD" w14:textId="38685841"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Wibisana, </w:t>
      </w:r>
      <w:r w:rsidRPr="00340F4F">
        <w:rPr>
          <w:i/>
          <w:color w:val="000000" w:themeColor="text1"/>
          <w:sz w:val="20"/>
          <w:szCs w:val="20"/>
        </w:rPr>
        <w:t>Penegakan</w:t>
      </w:r>
      <w:r w:rsidRPr="00340F4F">
        <w:rPr>
          <w:color w:val="000000" w:themeColor="text1"/>
          <w:sz w:val="20"/>
          <w:szCs w:val="20"/>
        </w:rPr>
        <w:t>… hlm. 18.</w:t>
      </w:r>
    </w:p>
  </w:footnote>
  <w:footnote w:id="7">
    <w:p w14:paraId="666C3951" w14:textId="639EEBEE" w:rsidR="00416CC1" w:rsidRPr="005D1629" w:rsidRDefault="00416CC1" w:rsidP="009A3B69">
      <w:pPr>
        <w:widowControl w:val="0"/>
        <w:autoSpaceDE w:val="0"/>
        <w:autoSpaceDN w:val="0"/>
        <w:adjustRightInd w:val="0"/>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Hal ini dikemukakan oleh Syahrul Mahmud dalam bukunya Penegakan Hukum Lingkungan Indonesia sebagaimana dikutip dalam jurnal Muzzakir Abubakar</w:t>
      </w:r>
      <w:r>
        <w:rPr>
          <w:color w:val="000000" w:themeColor="text1"/>
          <w:sz w:val="20"/>
          <w:szCs w:val="20"/>
        </w:rPr>
        <w:t>.</w:t>
      </w:r>
      <w:r w:rsidRPr="00340F4F">
        <w:rPr>
          <w:color w:val="000000" w:themeColor="text1"/>
          <w:sz w:val="20"/>
          <w:szCs w:val="20"/>
        </w:rPr>
        <w:t xml:space="preserve"> </w:t>
      </w:r>
      <w:r w:rsidRPr="00C83F6F">
        <w:rPr>
          <w:i/>
          <w:color w:val="000000" w:themeColor="text1"/>
          <w:sz w:val="20"/>
          <w:szCs w:val="20"/>
        </w:rPr>
        <w:t>Hak Mengajukan Gugatan dalam Sengketa Lingkungan Hidup</w:t>
      </w:r>
      <w:r w:rsidRPr="00340F4F">
        <w:rPr>
          <w:color w:val="000000" w:themeColor="text1"/>
          <w:sz w:val="20"/>
          <w:szCs w:val="20"/>
        </w:rPr>
        <w:t xml:space="preserve">, </w:t>
      </w:r>
      <w:r w:rsidRPr="00C83F6F">
        <w:rPr>
          <w:color w:val="000000" w:themeColor="text1"/>
          <w:sz w:val="20"/>
          <w:szCs w:val="20"/>
        </w:rPr>
        <w:t>Kanun Jurnal Ilmu Hukum, Vol</w:t>
      </w:r>
      <w:r>
        <w:rPr>
          <w:color w:val="000000" w:themeColor="text1"/>
          <w:sz w:val="20"/>
          <w:szCs w:val="20"/>
        </w:rPr>
        <w:t>ume</w:t>
      </w:r>
      <w:r w:rsidRPr="00C83F6F">
        <w:rPr>
          <w:color w:val="000000" w:themeColor="text1"/>
          <w:sz w:val="20"/>
          <w:szCs w:val="20"/>
        </w:rPr>
        <w:t xml:space="preserve"> 1 No</w:t>
      </w:r>
      <w:r>
        <w:rPr>
          <w:color w:val="000000" w:themeColor="text1"/>
          <w:sz w:val="20"/>
          <w:szCs w:val="20"/>
        </w:rPr>
        <w:t>mor</w:t>
      </w:r>
      <w:r w:rsidRPr="00C83F6F">
        <w:rPr>
          <w:color w:val="000000" w:themeColor="text1"/>
          <w:sz w:val="20"/>
          <w:szCs w:val="20"/>
        </w:rPr>
        <w:t xml:space="preserve"> 1</w:t>
      </w:r>
      <w:r>
        <w:rPr>
          <w:color w:val="000000" w:themeColor="text1"/>
          <w:sz w:val="20"/>
          <w:szCs w:val="20"/>
        </w:rPr>
        <w:t xml:space="preserve"> </w:t>
      </w:r>
      <w:r w:rsidRPr="002E3054">
        <w:rPr>
          <w:color w:val="000000" w:themeColor="text1"/>
          <w:sz w:val="20"/>
          <w:szCs w:val="20"/>
        </w:rPr>
        <w:t>April 2019</w:t>
      </w:r>
      <w:r>
        <w:rPr>
          <w:color w:val="000000" w:themeColor="text1"/>
          <w:sz w:val="20"/>
          <w:szCs w:val="20"/>
        </w:rPr>
        <w:t>. h.</w:t>
      </w:r>
      <w:r w:rsidRPr="005D1629">
        <w:rPr>
          <w:color w:val="000000" w:themeColor="text1"/>
          <w:sz w:val="20"/>
          <w:szCs w:val="20"/>
        </w:rPr>
        <w:t xml:space="preserve"> 105.</w:t>
      </w:r>
    </w:p>
  </w:footnote>
  <w:footnote w:id="8">
    <w:p w14:paraId="7705D9DF" w14:textId="07DF679B" w:rsidR="00416CC1" w:rsidRPr="00340F4F" w:rsidRDefault="00416CC1" w:rsidP="009A3B69">
      <w:pPr>
        <w:widowControl w:val="0"/>
        <w:autoSpaceDE w:val="0"/>
        <w:autoSpaceDN w:val="0"/>
        <w:adjustRightInd w:val="0"/>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Yose Octavia Henry dan Disriani Latifa Soroinda</w:t>
      </w:r>
      <w:r>
        <w:rPr>
          <w:color w:val="000000" w:themeColor="text1"/>
          <w:sz w:val="20"/>
          <w:szCs w:val="20"/>
        </w:rPr>
        <w:t>.</w:t>
      </w:r>
      <w:r w:rsidRPr="00340F4F">
        <w:rPr>
          <w:color w:val="000000" w:themeColor="text1"/>
          <w:sz w:val="20"/>
          <w:szCs w:val="20"/>
        </w:rPr>
        <w:t xml:space="preserve"> </w:t>
      </w:r>
      <w:r w:rsidRPr="00C83F6F">
        <w:rPr>
          <w:bCs/>
          <w:i/>
          <w:color w:val="000000" w:themeColor="text1"/>
          <w:sz w:val="20"/>
          <w:szCs w:val="20"/>
        </w:rPr>
        <w:t xml:space="preserve">Perbandingan dan Penerapan Gugatan </w:t>
      </w:r>
      <w:r w:rsidRPr="005D1629">
        <w:rPr>
          <w:i/>
          <w:iCs/>
          <w:color w:val="000000" w:themeColor="text1"/>
          <w:sz w:val="20"/>
          <w:szCs w:val="20"/>
        </w:rPr>
        <w:t xml:space="preserve">Citizen Lawsuit </w:t>
      </w:r>
      <w:r w:rsidRPr="00C83F6F">
        <w:rPr>
          <w:bCs/>
          <w:i/>
          <w:color w:val="000000" w:themeColor="text1"/>
          <w:sz w:val="20"/>
          <w:szCs w:val="20"/>
        </w:rPr>
        <w:t>di Indonesia dengan di Amerika Serikat dan di India</w:t>
      </w:r>
      <w:r w:rsidRPr="00340F4F">
        <w:rPr>
          <w:color w:val="000000" w:themeColor="text1"/>
          <w:sz w:val="20"/>
          <w:szCs w:val="20"/>
        </w:rPr>
        <w:t>, Karya Ilmiah Fakultas Hukum Universitas Indonesia 2014</w:t>
      </w:r>
      <w:r>
        <w:rPr>
          <w:color w:val="000000" w:themeColor="text1"/>
          <w:sz w:val="20"/>
          <w:szCs w:val="20"/>
        </w:rPr>
        <w:t>.</w:t>
      </w:r>
      <w:r w:rsidRPr="00340F4F">
        <w:rPr>
          <w:color w:val="000000" w:themeColor="text1"/>
          <w:sz w:val="20"/>
          <w:szCs w:val="20"/>
        </w:rPr>
        <w:t xml:space="preserve"> h. 9.</w:t>
      </w:r>
    </w:p>
  </w:footnote>
  <w:footnote w:id="9">
    <w:p w14:paraId="77B30556" w14:textId="48C11EC1" w:rsidR="00416CC1" w:rsidRPr="001E6B89" w:rsidRDefault="00416CC1" w:rsidP="009A3B69">
      <w:pPr>
        <w:widowControl w:val="0"/>
        <w:autoSpaceDE w:val="0"/>
        <w:autoSpaceDN w:val="0"/>
        <w:adjustRightInd w:val="0"/>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Abdul Fatah, </w:t>
      </w:r>
      <w:r w:rsidRPr="00C83F6F">
        <w:rPr>
          <w:i/>
          <w:color w:val="000000" w:themeColor="text1"/>
          <w:sz w:val="20"/>
          <w:szCs w:val="20"/>
        </w:rPr>
        <w:t>Gugatan Warga Negara sebagai Mekanisme Pemenuhan Hak Asasi Manusia dan Hak Konstitusional Warga Negara</w:t>
      </w:r>
      <w:r>
        <w:rPr>
          <w:color w:val="000000" w:themeColor="text1"/>
          <w:sz w:val="20"/>
          <w:szCs w:val="20"/>
        </w:rPr>
        <w:t>.</w:t>
      </w:r>
      <w:r w:rsidRPr="00340F4F">
        <w:rPr>
          <w:color w:val="000000" w:themeColor="text1"/>
          <w:sz w:val="20"/>
          <w:szCs w:val="20"/>
        </w:rPr>
        <w:t xml:space="preserve"> </w:t>
      </w:r>
      <w:r w:rsidRPr="00C83F6F">
        <w:rPr>
          <w:color w:val="000000" w:themeColor="text1"/>
          <w:sz w:val="20"/>
          <w:szCs w:val="20"/>
        </w:rPr>
        <w:t>Jurnal Yuridika Vol</w:t>
      </w:r>
      <w:r>
        <w:rPr>
          <w:color w:val="000000" w:themeColor="text1"/>
          <w:sz w:val="20"/>
          <w:szCs w:val="20"/>
        </w:rPr>
        <w:t>ume</w:t>
      </w:r>
      <w:r w:rsidRPr="00C83F6F">
        <w:rPr>
          <w:color w:val="000000" w:themeColor="text1"/>
          <w:sz w:val="20"/>
          <w:szCs w:val="20"/>
        </w:rPr>
        <w:t xml:space="preserve"> 28 No</w:t>
      </w:r>
      <w:r>
        <w:rPr>
          <w:color w:val="000000" w:themeColor="text1"/>
          <w:sz w:val="20"/>
          <w:szCs w:val="20"/>
        </w:rPr>
        <w:t>mor</w:t>
      </w:r>
      <w:r w:rsidRPr="00C83F6F">
        <w:rPr>
          <w:color w:val="000000" w:themeColor="text1"/>
          <w:sz w:val="20"/>
          <w:szCs w:val="20"/>
        </w:rPr>
        <w:t xml:space="preserve"> 3</w:t>
      </w:r>
      <w:r>
        <w:rPr>
          <w:color w:val="000000" w:themeColor="text1"/>
          <w:sz w:val="20"/>
          <w:szCs w:val="20"/>
        </w:rPr>
        <w:t xml:space="preserve"> </w:t>
      </w:r>
      <w:r w:rsidRPr="00C83F6F">
        <w:rPr>
          <w:color w:val="000000" w:themeColor="text1"/>
          <w:sz w:val="20"/>
          <w:szCs w:val="20"/>
        </w:rPr>
        <w:t>September-Desember 2013</w:t>
      </w:r>
      <w:r>
        <w:rPr>
          <w:color w:val="000000" w:themeColor="text1"/>
          <w:sz w:val="20"/>
          <w:szCs w:val="20"/>
        </w:rPr>
        <w:t>.</w:t>
      </w:r>
      <w:r w:rsidRPr="001E6B89">
        <w:rPr>
          <w:color w:val="000000" w:themeColor="text1"/>
          <w:sz w:val="20"/>
          <w:szCs w:val="20"/>
        </w:rPr>
        <w:t xml:space="preserve"> h. 296.</w:t>
      </w:r>
    </w:p>
  </w:footnote>
  <w:footnote w:id="10">
    <w:p w14:paraId="095625C4" w14:textId="44D70D16" w:rsidR="00416CC1" w:rsidRPr="00340F4F" w:rsidRDefault="00416CC1" w:rsidP="009A3B69">
      <w:pPr>
        <w:pStyle w:val="FootnoteText"/>
        <w:ind w:firstLine="720"/>
        <w:jc w:val="both"/>
        <w:rPr>
          <w:color w:val="000000" w:themeColor="text1"/>
          <w:sz w:val="20"/>
          <w:szCs w:val="20"/>
        </w:rPr>
      </w:pPr>
      <w:r w:rsidRPr="003E4BB2">
        <w:rPr>
          <w:rStyle w:val="FootnoteReference"/>
          <w:color w:val="000000" w:themeColor="text1"/>
          <w:sz w:val="20"/>
          <w:szCs w:val="20"/>
        </w:rPr>
        <w:footnoteRef/>
      </w:r>
      <w:r w:rsidRPr="003E4BB2">
        <w:rPr>
          <w:color w:val="000000" w:themeColor="text1"/>
          <w:sz w:val="20"/>
          <w:szCs w:val="20"/>
        </w:rPr>
        <w:t xml:space="preserve"> Komari, dkk v. Walikota Samainda, dkk</w:t>
      </w:r>
      <w:r>
        <w:rPr>
          <w:color w:val="000000" w:themeColor="text1"/>
          <w:sz w:val="20"/>
          <w:szCs w:val="20"/>
        </w:rPr>
        <w:t>.</w:t>
      </w:r>
      <w:r w:rsidRPr="003E4BB2">
        <w:rPr>
          <w:color w:val="000000" w:themeColor="text1"/>
          <w:sz w:val="20"/>
          <w:szCs w:val="20"/>
        </w:rPr>
        <w:t xml:space="preserve"> </w:t>
      </w:r>
      <w:r>
        <w:rPr>
          <w:color w:val="000000" w:themeColor="text1"/>
          <w:sz w:val="20"/>
          <w:szCs w:val="20"/>
        </w:rPr>
        <w:t>Putusan</w:t>
      </w:r>
      <w:r w:rsidRPr="003E4BB2">
        <w:rPr>
          <w:color w:val="000000" w:themeColor="text1"/>
          <w:sz w:val="20"/>
          <w:szCs w:val="20"/>
        </w:rPr>
        <w:t xml:space="preserve"> No. 55/Pdt.G/2013/PN</w:t>
      </w:r>
      <w:r w:rsidRPr="00340F4F">
        <w:rPr>
          <w:color w:val="000000" w:themeColor="text1"/>
          <w:sz w:val="20"/>
          <w:szCs w:val="20"/>
        </w:rPr>
        <w:t>Smda</w:t>
      </w:r>
      <w:r>
        <w:rPr>
          <w:color w:val="000000" w:themeColor="text1"/>
          <w:sz w:val="20"/>
          <w:szCs w:val="20"/>
        </w:rPr>
        <w:t xml:space="preserve">. </w:t>
      </w:r>
      <w:r w:rsidRPr="00340F4F">
        <w:rPr>
          <w:color w:val="000000" w:themeColor="text1"/>
          <w:sz w:val="20"/>
          <w:szCs w:val="20"/>
        </w:rPr>
        <w:t>PN Samarinda 2014, sebagaimana dikutip dalam buku Andri G. Wibisana</w:t>
      </w:r>
      <w:r>
        <w:rPr>
          <w:color w:val="000000" w:themeColor="text1"/>
          <w:sz w:val="20"/>
          <w:szCs w:val="20"/>
        </w:rPr>
        <w:t>. (</w:t>
      </w:r>
      <w:r w:rsidRPr="00340F4F">
        <w:rPr>
          <w:color w:val="000000" w:themeColor="text1"/>
          <w:sz w:val="20"/>
          <w:szCs w:val="20"/>
        </w:rPr>
        <w:t>2017</w:t>
      </w:r>
      <w:r>
        <w:rPr>
          <w:color w:val="000000" w:themeColor="text1"/>
          <w:sz w:val="20"/>
          <w:szCs w:val="20"/>
        </w:rPr>
        <w:t>).</w:t>
      </w:r>
      <w:r w:rsidRPr="00340F4F">
        <w:rPr>
          <w:color w:val="000000" w:themeColor="text1"/>
          <w:sz w:val="20"/>
          <w:szCs w:val="20"/>
        </w:rPr>
        <w:t xml:space="preserve"> </w:t>
      </w:r>
      <w:r w:rsidRPr="00340F4F">
        <w:rPr>
          <w:i/>
          <w:color w:val="000000" w:themeColor="text1"/>
          <w:sz w:val="20"/>
          <w:szCs w:val="20"/>
        </w:rPr>
        <w:t>Penegakan Hukum Lingkukan melalui Pertanggungjawaban Perdata</w:t>
      </w:r>
      <w:r>
        <w:rPr>
          <w:color w:val="000000" w:themeColor="text1"/>
          <w:sz w:val="20"/>
          <w:szCs w:val="20"/>
        </w:rPr>
        <w:t xml:space="preserve">. </w:t>
      </w:r>
      <w:r w:rsidRPr="00340F4F">
        <w:rPr>
          <w:color w:val="000000" w:themeColor="text1"/>
          <w:sz w:val="20"/>
          <w:szCs w:val="20"/>
        </w:rPr>
        <w:t>Depok: BP-FHUI</w:t>
      </w:r>
      <w:r>
        <w:rPr>
          <w:color w:val="000000" w:themeColor="text1"/>
          <w:sz w:val="20"/>
          <w:szCs w:val="20"/>
        </w:rPr>
        <w:t>.</w:t>
      </w:r>
      <w:r w:rsidRPr="00340F4F">
        <w:rPr>
          <w:color w:val="000000" w:themeColor="text1"/>
          <w:sz w:val="20"/>
          <w:szCs w:val="20"/>
        </w:rPr>
        <w:t xml:space="preserve"> h. 21.</w:t>
      </w:r>
    </w:p>
  </w:footnote>
  <w:footnote w:id="11">
    <w:p w14:paraId="1F744812" w14:textId="71A8441E"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w:t>
      </w:r>
      <w:r w:rsidRPr="003E4BB2">
        <w:rPr>
          <w:color w:val="000000" w:themeColor="text1"/>
          <w:sz w:val="20"/>
          <w:szCs w:val="20"/>
        </w:rPr>
        <w:t>P</w:t>
      </w:r>
      <w:r>
        <w:rPr>
          <w:color w:val="000000" w:themeColor="text1"/>
          <w:sz w:val="20"/>
          <w:szCs w:val="20"/>
        </w:rPr>
        <w:t>asal</w:t>
      </w:r>
      <w:r w:rsidRPr="003E4BB2">
        <w:rPr>
          <w:color w:val="000000" w:themeColor="text1"/>
          <w:sz w:val="20"/>
          <w:szCs w:val="20"/>
        </w:rPr>
        <w:t xml:space="preserve"> 14 Ayat (1)</w:t>
      </w:r>
      <w:r>
        <w:rPr>
          <w:color w:val="000000" w:themeColor="text1"/>
          <w:sz w:val="20"/>
          <w:szCs w:val="20"/>
        </w:rPr>
        <w:t xml:space="preserve"> </w:t>
      </w:r>
      <w:r w:rsidRPr="00C83F6F">
        <w:rPr>
          <w:color w:val="000000" w:themeColor="text1"/>
          <w:sz w:val="20"/>
          <w:szCs w:val="20"/>
        </w:rPr>
        <w:t xml:space="preserve">Undang-undang </w:t>
      </w:r>
      <w:r w:rsidRPr="003E4BB2">
        <w:rPr>
          <w:color w:val="000000" w:themeColor="text1"/>
          <w:sz w:val="20"/>
          <w:szCs w:val="20"/>
        </w:rPr>
        <w:t>No. 19 Tahun 1970</w:t>
      </w:r>
      <w:r>
        <w:rPr>
          <w:color w:val="000000" w:themeColor="text1"/>
          <w:sz w:val="20"/>
          <w:szCs w:val="20"/>
        </w:rPr>
        <w:t xml:space="preserve"> </w:t>
      </w:r>
      <w:r w:rsidRPr="00C83F6F">
        <w:rPr>
          <w:color w:val="000000" w:themeColor="text1"/>
          <w:sz w:val="20"/>
          <w:szCs w:val="20"/>
        </w:rPr>
        <w:t>tentang Ketentuan-ketentuan Pokok Kekuasaan Kehakiman</w:t>
      </w:r>
      <w:r>
        <w:rPr>
          <w:color w:val="000000" w:themeColor="text1"/>
          <w:sz w:val="20"/>
          <w:szCs w:val="20"/>
        </w:rPr>
        <w:t>.</w:t>
      </w:r>
    </w:p>
  </w:footnote>
  <w:footnote w:id="12">
    <w:p w14:paraId="00A13665" w14:textId="42AB734D" w:rsidR="00416CC1" w:rsidRPr="00340F4F" w:rsidRDefault="00416CC1" w:rsidP="009A3B69">
      <w:pPr>
        <w:ind w:firstLine="720"/>
        <w:jc w:val="both"/>
        <w:rPr>
          <w:rFonts w:eastAsia="Times New Roman"/>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Lihat </w:t>
      </w:r>
      <w:r>
        <w:rPr>
          <w:color w:val="000000" w:themeColor="text1"/>
          <w:sz w:val="20"/>
          <w:szCs w:val="20"/>
        </w:rPr>
        <w:t xml:space="preserve">Pasal 27 Ayat (1) </w:t>
      </w:r>
      <w:r w:rsidRPr="00CE66CD">
        <w:rPr>
          <w:color w:val="000000" w:themeColor="text1"/>
          <w:sz w:val="20"/>
          <w:szCs w:val="20"/>
        </w:rPr>
        <w:t xml:space="preserve">Undang-undang </w:t>
      </w:r>
      <w:r w:rsidRPr="003E4BB2">
        <w:rPr>
          <w:color w:val="000000" w:themeColor="text1"/>
          <w:sz w:val="20"/>
          <w:szCs w:val="20"/>
        </w:rPr>
        <w:t>No. 19 Tahun 1970</w:t>
      </w:r>
      <w:r>
        <w:rPr>
          <w:color w:val="000000" w:themeColor="text1"/>
          <w:sz w:val="20"/>
          <w:szCs w:val="20"/>
        </w:rPr>
        <w:t xml:space="preserve"> </w:t>
      </w:r>
      <w:r w:rsidRPr="00CE66CD">
        <w:rPr>
          <w:color w:val="000000" w:themeColor="text1"/>
          <w:sz w:val="20"/>
          <w:szCs w:val="20"/>
        </w:rPr>
        <w:t>tentang Ketentuan-ketentuan Pokok Kekuasaan Kehakiman</w:t>
      </w:r>
      <w:r w:rsidRPr="00340F4F">
        <w:rPr>
          <w:color w:val="000000" w:themeColor="text1"/>
          <w:sz w:val="20"/>
          <w:szCs w:val="20"/>
        </w:rPr>
        <w:t>: “</w:t>
      </w:r>
      <w:r w:rsidRPr="00340F4F">
        <w:rPr>
          <w:rFonts w:eastAsia="Times New Roman"/>
          <w:color w:val="000000" w:themeColor="text1"/>
          <w:sz w:val="20"/>
          <w:szCs w:val="20"/>
        </w:rPr>
        <w:t>Hakim sebagai penegak hukum dan keadilan wajib menggali, mengikuti dan memahami nilai-nilai hukum yang hidup dalam masyarakat” dan penjelasan P</w:t>
      </w:r>
      <w:r>
        <w:rPr>
          <w:rFonts w:eastAsia="Times New Roman"/>
          <w:color w:val="000000" w:themeColor="text1"/>
          <w:sz w:val="20"/>
          <w:szCs w:val="20"/>
        </w:rPr>
        <w:t>asal</w:t>
      </w:r>
      <w:r w:rsidRPr="00340F4F">
        <w:rPr>
          <w:rFonts w:eastAsia="Times New Roman"/>
          <w:color w:val="000000" w:themeColor="text1"/>
          <w:sz w:val="20"/>
          <w:szCs w:val="20"/>
        </w:rPr>
        <w:t xml:space="preserve"> 14 Ayat (1): “Hakim sebagai organ pengadilan dianggap memahami hukum. Pencari keadilan datang padanya untuk mohon keadilan. Andai kata ia tidak menemukan hukum tertulis, ia wajib menggali hukum tidak tertulis untuk memutus berdasarkan hukum sebagai seorang yang bijaksana dan bertanggung-jawab penuh kepada Tuhan Yang Maha Esa, diri sendiri, masyarakat, Bangsa dan Negara.”</w:t>
      </w:r>
    </w:p>
  </w:footnote>
  <w:footnote w:id="13">
    <w:p w14:paraId="40C4EEC6" w14:textId="421E5AFC" w:rsidR="00416CC1" w:rsidRPr="00340F4F" w:rsidRDefault="00416CC1" w:rsidP="009A3B69">
      <w:pPr>
        <w:ind w:firstLine="720"/>
        <w:jc w:val="both"/>
        <w:rPr>
          <w:rFonts w:eastAsia="Times New Roman"/>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w:t>
      </w:r>
      <w:r w:rsidRPr="00340F4F">
        <w:rPr>
          <w:rFonts w:eastAsia="Times New Roman"/>
          <w:color w:val="000000" w:themeColor="text1"/>
          <w:sz w:val="20"/>
          <w:szCs w:val="20"/>
        </w:rPr>
        <w:t>H. Salim HS dan Erlies Septiana Nurbani</w:t>
      </w:r>
      <w:r>
        <w:rPr>
          <w:rFonts w:eastAsia="Times New Roman"/>
          <w:color w:val="000000" w:themeColor="text1"/>
          <w:sz w:val="20"/>
          <w:szCs w:val="20"/>
        </w:rPr>
        <w:t xml:space="preserve"> (</w:t>
      </w:r>
      <w:r w:rsidRPr="00340F4F">
        <w:rPr>
          <w:rFonts w:eastAsia="Times New Roman"/>
          <w:color w:val="000000" w:themeColor="text1"/>
          <w:sz w:val="20"/>
          <w:szCs w:val="20"/>
        </w:rPr>
        <w:t>2013</w:t>
      </w:r>
      <w:r>
        <w:rPr>
          <w:rFonts w:eastAsia="Times New Roman"/>
          <w:color w:val="000000" w:themeColor="text1"/>
          <w:sz w:val="20"/>
          <w:szCs w:val="20"/>
        </w:rPr>
        <w:t xml:space="preserve">). </w:t>
      </w:r>
      <w:r w:rsidRPr="00340F4F">
        <w:rPr>
          <w:rFonts w:eastAsia="Times New Roman"/>
          <w:i/>
          <w:color w:val="000000" w:themeColor="text1"/>
          <w:sz w:val="20"/>
          <w:szCs w:val="20"/>
        </w:rPr>
        <w:t>Penerapan Teori Hukum Pada Penelitian Tesis dan Disertasi</w:t>
      </w:r>
      <w:r>
        <w:rPr>
          <w:rFonts w:eastAsia="Times New Roman"/>
          <w:color w:val="000000" w:themeColor="text1"/>
          <w:sz w:val="20"/>
          <w:szCs w:val="20"/>
        </w:rPr>
        <w:t>.</w:t>
      </w:r>
      <w:r w:rsidRPr="00340F4F">
        <w:rPr>
          <w:rFonts w:eastAsia="Times New Roman"/>
          <w:color w:val="000000" w:themeColor="text1"/>
          <w:sz w:val="20"/>
          <w:szCs w:val="20"/>
        </w:rPr>
        <w:t xml:space="preserve"> Jakarta: Raja Grafindo Persada</w:t>
      </w:r>
      <w:r>
        <w:rPr>
          <w:rFonts w:eastAsia="Times New Roman"/>
          <w:color w:val="000000" w:themeColor="text1"/>
          <w:sz w:val="20"/>
          <w:szCs w:val="20"/>
        </w:rPr>
        <w:t>.</w:t>
      </w:r>
      <w:r w:rsidRPr="00340F4F">
        <w:rPr>
          <w:rFonts w:eastAsia="Times New Roman"/>
          <w:color w:val="000000" w:themeColor="text1"/>
          <w:sz w:val="20"/>
          <w:szCs w:val="20"/>
        </w:rPr>
        <w:t xml:space="preserve"> h. 9.</w:t>
      </w:r>
    </w:p>
  </w:footnote>
  <w:footnote w:id="14">
    <w:p w14:paraId="07A5718D" w14:textId="16866F15"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Soerjono Soekanto dan Sri Mamudji</w:t>
      </w:r>
      <w:r>
        <w:rPr>
          <w:color w:val="000000" w:themeColor="text1"/>
          <w:sz w:val="20"/>
          <w:szCs w:val="20"/>
        </w:rPr>
        <w:t>. (</w:t>
      </w:r>
      <w:r w:rsidRPr="00340F4F">
        <w:rPr>
          <w:color w:val="000000" w:themeColor="text1"/>
          <w:sz w:val="20"/>
          <w:szCs w:val="20"/>
        </w:rPr>
        <w:t>1985</w:t>
      </w:r>
      <w:r>
        <w:rPr>
          <w:color w:val="000000" w:themeColor="text1"/>
          <w:sz w:val="20"/>
          <w:szCs w:val="20"/>
        </w:rPr>
        <w:t>).</w:t>
      </w:r>
      <w:r w:rsidRPr="00340F4F">
        <w:rPr>
          <w:color w:val="000000" w:themeColor="text1"/>
          <w:sz w:val="20"/>
          <w:szCs w:val="20"/>
        </w:rPr>
        <w:t xml:space="preserve"> </w:t>
      </w:r>
      <w:r w:rsidRPr="00340F4F">
        <w:rPr>
          <w:i/>
          <w:iCs/>
          <w:color w:val="000000" w:themeColor="text1"/>
          <w:sz w:val="20"/>
          <w:szCs w:val="20"/>
        </w:rPr>
        <w:t>Penelitian Hukum Normatif suatu Tinjauan Singkat</w:t>
      </w:r>
      <w:r>
        <w:rPr>
          <w:color w:val="000000" w:themeColor="text1"/>
          <w:sz w:val="20"/>
          <w:szCs w:val="20"/>
        </w:rPr>
        <w:t xml:space="preserve">. </w:t>
      </w:r>
      <w:r w:rsidRPr="00340F4F">
        <w:rPr>
          <w:color w:val="000000" w:themeColor="text1"/>
          <w:sz w:val="20"/>
          <w:szCs w:val="20"/>
        </w:rPr>
        <w:t>Jakarta: Rajawali</w:t>
      </w:r>
      <w:r>
        <w:rPr>
          <w:color w:val="000000" w:themeColor="text1"/>
          <w:sz w:val="20"/>
          <w:szCs w:val="20"/>
        </w:rPr>
        <w:t>.</w:t>
      </w:r>
      <w:r w:rsidRPr="00340F4F">
        <w:rPr>
          <w:color w:val="000000" w:themeColor="text1"/>
          <w:sz w:val="20"/>
          <w:szCs w:val="20"/>
        </w:rPr>
        <w:t xml:space="preserve"> h. 51.</w:t>
      </w:r>
    </w:p>
  </w:footnote>
  <w:footnote w:id="15">
    <w:p w14:paraId="58D107F4" w14:textId="68751D54"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Wibisana, </w:t>
      </w:r>
      <w:r w:rsidRPr="00340F4F">
        <w:rPr>
          <w:i/>
          <w:color w:val="000000" w:themeColor="text1"/>
          <w:sz w:val="20"/>
          <w:szCs w:val="20"/>
        </w:rPr>
        <w:t>Penegakan</w:t>
      </w:r>
      <w:r w:rsidRPr="00340F4F">
        <w:rPr>
          <w:color w:val="000000" w:themeColor="text1"/>
          <w:sz w:val="20"/>
          <w:szCs w:val="20"/>
        </w:rPr>
        <w:t>…, hlm. 21.</w:t>
      </w:r>
    </w:p>
  </w:footnote>
  <w:footnote w:id="16">
    <w:p w14:paraId="5C7086BD" w14:textId="00AD5A9F" w:rsidR="00416CC1" w:rsidRPr="006D5B74" w:rsidRDefault="00416CC1" w:rsidP="00340F4F">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I Putu Rsmandi Arsha Putra, I Ketut Tjukup, dan Nyoman A. Martana</w:t>
      </w:r>
      <w:r>
        <w:rPr>
          <w:color w:val="000000" w:themeColor="text1"/>
          <w:sz w:val="20"/>
          <w:szCs w:val="20"/>
        </w:rPr>
        <w:t xml:space="preserve">. </w:t>
      </w:r>
      <w:r w:rsidRPr="00340F4F">
        <w:rPr>
          <w:i/>
          <w:color w:val="000000" w:themeColor="text1"/>
          <w:sz w:val="20"/>
          <w:szCs w:val="20"/>
        </w:rPr>
        <w:t>Tuntutan Hak Dalam Penegakan Hak Lingkungan (Environmental Right)</w:t>
      </w:r>
      <w:r>
        <w:rPr>
          <w:color w:val="000000" w:themeColor="text1"/>
          <w:sz w:val="20"/>
          <w:szCs w:val="20"/>
        </w:rPr>
        <w:t>.</w:t>
      </w:r>
      <w:r w:rsidRPr="00340F4F">
        <w:rPr>
          <w:i/>
          <w:color w:val="000000" w:themeColor="text1"/>
          <w:sz w:val="20"/>
          <w:szCs w:val="20"/>
        </w:rPr>
        <w:t xml:space="preserve"> </w:t>
      </w:r>
      <w:r w:rsidRPr="00C83F6F">
        <w:rPr>
          <w:color w:val="000000" w:themeColor="text1"/>
          <w:sz w:val="20"/>
          <w:szCs w:val="20"/>
        </w:rPr>
        <w:t>Jurnal Hukum Acara Perdata Adhaper Vol</w:t>
      </w:r>
      <w:r>
        <w:rPr>
          <w:color w:val="000000" w:themeColor="text1"/>
          <w:sz w:val="20"/>
          <w:szCs w:val="20"/>
        </w:rPr>
        <w:t xml:space="preserve">ume </w:t>
      </w:r>
      <w:r w:rsidRPr="00C83F6F">
        <w:rPr>
          <w:color w:val="000000" w:themeColor="text1"/>
          <w:sz w:val="20"/>
          <w:szCs w:val="20"/>
        </w:rPr>
        <w:t>2</w:t>
      </w:r>
      <w:r>
        <w:rPr>
          <w:color w:val="000000" w:themeColor="text1"/>
          <w:sz w:val="20"/>
          <w:szCs w:val="20"/>
        </w:rPr>
        <w:t xml:space="preserve"> </w:t>
      </w:r>
      <w:r w:rsidRPr="00C83F6F">
        <w:rPr>
          <w:color w:val="000000" w:themeColor="text1"/>
          <w:sz w:val="20"/>
          <w:szCs w:val="20"/>
        </w:rPr>
        <w:t>No</w:t>
      </w:r>
      <w:r>
        <w:rPr>
          <w:color w:val="000000" w:themeColor="text1"/>
          <w:sz w:val="20"/>
          <w:szCs w:val="20"/>
        </w:rPr>
        <w:t>mor</w:t>
      </w:r>
      <w:r w:rsidRPr="00C83F6F">
        <w:rPr>
          <w:color w:val="000000" w:themeColor="text1"/>
          <w:sz w:val="20"/>
          <w:szCs w:val="20"/>
        </w:rPr>
        <w:t xml:space="preserve"> 1</w:t>
      </w:r>
      <w:r>
        <w:rPr>
          <w:color w:val="000000" w:themeColor="text1"/>
          <w:sz w:val="20"/>
          <w:szCs w:val="20"/>
        </w:rPr>
        <w:t xml:space="preserve"> </w:t>
      </w:r>
      <w:r w:rsidRPr="006D5B74">
        <w:rPr>
          <w:color w:val="000000" w:themeColor="text1"/>
          <w:sz w:val="20"/>
          <w:szCs w:val="20"/>
        </w:rPr>
        <w:t>Januari-Juni</w:t>
      </w:r>
      <w:r>
        <w:rPr>
          <w:color w:val="000000" w:themeColor="text1"/>
          <w:sz w:val="20"/>
          <w:szCs w:val="20"/>
        </w:rPr>
        <w:t xml:space="preserve"> 2016.</w:t>
      </w:r>
      <w:r w:rsidRPr="006D5B74">
        <w:rPr>
          <w:color w:val="000000" w:themeColor="text1"/>
          <w:sz w:val="20"/>
          <w:szCs w:val="20"/>
        </w:rPr>
        <w:t xml:space="preserve"> h. 108-109.</w:t>
      </w:r>
    </w:p>
  </w:footnote>
  <w:footnote w:id="17">
    <w:p w14:paraId="542FCC55" w14:textId="157A4920" w:rsidR="00566BC2" w:rsidRDefault="00416CC1" w:rsidP="009A3B69">
      <w:pPr>
        <w:widowControl w:val="0"/>
        <w:autoSpaceDE w:val="0"/>
        <w:autoSpaceDN w:val="0"/>
        <w:adjustRightInd w:val="0"/>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Hal ini dikemukakan oleh Syahrul Mahmud dalam bukunya Penegakan Hukum Lingkungan Indonesia sebagaimana dikutip dalam jurnal Muzzakir Abubakar</w:t>
      </w:r>
      <w:r>
        <w:rPr>
          <w:color w:val="000000" w:themeColor="text1"/>
          <w:sz w:val="20"/>
          <w:szCs w:val="20"/>
        </w:rPr>
        <w:t>.</w:t>
      </w:r>
      <w:r w:rsidRPr="00340F4F">
        <w:rPr>
          <w:color w:val="000000" w:themeColor="text1"/>
          <w:sz w:val="20"/>
          <w:szCs w:val="20"/>
        </w:rPr>
        <w:t xml:space="preserve"> </w:t>
      </w:r>
      <w:r w:rsidRPr="00CE66CD">
        <w:rPr>
          <w:i/>
          <w:color w:val="000000" w:themeColor="text1"/>
          <w:sz w:val="20"/>
          <w:szCs w:val="20"/>
        </w:rPr>
        <w:t>Hak Mengajukan Gugatan dalam Sengketa Lingkungan Hidup</w:t>
      </w:r>
      <w:r w:rsidRPr="00340F4F">
        <w:rPr>
          <w:color w:val="000000" w:themeColor="text1"/>
          <w:sz w:val="20"/>
          <w:szCs w:val="20"/>
        </w:rPr>
        <w:t xml:space="preserve">, </w:t>
      </w:r>
      <w:r w:rsidRPr="00CE66CD">
        <w:rPr>
          <w:color w:val="000000" w:themeColor="text1"/>
          <w:sz w:val="20"/>
          <w:szCs w:val="20"/>
        </w:rPr>
        <w:t>Kanun Jurnal Ilmu Hukum, Vol</w:t>
      </w:r>
      <w:r>
        <w:rPr>
          <w:color w:val="000000" w:themeColor="text1"/>
          <w:sz w:val="20"/>
          <w:szCs w:val="20"/>
        </w:rPr>
        <w:t>ume</w:t>
      </w:r>
      <w:r w:rsidRPr="00CE66CD">
        <w:rPr>
          <w:color w:val="000000" w:themeColor="text1"/>
          <w:sz w:val="20"/>
          <w:szCs w:val="20"/>
        </w:rPr>
        <w:t xml:space="preserve"> 1 No</w:t>
      </w:r>
      <w:r>
        <w:rPr>
          <w:color w:val="000000" w:themeColor="text1"/>
          <w:sz w:val="20"/>
          <w:szCs w:val="20"/>
        </w:rPr>
        <w:t>mor</w:t>
      </w:r>
      <w:r w:rsidRPr="00CE66CD">
        <w:rPr>
          <w:color w:val="000000" w:themeColor="text1"/>
          <w:sz w:val="20"/>
          <w:szCs w:val="20"/>
        </w:rPr>
        <w:t xml:space="preserve"> 1</w:t>
      </w:r>
      <w:r>
        <w:rPr>
          <w:color w:val="000000" w:themeColor="text1"/>
          <w:sz w:val="20"/>
          <w:szCs w:val="20"/>
        </w:rPr>
        <w:t xml:space="preserve"> </w:t>
      </w:r>
      <w:r w:rsidRPr="002E3054">
        <w:rPr>
          <w:color w:val="000000" w:themeColor="text1"/>
          <w:sz w:val="20"/>
          <w:szCs w:val="20"/>
        </w:rPr>
        <w:t>April 2019</w:t>
      </w:r>
      <w:r>
        <w:rPr>
          <w:color w:val="000000" w:themeColor="text1"/>
          <w:sz w:val="20"/>
          <w:szCs w:val="20"/>
        </w:rPr>
        <w:t>. h.</w:t>
      </w:r>
    </w:p>
    <w:p w14:paraId="26133898" w14:textId="70AF6CF1" w:rsidR="00416CC1" w:rsidRPr="00340F4F" w:rsidRDefault="00416CC1" w:rsidP="009A3B69">
      <w:pPr>
        <w:widowControl w:val="0"/>
        <w:autoSpaceDE w:val="0"/>
        <w:autoSpaceDN w:val="0"/>
        <w:adjustRightInd w:val="0"/>
        <w:ind w:firstLine="720"/>
        <w:jc w:val="both"/>
        <w:rPr>
          <w:color w:val="000000" w:themeColor="text1"/>
          <w:sz w:val="20"/>
          <w:szCs w:val="20"/>
        </w:rPr>
      </w:pPr>
      <w:r w:rsidRPr="00340F4F">
        <w:rPr>
          <w:color w:val="000000" w:themeColor="text1"/>
          <w:sz w:val="20"/>
          <w:szCs w:val="20"/>
        </w:rPr>
        <w:t xml:space="preserve"> 105.</w:t>
      </w:r>
    </w:p>
  </w:footnote>
  <w:footnote w:id="18">
    <w:p w14:paraId="6994C716" w14:textId="6F3563DB"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Moh. Ibnu Fajar</w:t>
      </w:r>
      <w:r>
        <w:rPr>
          <w:color w:val="000000" w:themeColor="text1"/>
          <w:sz w:val="20"/>
          <w:szCs w:val="20"/>
        </w:rPr>
        <w:t>.</w:t>
      </w:r>
      <w:r w:rsidRPr="00340F4F">
        <w:rPr>
          <w:color w:val="000000" w:themeColor="text1"/>
          <w:sz w:val="20"/>
          <w:szCs w:val="20"/>
        </w:rPr>
        <w:t xml:space="preserve"> </w:t>
      </w:r>
      <w:r w:rsidRPr="00C83F6F">
        <w:rPr>
          <w:i/>
          <w:color w:val="000000" w:themeColor="text1"/>
          <w:sz w:val="20"/>
          <w:szCs w:val="20"/>
        </w:rPr>
        <w:t xml:space="preserve">Penguatan Gugatan </w:t>
      </w:r>
      <w:r w:rsidRPr="00D2696B">
        <w:rPr>
          <w:i/>
          <w:color w:val="000000" w:themeColor="text1"/>
          <w:sz w:val="20"/>
          <w:szCs w:val="20"/>
        </w:rPr>
        <w:t>Citizen Lawsuit</w:t>
      </w:r>
      <w:r w:rsidRPr="00C83F6F">
        <w:rPr>
          <w:i/>
          <w:color w:val="000000" w:themeColor="text1"/>
          <w:sz w:val="20"/>
          <w:szCs w:val="20"/>
        </w:rPr>
        <w:t xml:space="preserve"> / </w:t>
      </w:r>
      <w:r w:rsidRPr="00D2696B">
        <w:rPr>
          <w:i/>
          <w:color w:val="000000" w:themeColor="text1"/>
          <w:sz w:val="20"/>
          <w:szCs w:val="20"/>
        </w:rPr>
        <w:t>Actio Popularis</w:t>
      </w:r>
      <w:r w:rsidRPr="00C83F6F">
        <w:rPr>
          <w:i/>
          <w:color w:val="000000" w:themeColor="text1"/>
          <w:sz w:val="20"/>
          <w:szCs w:val="20"/>
        </w:rPr>
        <w:t xml:space="preserve"> sebagai Upaya Perlindungan Hak Konstitusional Akibat Kelalaian yang Dilakukan Oleh Penyelenggara Negara</w:t>
      </w:r>
      <w:r>
        <w:rPr>
          <w:color w:val="000000" w:themeColor="text1"/>
          <w:sz w:val="20"/>
          <w:szCs w:val="20"/>
        </w:rPr>
        <w:t>.</w:t>
      </w:r>
      <w:r w:rsidRPr="00340F4F">
        <w:rPr>
          <w:color w:val="000000" w:themeColor="text1"/>
          <w:sz w:val="20"/>
          <w:szCs w:val="20"/>
        </w:rPr>
        <w:t xml:space="preserve"> Tesis Program Studi Magister Ilmu Hukum Fakultas Hukum Unviversitas Brawijaya 2017</w:t>
      </w:r>
      <w:r>
        <w:rPr>
          <w:color w:val="000000" w:themeColor="text1"/>
          <w:sz w:val="20"/>
          <w:szCs w:val="20"/>
        </w:rPr>
        <w:t>.</w:t>
      </w:r>
      <w:r w:rsidRPr="00340F4F">
        <w:rPr>
          <w:color w:val="000000" w:themeColor="text1"/>
          <w:sz w:val="20"/>
          <w:szCs w:val="20"/>
        </w:rPr>
        <w:t xml:space="preserve"> h. 8.</w:t>
      </w:r>
    </w:p>
  </w:footnote>
  <w:footnote w:id="19">
    <w:p w14:paraId="4DAA359D" w14:textId="19076E16"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Fatah, </w:t>
      </w:r>
      <w:r w:rsidRPr="00340F4F">
        <w:rPr>
          <w:i/>
          <w:color w:val="000000" w:themeColor="text1"/>
          <w:sz w:val="20"/>
          <w:szCs w:val="20"/>
        </w:rPr>
        <w:t>Gugatan</w:t>
      </w:r>
      <w:r w:rsidRPr="00340F4F">
        <w:rPr>
          <w:color w:val="000000" w:themeColor="text1"/>
          <w:sz w:val="20"/>
          <w:szCs w:val="20"/>
        </w:rPr>
        <w:t>…, hlm. 297.</w:t>
      </w:r>
    </w:p>
  </w:footnote>
  <w:footnote w:id="20">
    <w:p w14:paraId="3E272529" w14:textId="23EF03CF"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w:t>
      </w:r>
      <w:r w:rsidRPr="00340F4F">
        <w:rPr>
          <w:i/>
          <w:color w:val="000000" w:themeColor="text1"/>
          <w:sz w:val="20"/>
          <w:szCs w:val="20"/>
        </w:rPr>
        <w:t>Ibid</w:t>
      </w:r>
      <w:r w:rsidRPr="00340F4F">
        <w:rPr>
          <w:color w:val="000000" w:themeColor="text1"/>
          <w:sz w:val="20"/>
          <w:szCs w:val="20"/>
        </w:rPr>
        <w:t>., hlm. 298.</w:t>
      </w:r>
    </w:p>
  </w:footnote>
  <w:footnote w:id="21">
    <w:p w14:paraId="4A54164C" w14:textId="77777777" w:rsidR="00416CC1" w:rsidRPr="00340F4F" w:rsidRDefault="00416CC1" w:rsidP="009A3B69">
      <w:pPr>
        <w:pStyle w:val="FootnoteText"/>
        <w:ind w:firstLine="720"/>
        <w:jc w:val="both"/>
        <w:rPr>
          <w:i/>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Wibisana, </w:t>
      </w:r>
      <w:r w:rsidRPr="00340F4F">
        <w:rPr>
          <w:i/>
          <w:color w:val="000000" w:themeColor="text1"/>
          <w:sz w:val="20"/>
          <w:szCs w:val="20"/>
        </w:rPr>
        <w:t>Penegakan</w:t>
      </w:r>
      <w:r w:rsidRPr="00340F4F">
        <w:rPr>
          <w:color w:val="000000" w:themeColor="text1"/>
          <w:sz w:val="20"/>
          <w:szCs w:val="20"/>
        </w:rPr>
        <w:t>…, hlm. 22.</w:t>
      </w:r>
    </w:p>
  </w:footnote>
  <w:footnote w:id="22">
    <w:p w14:paraId="4BDEA223" w14:textId="5491A149"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Fatah, </w:t>
      </w:r>
      <w:r w:rsidRPr="00340F4F">
        <w:rPr>
          <w:i/>
          <w:color w:val="000000" w:themeColor="text1"/>
          <w:sz w:val="20"/>
          <w:szCs w:val="20"/>
        </w:rPr>
        <w:t>Gugatan</w:t>
      </w:r>
      <w:r w:rsidRPr="00340F4F">
        <w:rPr>
          <w:color w:val="000000" w:themeColor="text1"/>
          <w:sz w:val="20"/>
          <w:szCs w:val="20"/>
        </w:rPr>
        <w:t>…, hlm. 299.</w:t>
      </w:r>
    </w:p>
  </w:footnote>
  <w:footnote w:id="23">
    <w:p w14:paraId="4A7F9EF4" w14:textId="76CEF1D7"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Muhammad Adiguna Bimasakti</w:t>
      </w:r>
      <w:r>
        <w:rPr>
          <w:sz w:val="20"/>
          <w:szCs w:val="20"/>
        </w:rPr>
        <w:t>. (</w:t>
      </w:r>
      <w:r w:rsidRPr="00340F4F">
        <w:rPr>
          <w:sz w:val="20"/>
          <w:szCs w:val="20"/>
        </w:rPr>
        <w:t>2019</w:t>
      </w:r>
      <w:r>
        <w:rPr>
          <w:sz w:val="20"/>
          <w:szCs w:val="20"/>
        </w:rPr>
        <w:t>).</w:t>
      </w:r>
      <w:r w:rsidRPr="00340F4F">
        <w:rPr>
          <w:sz w:val="20"/>
          <w:szCs w:val="20"/>
        </w:rPr>
        <w:t xml:space="preserve"> </w:t>
      </w:r>
      <w:r w:rsidRPr="00340F4F">
        <w:rPr>
          <w:i/>
          <w:sz w:val="20"/>
          <w:szCs w:val="20"/>
        </w:rPr>
        <w:t>Hukum Acara dan Wacana Citizen Lawsuit di Indonesia Pasca Undang-undang Administrasi Pemerintahan</w:t>
      </w:r>
      <w:r>
        <w:rPr>
          <w:sz w:val="20"/>
          <w:szCs w:val="20"/>
        </w:rPr>
        <w:t>.</w:t>
      </w:r>
      <w:r w:rsidRPr="00340F4F">
        <w:rPr>
          <w:sz w:val="20"/>
          <w:szCs w:val="20"/>
        </w:rPr>
        <w:t>Yogyakarta: Deepublish</w:t>
      </w:r>
      <w:r>
        <w:rPr>
          <w:sz w:val="20"/>
          <w:szCs w:val="20"/>
        </w:rPr>
        <w:t>.</w:t>
      </w:r>
      <w:r w:rsidRPr="00340F4F">
        <w:rPr>
          <w:sz w:val="20"/>
          <w:szCs w:val="20"/>
        </w:rPr>
        <w:t xml:space="preserve"> h. 42.</w:t>
      </w:r>
    </w:p>
  </w:footnote>
  <w:footnote w:id="24">
    <w:p w14:paraId="1F01DE0C" w14:textId="2471BA00" w:rsidR="00416CC1" w:rsidRPr="00340F4F" w:rsidRDefault="00416CC1" w:rsidP="009A3B69">
      <w:pPr>
        <w:pStyle w:val="FootnoteText"/>
        <w:ind w:firstLine="720"/>
        <w:jc w:val="both"/>
        <w:rPr>
          <w:i/>
          <w:sz w:val="20"/>
          <w:szCs w:val="20"/>
        </w:rPr>
      </w:pPr>
      <w:r w:rsidRPr="00340F4F">
        <w:rPr>
          <w:rStyle w:val="FootnoteReference"/>
          <w:sz w:val="20"/>
          <w:szCs w:val="20"/>
        </w:rPr>
        <w:footnoteRef/>
      </w:r>
      <w:r w:rsidRPr="00340F4F">
        <w:rPr>
          <w:sz w:val="20"/>
          <w:szCs w:val="20"/>
        </w:rPr>
        <w:t xml:space="preserve"> </w:t>
      </w:r>
      <w:r w:rsidRPr="00340F4F">
        <w:rPr>
          <w:i/>
          <w:sz w:val="20"/>
          <w:szCs w:val="20"/>
        </w:rPr>
        <w:t xml:space="preserve">Ibid., </w:t>
      </w:r>
      <w:r w:rsidRPr="00340F4F">
        <w:rPr>
          <w:sz w:val="20"/>
          <w:szCs w:val="20"/>
        </w:rPr>
        <w:t>hlm. 15.</w:t>
      </w:r>
    </w:p>
  </w:footnote>
  <w:footnote w:id="25">
    <w:p w14:paraId="44ACADD9" w14:textId="333F765E" w:rsidR="00416CC1" w:rsidRPr="008F49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Faradina Naviah</w:t>
      </w:r>
      <w:r>
        <w:rPr>
          <w:color w:val="000000" w:themeColor="text1"/>
          <w:sz w:val="20"/>
          <w:szCs w:val="20"/>
        </w:rPr>
        <w:t xml:space="preserve">. </w:t>
      </w:r>
      <w:r w:rsidRPr="00C83F6F">
        <w:rPr>
          <w:i/>
          <w:color w:val="000000" w:themeColor="text1"/>
          <w:sz w:val="20"/>
          <w:szCs w:val="20"/>
        </w:rPr>
        <w:t>Penerapan Mekanisme Gugatan Citizen Lawsuit dalam Hukum Acara Perdata di Indonesia</w:t>
      </w:r>
      <w:r>
        <w:rPr>
          <w:color w:val="000000" w:themeColor="text1"/>
          <w:sz w:val="20"/>
          <w:szCs w:val="20"/>
        </w:rPr>
        <w:t>.</w:t>
      </w:r>
      <w:r w:rsidRPr="00340F4F">
        <w:rPr>
          <w:color w:val="000000" w:themeColor="text1"/>
          <w:sz w:val="20"/>
          <w:szCs w:val="20"/>
        </w:rPr>
        <w:t xml:space="preserve"> </w:t>
      </w:r>
      <w:r w:rsidRPr="00C83F6F">
        <w:rPr>
          <w:color w:val="000000" w:themeColor="text1"/>
          <w:sz w:val="20"/>
          <w:szCs w:val="20"/>
        </w:rPr>
        <w:t>Jurnal Verstek Vol</w:t>
      </w:r>
      <w:r>
        <w:rPr>
          <w:color w:val="000000" w:themeColor="text1"/>
          <w:sz w:val="20"/>
          <w:szCs w:val="20"/>
        </w:rPr>
        <w:t>ume</w:t>
      </w:r>
      <w:r w:rsidRPr="00C83F6F">
        <w:rPr>
          <w:color w:val="000000" w:themeColor="text1"/>
          <w:sz w:val="20"/>
          <w:szCs w:val="20"/>
        </w:rPr>
        <w:t xml:space="preserve"> 1 No</w:t>
      </w:r>
      <w:r>
        <w:rPr>
          <w:color w:val="000000" w:themeColor="text1"/>
          <w:sz w:val="20"/>
          <w:szCs w:val="20"/>
        </w:rPr>
        <w:t>mor</w:t>
      </w:r>
      <w:r w:rsidRPr="00C83F6F">
        <w:rPr>
          <w:color w:val="000000" w:themeColor="text1"/>
          <w:sz w:val="20"/>
          <w:szCs w:val="20"/>
        </w:rPr>
        <w:t xml:space="preserve"> 3</w:t>
      </w:r>
      <w:r>
        <w:rPr>
          <w:color w:val="000000" w:themeColor="text1"/>
          <w:sz w:val="20"/>
          <w:szCs w:val="20"/>
        </w:rPr>
        <w:t xml:space="preserve"> </w:t>
      </w:r>
      <w:r w:rsidRPr="008F494F">
        <w:rPr>
          <w:color w:val="000000" w:themeColor="text1"/>
          <w:sz w:val="20"/>
          <w:szCs w:val="20"/>
        </w:rPr>
        <w:t>2013</w:t>
      </w:r>
      <w:r>
        <w:rPr>
          <w:color w:val="000000" w:themeColor="text1"/>
          <w:sz w:val="20"/>
          <w:szCs w:val="20"/>
        </w:rPr>
        <w:t>.</w:t>
      </w:r>
      <w:r w:rsidRPr="008F494F">
        <w:rPr>
          <w:color w:val="000000" w:themeColor="text1"/>
          <w:sz w:val="20"/>
          <w:szCs w:val="20"/>
        </w:rPr>
        <w:t xml:space="preserve"> h. 4.</w:t>
      </w:r>
    </w:p>
  </w:footnote>
  <w:footnote w:id="26">
    <w:p w14:paraId="16C48FAF" w14:textId="569FCD19"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Mas Achmad Santosa</w:t>
      </w:r>
      <w:r>
        <w:rPr>
          <w:sz w:val="20"/>
          <w:szCs w:val="20"/>
        </w:rPr>
        <w:t>. (</w:t>
      </w:r>
      <w:r w:rsidRPr="00340F4F">
        <w:rPr>
          <w:sz w:val="20"/>
          <w:szCs w:val="20"/>
        </w:rPr>
        <w:t>2016</w:t>
      </w:r>
      <w:r>
        <w:rPr>
          <w:sz w:val="20"/>
          <w:szCs w:val="20"/>
        </w:rPr>
        <w:t>).</w:t>
      </w:r>
      <w:r w:rsidRPr="00340F4F">
        <w:rPr>
          <w:sz w:val="20"/>
          <w:szCs w:val="20"/>
        </w:rPr>
        <w:t xml:space="preserve"> </w:t>
      </w:r>
      <w:r w:rsidRPr="00C83F6F">
        <w:rPr>
          <w:sz w:val="20"/>
          <w:szCs w:val="20"/>
        </w:rPr>
        <w:t>Alam pun butuh Hukum dan Keadilan</w:t>
      </w:r>
      <w:r>
        <w:rPr>
          <w:sz w:val="20"/>
          <w:szCs w:val="20"/>
        </w:rPr>
        <w:t xml:space="preserve">. </w:t>
      </w:r>
      <w:r w:rsidRPr="00340F4F">
        <w:rPr>
          <w:sz w:val="20"/>
          <w:szCs w:val="20"/>
        </w:rPr>
        <w:t>Jakarta: as@-prima pustaka</w:t>
      </w:r>
      <w:r>
        <w:rPr>
          <w:sz w:val="20"/>
          <w:szCs w:val="20"/>
        </w:rPr>
        <w:t xml:space="preserve">. </w:t>
      </w:r>
      <w:r w:rsidRPr="00340F4F">
        <w:rPr>
          <w:sz w:val="20"/>
          <w:szCs w:val="20"/>
        </w:rPr>
        <w:t>h. 175</w:t>
      </w:r>
    </w:p>
  </w:footnote>
  <w:footnote w:id="27">
    <w:p w14:paraId="7A4B3A08" w14:textId="3C33A5B1"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Fatah, </w:t>
      </w:r>
      <w:r w:rsidRPr="00340F4F">
        <w:rPr>
          <w:i/>
          <w:color w:val="000000" w:themeColor="text1"/>
          <w:sz w:val="20"/>
          <w:szCs w:val="20"/>
        </w:rPr>
        <w:t>Gugatan</w:t>
      </w:r>
      <w:r w:rsidRPr="00340F4F">
        <w:rPr>
          <w:color w:val="000000" w:themeColor="text1"/>
          <w:sz w:val="20"/>
          <w:szCs w:val="20"/>
        </w:rPr>
        <w:t>…, hlm. 300.</w:t>
      </w:r>
    </w:p>
  </w:footnote>
  <w:footnote w:id="28">
    <w:p w14:paraId="332AE035" w14:textId="1B3302BA" w:rsidR="00416CC1" w:rsidRPr="00340F4F" w:rsidRDefault="00416CC1" w:rsidP="009A3B69">
      <w:pPr>
        <w:pStyle w:val="FootnoteText"/>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Fajar, </w:t>
      </w:r>
      <w:r w:rsidRPr="00340F4F">
        <w:rPr>
          <w:i/>
          <w:color w:val="000000" w:themeColor="text1"/>
          <w:sz w:val="20"/>
          <w:szCs w:val="20"/>
        </w:rPr>
        <w:t>Penguatan</w:t>
      </w:r>
      <w:r w:rsidRPr="00340F4F">
        <w:rPr>
          <w:color w:val="000000" w:themeColor="text1"/>
          <w:sz w:val="20"/>
          <w:szCs w:val="20"/>
        </w:rPr>
        <w:t>…, hlm. 10-11.</w:t>
      </w:r>
    </w:p>
  </w:footnote>
  <w:footnote w:id="29">
    <w:p w14:paraId="6454703E" w14:textId="4B8C1B36" w:rsidR="00416CC1" w:rsidRPr="00340F4F" w:rsidRDefault="00416CC1" w:rsidP="009A3B69">
      <w:pPr>
        <w:ind w:firstLine="720"/>
        <w:jc w:val="both"/>
        <w:rPr>
          <w:rFonts w:eastAsia="Times New Roman"/>
          <w:sz w:val="20"/>
          <w:szCs w:val="20"/>
        </w:rPr>
      </w:pPr>
      <w:r w:rsidRPr="00340F4F">
        <w:rPr>
          <w:rStyle w:val="FootnoteReference"/>
          <w:sz w:val="20"/>
          <w:szCs w:val="20"/>
        </w:rPr>
        <w:footnoteRef/>
      </w:r>
      <w:r w:rsidRPr="00340F4F">
        <w:rPr>
          <w:sz w:val="20"/>
          <w:szCs w:val="20"/>
        </w:rPr>
        <w:t xml:space="preserve"> Walhi, “</w:t>
      </w:r>
      <w:r w:rsidRPr="00340F4F">
        <w:rPr>
          <w:rFonts w:eastAsia="Times New Roman"/>
          <w:bCs/>
          <w:color w:val="1F1F1F"/>
          <w:sz w:val="20"/>
          <w:szCs w:val="20"/>
          <w:shd w:val="clear" w:color="auto" w:fill="FFFFFF"/>
        </w:rPr>
        <w:t xml:space="preserve">Hakim Kabulkan Sebagian Gugatan Citizen Law Suit Warga Kalteng”, </w:t>
      </w:r>
      <w:hyperlink r:id="rId1" w:history="1">
        <w:r w:rsidRPr="00340F4F">
          <w:rPr>
            <w:rStyle w:val="Hyperlink"/>
            <w:rFonts w:eastAsia="Times New Roman"/>
            <w:bCs/>
            <w:sz w:val="20"/>
            <w:szCs w:val="20"/>
            <w:shd w:val="clear" w:color="auto" w:fill="FFFFFF"/>
          </w:rPr>
          <w:t>https://www.walhi.or.id/hakim-kabulkan-sebagian-gugatan-citizen-law-suit-warga-kalteng</w:t>
        </w:r>
      </w:hyperlink>
      <w:r w:rsidRPr="00340F4F">
        <w:rPr>
          <w:rFonts w:eastAsia="Times New Roman"/>
          <w:bCs/>
          <w:color w:val="1F1F1F"/>
          <w:sz w:val="20"/>
          <w:szCs w:val="20"/>
          <w:shd w:val="clear" w:color="auto" w:fill="FFFFFF"/>
        </w:rPr>
        <w:t>, diakses pada 1 Januari 202</w:t>
      </w:r>
      <w:r>
        <w:rPr>
          <w:rFonts w:eastAsia="Times New Roman"/>
          <w:bCs/>
          <w:color w:val="1F1F1F"/>
          <w:sz w:val="20"/>
          <w:szCs w:val="20"/>
          <w:shd w:val="clear" w:color="auto" w:fill="FFFFFF"/>
        </w:rPr>
        <w:t>1</w:t>
      </w:r>
      <w:r w:rsidRPr="00340F4F">
        <w:rPr>
          <w:rFonts w:eastAsia="Times New Roman"/>
          <w:bCs/>
          <w:color w:val="1F1F1F"/>
          <w:sz w:val="20"/>
          <w:szCs w:val="20"/>
          <w:shd w:val="clear" w:color="auto" w:fill="FFFFFF"/>
        </w:rPr>
        <w:t>.</w:t>
      </w:r>
    </w:p>
  </w:footnote>
  <w:footnote w:id="30">
    <w:p w14:paraId="486A1968" w14:textId="3BD6B130"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Santosa, </w:t>
      </w:r>
      <w:r w:rsidRPr="00340F4F">
        <w:rPr>
          <w:i/>
          <w:sz w:val="20"/>
          <w:szCs w:val="20"/>
        </w:rPr>
        <w:t>Alam</w:t>
      </w:r>
      <w:r w:rsidRPr="00340F4F">
        <w:rPr>
          <w:sz w:val="20"/>
          <w:szCs w:val="20"/>
        </w:rPr>
        <w:t>…, hlm. 201</w:t>
      </w:r>
    </w:p>
  </w:footnote>
  <w:footnote w:id="31">
    <w:p w14:paraId="3B3F14FF" w14:textId="2318C566"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James R. May</w:t>
      </w:r>
      <w:r>
        <w:rPr>
          <w:sz w:val="20"/>
          <w:szCs w:val="20"/>
        </w:rPr>
        <w:t xml:space="preserve">. </w:t>
      </w:r>
      <w:r w:rsidRPr="00C83F6F">
        <w:rPr>
          <w:i/>
          <w:sz w:val="20"/>
          <w:szCs w:val="20"/>
        </w:rPr>
        <w:t xml:space="preserve">The Availability of State Environmental Citizen Suits”, </w:t>
      </w:r>
      <w:r w:rsidRPr="00416CC1">
        <w:rPr>
          <w:i/>
          <w:sz w:val="20"/>
          <w:szCs w:val="20"/>
        </w:rPr>
        <w:t>Natural Resources and Environmental</w:t>
      </w:r>
      <w:r>
        <w:rPr>
          <w:sz w:val="20"/>
          <w:szCs w:val="20"/>
        </w:rPr>
        <w:t>.</w:t>
      </w:r>
      <w:r w:rsidRPr="00340F4F">
        <w:rPr>
          <w:i/>
          <w:sz w:val="20"/>
          <w:szCs w:val="20"/>
        </w:rPr>
        <w:t xml:space="preserve"> </w:t>
      </w:r>
      <w:r w:rsidRPr="00C83F6F">
        <w:rPr>
          <w:sz w:val="20"/>
          <w:szCs w:val="20"/>
        </w:rPr>
        <w:t>Vo</w:t>
      </w:r>
      <w:r w:rsidR="009308C9">
        <w:rPr>
          <w:sz w:val="20"/>
          <w:szCs w:val="20"/>
        </w:rPr>
        <w:t>lume</w:t>
      </w:r>
      <w:r w:rsidRPr="00C83F6F">
        <w:rPr>
          <w:sz w:val="20"/>
          <w:szCs w:val="20"/>
        </w:rPr>
        <w:t xml:space="preserve"> 18 No</w:t>
      </w:r>
      <w:r w:rsidR="009308C9">
        <w:rPr>
          <w:sz w:val="20"/>
          <w:szCs w:val="20"/>
        </w:rPr>
        <w:t>mor</w:t>
      </w:r>
      <w:r w:rsidRPr="00C83F6F">
        <w:rPr>
          <w:sz w:val="20"/>
          <w:szCs w:val="20"/>
        </w:rPr>
        <w:t xml:space="preserve"> 4 </w:t>
      </w:r>
      <w:r w:rsidRPr="009308C9">
        <w:rPr>
          <w:sz w:val="20"/>
          <w:szCs w:val="20"/>
        </w:rPr>
        <w:t>Spring 2004</w:t>
      </w:r>
      <w:r w:rsidR="009308C9">
        <w:rPr>
          <w:sz w:val="20"/>
          <w:szCs w:val="20"/>
        </w:rPr>
        <w:t>.</w:t>
      </w:r>
      <w:r w:rsidRPr="00340F4F">
        <w:rPr>
          <w:sz w:val="20"/>
          <w:szCs w:val="20"/>
        </w:rPr>
        <w:t xml:space="preserve"> h. 53.</w:t>
      </w:r>
    </w:p>
  </w:footnote>
  <w:footnote w:id="32">
    <w:p w14:paraId="75B26C5B" w14:textId="5C0A5A8E" w:rsidR="00416CC1" w:rsidRPr="00340F4F" w:rsidRDefault="00416CC1" w:rsidP="009A3B69">
      <w:pPr>
        <w:ind w:firstLine="720"/>
        <w:jc w:val="both"/>
        <w:rPr>
          <w:rFonts w:eastAsia="Times New Roman"/>
          <w:sz w:val="20"/>
          <w:szCs w:val="20"/>
        </w:rPr>
      </w:pPr>
      <w:r w:rsidRPr="00340F4F">
        <w:rPr>
          <w:rStyle w:val="FootnoteReference"/>
          <w:sz w:val="20"/>
          <w:szCs w:val="20"/>
        </w:rPr>
        <w:footnoteRef/>
      </w:r>
      <w:r w:rsidRPr="00340F4F">
        <w:rPr>
          <w:sz w:val="20"/>
          <w:szCs w:val="20"/>
        </w:rPr>
        <w:t xml:space="preserve"> Marion Dumas</w:t>
      </w:r>
      <w:r w:rsidR="009308C9">
        <w:rPr>
          <w:sz w:val="20"/>
          <w:szCs w:val="20"/>
        </w:rPr>
        <w:t>.</w:t>
      </w:r>
      <w:r w:rsidRPr="00340F4F">
        <w:rPr>
          <w:sz w:val="20"/>
          <w:szCs w:val="20"/>
        </w:rPr>
        <w:t xml:space="preserve"> </w:t>
      </w:r>
      <w:r w:rsidRPr="00C83F6F">
        <w:rPr>
          <w:rFonts w:eastAsia="Times New Roman"/>
          <w:i/>
          <w:sz w:val="20"/>
          <w:szCs w:val="20"/>
        </w:rPr>
        <w:t>Taking the Law to Court: Citizen Suits and the Legislative Process</w:t>
      </w:r>
      <w:r w:rsidR="009308C9">
        <w:rPr>
          <w:sz w:val="20"/>
          <w:szCs w:val="20"/>
        </w:rPr>
        <w:t xml:space="preserve">. </w:t>
      </w:r>
      <w:r w:rsidRPr="00C83F6F">
        <w:rPr>
          <w:rFonts w:eastAsia="Times New Roman"/>
          <w:sz w:val="20"/>
          <w:szCs w:val="20"/>
        </w:rPr>
        <w:t>American Journal of Political Science Vol</w:t>
      </w:r>
      <w:r w:rsidR="009308C9">
        <w:rPr>
          <w:rFonts w:eastAsia="Times New Roman"/>
          <w:sz w:val="20"/>
          <w:szCs w:val="20"/>
        </w:rPr>
        <w:t>ume</w:t>
      </w:r>
      <w:r w:rsidRPr="00C83F6F">
        <w:rPr>
          <w:rFonts w:eastAsia="Times New Roman"/>
          <w:sz w:val="20"/>
          <w:szCs w:val="20"/>
        </w:rPr>
        <w:t xml:space="preserve"> 61 N</w:t>
      </w:r>
      <w:r w:rsidR="009308C9">
        <w:rPr>
          <w:rFonts w:eastAsia="Times New Roman"/>
          <w:sz w:val="20"/>
          <w:szCs w:val="20"/>
        </w:rPr>
        <w:t>omor</w:t>
      </w:r>
      <w:r w:rsidRPr="00C83F6F">
        <w:rPr>
          <w:rFonts w:eastAsia="Times New Roman"/>
          <w:sz w:val="20"/>
          <w:szCs w:val="20"/>
        </w:rPr>
        <w:t xml:space="preserve"> 4</w:t>
      </w:r>
      <w:r w:rsidR="009308C9">
        <w:rPr>
          <w:rFonts w:eastAsia="Times New Roman"/>
          <w:sz w:val="20"/>
          <w:szCs w:val="20"/>
        </w:rPr>
        <w:t xml:space="preserve"> </w:t>
      </w:r>
      <w:r w:rsidRPr="009308C9">
        <w:rPr>
          <w:rFonts w:eastAsia="Times New Roman"/>
          <w:sz w:val="20"/>
          <w:szCs w:val="20"/>
        </w:rPr>
        <w:t>Oktober 2017</w:t>
      </w:r>
      <w:r w:rsidR="009308C9">
        <w:rPr>
          <w:rFonts w:eastAsia="Times New Roman"/>
          <w:sz w:val="20"/>
          <w:szCs w:val="20"/>
        </w:rPr>
        <w:t>.</w:t>
      </w:r>
      <w:r w:rsidRPr="00340F4F">
        <w:rPr>
          <w:rFonts w:eastAsia="Times New Roman"/>
          <w:sz w:val="20"/>
          <w:szCs w:val="20"/>
        </w:rPr>
        <w:t xml:space="preserve"> h. 944.</w:t>
      </w:r>
    </w:p>
  </w:footnote>
  <w:footnote w:id="33">
    <w:p w14:paraId="3345E573" w14:textId="49AD1EEE" w:rsidR="00416CC1" w:rsidRPr="009308C9" w:rsidRDefault="00416CC1" w:rsidP="009A3B69">
      <w:pPr>
        <w:widowControl w:val="0"/>
        <w:autoSpaceDE w:val="0"/>
        <w:autoSpaceDN w:val="0"/>
        <w:adjustRightInd w:val="0"/>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Charles N. Nauen</w:t>
      </w:r>
      <w:r w:rsidR="009308C9">
        <w:rPr>
          <w:color w:val="000000" w:themeColor="text1"/>
          <w:sz w:val="20"/>
          <w:szCs w:val="20"/>
        </w:rPr>
        <w:t>.</w:t>
      </w:r>
      <w:r w:rsidRPr="00340F4F">
        <w:rPr>
          <w:color w:val="000000" w:themeColor="text1"/>
          <w:sz w:val="20"/>
          <w:szCs w:val="20"/>
        </w:rPr>
        <w:t xml:space="preserve"> </w:t>
      </w:r>
      <w:r w:rsidRPr="00C83F6F">
        <w:rPr>
          <w:i/>
          <w:color w:val="000000" w:themeColor="text1"/>
          <w:sz w:val="20"/>
          <w:szCs w:val="20"/>
        </w:rPr>
        <w:t>Citizen Environmental Lawsuits After Gwaltney: The Thrill of Victory or The Agony of Defeat?</w:t>
      </w:r>
      <w:r w:rsidR="009308C9">
        <w:rPr>
          <w:bCs/>
          <w:color w:val="000000" w:themeColor="text1"/>
          <w:sz w:val="20"/>
          <w:szCs w:val="20"/>
        </w:rPr>
        <w:t>.</w:t>
      </w:r>
      <w:r w:rsidRPr="00340F4F">
        <w:rPr>
          <w:bCs/>
          <w:color w:val="000000" w:themeColor="text1"/>
          <w:sz w:val="20"/>
          <w:szCs w:val="20"/>
        </w:rPr>
        <w:t xml:space="preserve"> </w:t>
      </w:r>
      <w:r w:rsidRPr="00C83F6F">
        <w:rPr>
          <w:bCs/>
          <w:color w:val="000000" w:themeColor="text1"/>
          <w:sz w:val="20"/>
          <w:szCs w:val="20"/>
        </w:rPr>
        <w:t>William Mitchell Law Review Vol</w:t>
      </w:r>
      <w:r w:rsidR="009308C9">
        <w:rPr>
          <w:bCs/>
          <w:color w:val="000000" w:themeColor="text1"/>
          <w:sz w:val="20"/>
          <w:szCs w:val="20"/>
        </w:rPr>
        <w:t>ume</w:t>
      </w:r>
      <w:r w:rsidRPr="00C83F6F">
        <w:rPr>
          <w:bCs/>
          <w:color w:val="000000" w:themeColor="text1"/>
          <w:sz w:val="20"/>
          <w:szCs w:val="20"/>
        </w:rPr>
        <w:t xml:space="preserve"> 15 Rev 327</w:t>
      </w:r>
      <w:r w:rsidR="009308C9">
        <w:rPr>
          <w:bCs/>
          <w:color w:val="000000" w:themeColor="text1"/>
          <w:sz w:val="20"/>
          <w:szCs w:val="20"/>
        </w:rPr>
        <w:t xml:space="preserve"> </w:t>
      </w:r>
      <w:r w:rsidRPr="009308C9">
        <w:rPr>
          <w:bCs/>
          <w:color w:val="000000" w:themeColor="text1"/>
          <w:sz w:val="20"/>
          <w:szCs w:val="20"/>
        </w:rPr>
        <w:t>1989</w:t>
      </w:r>
      <w:r w:rsidR="009308C9">
        <w:rPr>
          <w:bCs/>
          <w:color w:val="000000" w:themeColor="text1"/>
          <w:sz w:val="20"/>
          <w:szCs w:val="20"/>
        </w:rPr>
        <w:t>.</w:t>
      </w:r>
      <w:r w:rsidRPr="009308C9">
        <w:rPr>
          <w:bCs/>
          <w:color w:val="000000" w:themeColor="text1"/>
          <w:sz w:val="20"/>
          <w:szCs w:val="20"/>
        </w:rPr>
        <w:t xml:space="preserve"> h. 329.</w:t>
      </w:r>
    </w:p>
  </w:footnote>
  <w:footnote w:id="34">
    <w:p w14:paraId="3928185F" w14:textId="1C895C2B" w:rsidR="00416CC1" w:rsidRPr="00340F4F" w:rsidRDefault="00416CC1" w:rsidP="009A3B69">
      <w:pPr>
        <w:widowControl w:val="0"/>
        <w:autoSpaceDE w:val="0"/>
        <w:autoSpaceDN w:val="0"/>
        <w:adjustRightInd w:val="0"/>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Hal ini dikemukakan oleh Senate Committee dalam Public Works, S. REP. No. 1196, 91st Cong., 2d. Sess. 35-36 (1970), </w:t>
      </w:r>
      <w:r w:rsidRPr="00340F4F">
        <w:rPr>
          <w:i/>
          <w:iCs/>
          <w:color w:val="000000" w:themeColor="text1"/>
          <w:sz w:val="20"/>
          <w:szCs w:val="20"/>
        </w:rPr>
        <w:t>quoted in Carey</w:t>
      </w:r>
      <w:r w:rsidRPr="00340F4F">
        <w:rPr>
          <w:color w:val="000000" w:themeColor="text1"/>
          <w:sz w:val="20"/>
          <w:szCs w:val="20"/>
        </w:rPr>
        <w:t xml:space="preserve">, 535 F.2d, at 172. Sebagaimana dikemukakan oleh </w:t>
      </w:r>
      <w:r w:rsidR="00EC0B5B" w:rsidRPr="00340F4F">
        <w:rPr>
          <w:color w:val="000000" w:themeColor="text1"/>
          <w:sz w:val="20"/>
          <w:szCs w:val="20"/>
        </w:rPr>
        <w:t>Charles N. Nauen</w:t>
      </w:r>
      <w:r w:rsidR="00EC0B5B">
        <w:rPr>
          <w:color w:val="000000" w:themeColor="text1"/>
          <w:sz w:val="20"/>
          <w:szCs w:val="20"/>
        </w:rPr>
        <w:t>.</w:t>
      </w:r>
      <w:r w:rsidR="00EC0B5B" w:rsidRPr="00340F4F">
        <w:rPr>
          <w:color w:val="000000" w:themeColor="text1"/>
          <w:sz w:val="20"/>
          <w:szCs w:val="20"/>
        </w:rPr>
        <w:t xml:space="preserve"> </w:t>
      </w:r>
      <w:r w:rsidR="00EC0B5B" w:rsidRPr="00CE66CD">
        <w:rPr>
          <w:i/>
          <w:color w:val="000000" w:themeColor="text1"/>
          <w:sz w:val="20"/>
          <w:szCs w:val="20"/>
        </w:rPr>
        <w:t>Citizen Environmental Lawsuits After Gwaltney: The Thrill of Victory or The Agony of Defeat?</w:t>
      </w:r>
      <w:r w:rsidR="00EC0B5B">
        <w:rPr>
          <w:bCs/>
          <w:color w:val="000000" w:themeColor="text1"/>
          <w:sz w:val="20"/>
          <w:szCs w:val="20"/>
        </w:rPr>
        <w:t>.</w:t>
      </w:r>
      <w:r w:rsidR="00EC0B5B" w:rsidRPr="00340F4F">
        <w:rPr>
          <w:bCs/>
          <w:color w:val="000000" w:themeColor="text1"/>
          <w:sz w:val="20"/>
          <w:szCs w:val="20"/>
        </w:rPr>
        <w:t xml:space="preserve"> </w:t>
      </w:r>
      <w:r w:rsidR="00EC0B5B" w:rsidRPr="00CE66CD">
        <w:rPr>
          <w:bCs/>
          <w:color w:val="000000" w:themeColor="text1"/>
          <w:sz w:val="20"/>
          <w:szCs w:val="20"/>
        </w:rPr>
        <w:t>William Mitchell Law Review Vol</w:t>
      </w:r>
      <w:r w:rsidR="00EC0B5B">
        <w:rPr>
          <w:bCs/>
          <w:color w:val="000000" w:themeColor="text1"/>
          <w:sz w:val="20"/>
          <w:szCs w:val="20"/>
        </w:rPr>
        <w:t>ume</w:t>
      </w:r>
      <w:r w:rsidR="00EC0B5B" w:rsidRPr="00CE66CD">
        <w:rPr>
          <w:bCs/>
          <w:color w:val="000000" w:themeColor="text1"/>
          <w:sz w:val="20"/>
          <w:szCs w:val="20"/>
        </w:rPr>
        <w:t xml:space="preserve"> 15 Rev 327</w:t>
      </w:r>
      <w:r w:rsidR="00EC0B5B">
        <w:rPr>
          <w:bCs/>
          <w:color w:val="000000" w:themeColor="text1"/>
          <w:sz w:val="20"/>
          <w:szCs w:val="20"/>
        </w:rPr>
        <w:t xml:space="preserve"> </w:t>
      </w:r>
      <w:r w:rsidR="00EC0B5B" w:rsidRPr="009308C9">
        <w:rPr>
          <w:bCs/>
          <w:color w:val="000000" w:themeColor="text1"/>
          <w:sz w:val="20"/>
          <w:szCs w:val="20"/>
        </w:rPr>
        <w:t>1989</w:t>
      </w:r>
      <w:r w:rsidR="00EC0B5B">
        <w:rPr>
          <w:bCs/>
          <w:color w:val="000000" w:themeColor="text1"/>
          <w:sz w:val="20"/>
          <w:szCs w:val="20"/>
        </w:rPr>
        <w:t>.</w:t>
      </w:r>
      <w:r w:rsidR="00EC0B5B" w:rsidRPr="009308C9">
        <w:rPr>
          <w:bCs/>
          <w:color w:val="000000" w:themeColor="text1"/>
          <w:sz w:val="20"/>
          <w:szCs w:val="20"/>
        </w:rPr>
        <w:t xml:space="preserve"> h. </w:t>
      </w:r>
      <w:r w:rsidRPr="00340F4F">
        <w:rPr>
          <w:bCs/>
          <w:color w:val="000000" w:themeColor="text1"/>
          <w:sz w:val="20"/>
          <w:szCs w:val="20"/>
        </w:rPr>
        <w:t>329.</w:t>
      </w:r>
    </w:p>
  </w:footnote>
  <w:footnote w:id="35">
    <w:p w14:paraId="66248592" w14:textId="5CA1A134" w:rsidR="00416CC1" w:rsidRPr="00340F4F" w:rsidRDefault="00416CC1" w:rsidP="009A3B69">
      <w:pPr>
        <w:pStyle w:val="Heading1"/>
        <w:shd w:val="clear" w:color="auto" w:fill="FFFFFF"/>
        <w:spacing w:before="0" w:beforeAutospacing="0" w:after="0" w:afterAutospacing="0"/>
        <w:ind w:firstLine="720"/>
        <w:jc w:val="both"/>
        <w:rPr>
          <w:rFonts w:eastAsia="Times New Roman"/>
          <w:b w:val="0"/>
          <w:bCs w:val="0"/>
          <w:color w:val="333333"/>
          <w:sz w:val="20"/>
          <w:szCs w:val="20"/>
        </w:rPr>
      </w:pPr>
      <w:r w:rsidRPr="00340F4F">
        <w:rPr>
          <w:rStyle w:val="FootnoteReference"/>
          <w:b w:val="0"/>
          <w:sz w:val="20"/>
          <w:szCs w:val="20"/>
        </w:rPr>
        <w:footnoteRef/>
      </w:r>
      <w:r w:rsidRPr="00340F4F">
        <w:rPr>
          <w:b w:val="0"/>
          <w:sz w:val="20"/>
          <w:szCs w:val="20"/>
        </w:rPr>
        <w:t xml:space="preserve"> Legal Information Institue “</w:t>
      </w:r>
      <w:r w:rsidRPr="00340F4F">
        <w:rPr>
          <w:rFonts w:eastAsia="Times New Roman"/>
          <w:b w:val="0"/>
          <w:bCs w:val="0"/>
          <w:color w:val="333333"/>
          <w:sz w:val="20"/>
          <w:szCs w:val="20"/>
        </w:rPr>
        <w:t xml:space="preserve">33 U.S. Code § 1365 - Citizen suits”, </w:t>
      </w:r>
      <w:hyperlink r:id="rId2" w:history="1">
        <w:r w:rsidRPr="00340F4F">
          <w:rPr>
            <w:rStyle w:val="Hyperlink"/>
            <w:rFonts w:eastAsia="Times New Roman"/>
            <w:b w:val="0"/>
            <w:bCs w:val="0"/>
            <w:sz w:val="20"/>
            <w:szCs w:val="20"/>
          </w:rPr>
          <w:t>https://www.law.cornell.edu/uscode/text/33/1365</w:t>
        </w:r>
      </w:hyperlink>
      <w:r w:rsidRPr="00340F4F">
        <w:rPr>
          <w:rFonts w:eastAsia="Times New Roman"/>
          <w:b w:val="0"/>
          <w:bCs w:val="0"/>
          <w:color w:val="333333"/>
          <w:sz w:val="20"/>
          <w:szCs w:val="20"/>
        </w:rPr>
        <w:t>, diakses pada 1 Januari 202</w:t>
      </w:r>
      <w:r>
        <w:rPr>
          <w:rFonts w:eastAsia="Times New Roman"/>
          <w:b w:val="0"/>
          <w:bCs w:val="0"/>
          <w:color w:val="333333"/>
          <w:sz w:val="20"/>
          <w:szCs w:val="20"/>
        </w:rPr>
        <w:t>1</w:t>
      </w:r>
      <w:r w:rsidRPr="00340F4F">
        <w:rPr>
          <w:rFonts w:eastAsia="Times New Roman"/>
          <w:b w:val="0"/>
          <w:bCs w:val="0"/>
          <w:color w:val="333333"/>
          <w:sz w:val="20"/>
          <w:szCs w:val="20"/>
        </w:rPr>
        <w:t>.</w:t>
      </w:r>
    </w:p>
  </w:footnote>
  <w:footnote w:id="36">
    <w:p w14:paraId="2C28F558" w14:textId="77777777"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Wibisana, </w:t>
      </w:r>
      <w:r w:rsidRPr="00340F4F">
        <w:rPr>
          <w:i/>
          <w:sz w:val="20"/>
          <w:szCs w:val="20"/>
        </w:rPr>
        <w:t>Penegakan</w:t>
      </w:r>
      <w:r w:rsidRPr="00340F4F">
        <w:rPr>
          <w:sz w:val="20"/>
          <w:szCs w:val="20"/>
        </w:rPr>
        <w:t>…, hlm 23.</w:t>
      </w:r>
    </w:p>
  </w:footnote>
  <w:footnote w:id="37">
    <w:p w14:paraId="5B2A865B" w14:textId="3FB241F3"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Legal Information Institue “</w:t>
      </w:r>
      <w:r w:rsidRPr="00340F4F">
        <w:rPr>
          <w:rFonts w:eastAsia="Times New Roman"/>
          <w:color w:val="333333"/>
          <w:sz w:val="20"/>
          <w:szCs w:val="20"/>
        </w:rPr>
        <w:t>33 U.S. Code § 1365 - Citizen suits</w:t>
      </w:r>
      <w:r w:rsidRPr="00340F4F">
        <w:rPr>
          <w:rFonts w:eastAsia="Times New Roman"/>
          <w:bCs/>
          <w:color w:val="333333"/>
          <w:sz w:val="20"/>
          <w:szCs w:val="20"/>
        </w:rPr>
        <w:t xml:space="preserve">”, </w:t>
      </w:r>
      <w:hyperlink r:id="rId3" w:history="1">
        <w:r w:rsidRPr="00340F4F">
          <w:rPr>
            <w:rStyle w:val="Hyperlink"/>
            <w:rFonts w:eastAsia="Times New Roman"/>
            <w:sz w:val="20"/>
            <w:szCs w:val="20"/>
          </w:rPr>
          <w:t>https://www.law.cornell.edu/uscode/text/33/1365</w:t>
        </w:r>
      </w:hyperlink>
      <w:r w:rsidRPr="00340F4F">
        <w:rPr>
          <w:rFonts w:eastAsia="Times New Roman"/>
          <w:bCs/>
          <w:color w:val="333333"/>
          <w:sz w:val="20"/>
          <w:szCs w:val="20"/>
        </w:rPr>
        <w:t>, diakses pada 1 Januari 202</w:t>
      </w:r>
      <w:r>
        <w:rPr>
          <w:rFonts w:eastAsia="Times New Roman"/>
          <w:bCs/>
          <w:color w:val="333333"/>
          <w:sz w:val="20"/>
          <w:szCs w:val="20"/>
        </w:rPr>
        <w:t>1</w:t>
      </w:r>
      <w:r w:rsidRPr="00340F4F">
        <w:rPr>
          <w:rFonts w:eastAsia="Times New Roman"/>
          <w:bCs/>
          <w:color w:val="333333"/>
          <w:sz w:val="20"/>
          <w:szCs w:val="20"/>
        </w:rPr>
        <w:t>.</w:t>
      </w:r>
    </w:p>
  </w:footnote>
  <w:footnote w:id="38">
    <w:p w14:paraId="5C350311" w14:textId="2B1564B2"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Sara Mogharabi et. al. </w:t>
      </w:r>
      <w:r w:rsidRPr="00C83F6F">
        <w:rPr>
          <w:i/>
          <w:sz w:val="20"/>
          <w:szCs w:val="20"/>
        </w:rPr>
        <w:t>Environmental Citizen Suits in the Trump Era</w:t>
      </w:r>
      <w:r w:rsidR="00EC0B5B">
        <w:rPr>
          <w:sz w:val="20"/>
          <w:szCs w:val="20"/>
        </w:rPr>
        <w:t>.</w:t>
      </w:r>
      <w:r w:rsidRPr="00340F4F">
        <w:rPr>
          <w:sz w:val="20"/>
          <w:szCs w:val="20"/>
        </w:rPr>
        <w:t xml:space="preserve"> </w:t>
      </w:r>
      <w:r w:rsidRPr="00C83F6F">
        <w:rPr>
          <w:sz w:val="20"/>
          <w:szCs w:val="20"/>
        </w:rPr>
        <w:t>Natural Resources and Environmental</w:t>
      </w:r>
      <w:r w:rsidR="00EC0B5B">
        <w:rPr>
          <w:sz w:val="20"/>
          <w:szCs w:val="20"/>
        </w:rPr>
        <w:t xml:space="preserve"> </w:t>
      </w:r>
      <w:r w:rsidRPr="00C83F6F">
        <w:rPr>
          <w:sz w:val="20"/>
          <w:szCs w:val="20"/>
        </w:rPr>
        <w:t>Vol</w:t>
      </w:r>
      <w:r w:rsidR="00EC0B5B">
        <w:rPr>
          <w:sz w:val="20"/>
          <w:szCs w:val="20"/>
        </w:rPr>
        <w:t>ume</w:t>
      </w:r>
      <w:r w:rsidRPr="00C83F6F">
        <w:rPr>
          <w:sz w:val="20"/>
          <w:szCs w:val="20"/>
        </w:rPr>
        <w:t xml:space="preserve"> 32 No</w:t>
      </w:r>
      <w:r w:rsidR="00EC0B5B">
        <w:rPr>
          <w:sz w:val="20"/>
          <w:szCs w:val="20"/>
        </w:rPr>
        <w:t>mor</w:t>
      </w:r>
      <w:r w:rsidRPr="00C83F6F">
        <w:rPr>
          <w:sz w:val="20"/>
          <w:szCs w:val="20"/>
        </w:rPr>
        <w:t xml:space="preserve"> 2 </w:t>
      </w:r>
      <w:r w:rsidRPr="00EC0B5B">
        <w:rPr>
          <w:sz w:val="20"/>
          <w:szCs w:val="20"/>
        </w:rPr>
        <w:t>Fall 2017</w:t>
      </w:r>
      <w:r w:rsidR="00EC0B5B">
        <w:rPr>
          <w:sz w:val="20"/>
          <w:szCs w:val="20"/>
        </w:rPr>
        <w:t>.</w:t>
      </w:r>
      <w:r w:rsidRPr="00340F4F">
        <w:rPr>
          <w:i/>
          <w:sz w:val="20"/>
          <w:szCs w:val="20"/>
        </w:rPr>
        <w:t xml:space="preserve"> </w:t>
      </w:r>
      <w:r w:rsidR="00EC0B5B">
        <w:rPr>
          <w:sz w:val="20"/>
          <w:szCs w:val="20"/>
        </w:rPr>
        <w:t>h.</w:t>
      </w:r>
      <w:r w:rsidRPr="00340F4F">
        <w:rPr>
          <w:sz w:val="20"/>
          <w:szCs w:val="20"/>
        </w:rPr>
        <w:t xml:space="preserve"> 3.</w:t>
      </w:r>
    </w:p>
  </w:footnote>
  <w:footnote w:id="39">
    <w:p w14:paraId="18B1E080" w14:textId="0B7348B6" w:rsidR="00416CC1" w:rsidRPr="00A00001" w:rsidRDefault="00416CC1" w:rsidP="009A3B69">
      <w:pPr>
        <w:ind w:firstLine="720"/>
        <w:jc w:val="both"/>
        <w:rPr>
          <w:rFonts w:eastAsia="Times New Roman"/>
          <w:sz w:val="20"/>
          <w:szCs w:val="20"/>
        </w:rPr>
      </w:pPr>
      <w:r w:rsidRPr="00340F4F">
        <w:rPr>
          <w:rStyle w:val="FootnoteReference"/>
          <w:sz w:val="20"/>
          <w:szCs w:val="20"/>
        </w:rPr>
        <w:footnoteRef/>
      </w:r>
      <w:r w:rsidRPr="00340F4F">
        <w:rPr>
          <w:sz w:val="20"/>
          <w:szCs w:val="20"/>
        </w:rPr>
        <w:t xml:space="preserve"> Jonathan S. Campbell</w:t>
      </w:r>
      <w:r w:rsidR="00EC0B5B">
        <w:rPr>
          <w:sz w:val="20"/>
          <w:szCs w:val="20"/>
        </w:rPr>
        <w:t>.</w:t>
      </w:r>
      <w:r w:rsidRPr="00340F4F">
        <w:rPr>
          <w:sz w:val="20"/>
          <w:szCs w:val="20"/>
        </w:rPr>
        <w:t xml:space="preserve"> </w:t>
      </w:r>
      <w:r w:rsidRPr="00C83F6F">
        <w:rPr>
          <w:i/>
          <w:sz w:val="20"/>
          <w:szCs w:val="20"/>
        </w:rPr>
        <w:t>Has the Citizen Suit Provision of the Clean Water Act Exceeds its Supplemental Birth?,</w:t>
      </w:r>
      <w:r w:rsidRPr="00340F4F">
        <w:rPr>
          <w:sz w:val="20"/>
          <w:szCs w:val="20"/>
        </w:rPr>
        <w:t xml:space="preserve"> </w:t>
      </w:r>
      <w:r w:rsidRPr="00C83F6F">
        <w:rPr>
          <w:sz w:val="20"/>
          <w:szCs w:val="20"/>
        </w:rPr>
        <w:t>William &amp; Mary Environmental Law and Policy Review</w:t>
      </w:r>
      <w:r w:rsidR="00EC0B5B">
        <w:rPr>
          <w:sz w:val="20"/>
          <w:szCs w:val="20"/>
        </w:rPr>
        <w:t>.</w:t>
      </w:r>
      <w:r w:rsidRPr="00C83F6F">
        <w:rPr>
          <w:sz w:val="20"/>
          <w:szCs w:val="20"/>
        </w:rPr>
        <w:t xml:space="preserve"> Vol</w:t>
      </w:r>
      <w:r w:rsidR="00EC0B5B">
        <w:rPr>
          <w:sz w:val="20"/>
          <w:szCs w:val="20"/>
        </w:rPr>
        <w:t>ume</w:t>
      </w:r>
      <w:r w:rsidRPr="00C83F6F">
        <w:rPr>
          <w:sz w:val="20"/>
          <w:szCs w:val="20"/>
        </w:rPr>
        <w:t xml:space="preserve"> 24 Issue 2 </w:t>
      </w:r>
      <w:r w:rsidRPr="00A00001">
        <w:rPr>
          <w:sz w:val="20"/>
          <w:szCs w:val="20"/>
        </w:rPr>
        <w:t>April 2000</w:t>
      </w:r>
      <w:r w:rsidR="00EC0B5B">
        <w:rPr>
          <w:sz w:val="20"/>
          <w:szCs w:val="20"/>
        </w:rPr>
        <w:t>.</w:t>
      </w:r>
      <w:r w:rsidRPr="00A00001">
        <w:rPr>
          <w:sz w:val="20"/>
          <w:szCs w:val="20"/>
        </w:rPr>
        <w:t xml:space="preserve"> </w:t>
      </w:r>
      <w:r w:rsidR="00EC0B5B">
        <w:rPr>
          <w:sz w:val="20"/>
          <w:szCs w:val="20"/>
        </w:rPr>
        <w:t>h.</w:t>
      </w:r>
      <w:r w:rsidRPr="00A00001">
        <w:rPr>
          <w:sz w:val="20"/>
          <w:szCs w:val="20"/>
        </w:rPr>
        <w:t xml:space="preserve"> 306.</w:t>
      </w:r>
    </w:p>
  </w:footnote>
  <w:footnote w:id="40">
    <w:p w14:paraId="50592578" w14:textId="77777777"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w:t>
      </w:r>
      <w:r w:rsidRPr="00340F4F">
        <w:rPr>
          <w:color w:val="000000" w:themeColor="text1"/>
          <w:sz w:val="20"/>
          <w:szCs w:val="20"/>
        </w:rPr>
        <w:t xml:space="preserve">Fatah, </w:t>
      </w:r>
      <w:r w:rsidRPr="00340F4F">
        <w:rPr>
          <w:i/>
          <w:color w:val="000000" w:themeColor="text1"/>
          <w:sz w:val="20"/>
          <w:szCs w:val="20"/>
        </w:rPr>
        <w:t>Gugatan</w:t>
      </w:r>
      <w:r w:rsidRPr="00340F4F">
        <w:rPr>
          <w:color w:val="000000" w:themeColor="text1"/>
          <w:sz w:val="20"/>
          <w:szCs w:val="20"/>
        </w:rPr>
        <w:t>…, hlm. 299.</w:t>
      </w:r>
    </w:p>
  </w:footnote>
  <w:footnote w:id="41">
    <w:p w14:paraId="3F8AE85D" w14:textId="0028648F"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w:t>
      </w:r>
      <w:r w:rsidRPr="00340F4F">
        <w:rPr>
          <w:color w:val="000000" w:themeColor="text1"/>
          <w:sz w:val="20"/>
          <w:szCs w:val="20"/>
        </w:rPr>
        <w:t xml:space="preserve">Fajar, </w:t>
      </w:r>
      <w:r w:rsidRPr="00340F4F">
        <w:rPr>
          <w:i/>
          <w:color w:val="000000" w:themeColor="text1"/>
          <w:sz w:val="20"/>
          <w:szCs w:val="20"/>
        </w:rPr>
        <w:t>Penguatan</w:t>
      </w:r>
      <w:r w:rsidRPr="00340F4F">
        <w:rPr>
          <w:color w:val="000000" w:themeColor="text1"/>
          <w:sz w:val="20"/>
          <w:szCs w:val="20"/>
        </w:rPr>
        <w:t>…, hlm. 10-19.</w:t>
      </w:r>
    </w:p>
  </w:footnote>
  <w:footnote w:id="42">
    <w:p w14:paraId="5CF0EC47" w14:textId="6AD3BBDE" w:rsidR="00416CC1" w:rsidRPr="00340F4F" w:rsidRDefault="00416CC1" w:rsidP="00364EB8">
      <w:pPr>
        <w:pStyle w:val="FootnoteText"/>
        <w:ind w:firstLine="720"/>
        <w:jc w:val="both"/>
        <w:rPr>
          <w:sz w:val="20"/>
          <w:szCs w:val="20"/>
        </w:rPr>
      </w:pPr>
      <w:r w:rsidRPr="00340F4F">
        <w:rPr>
          <w:rStyle w:val="FootnoteReference"/>
          <w:sz w:val="20"/>
          <w:szCs w:val="20"/>
        </w:rPr>
        <w:footnoteRef/>
      </w:r>
      <w:r w:rsidRPr="00340F4F">
        <w:rPr>
          <w:sz w:val="20"/>
          <w:szCs w:val="20"/>
        </w:rPr>
        <w:t xml:space="preserve"> Mark A. Ryan</w:t>
      </w:r>
      <w:r w:rsidR="00EC0B5B">
        <w:rPr>
          <w:sz w:val="20"/>
          <w:szCs w:val="20"/>
        </w:rPr>
        <w:t>.</w:t>
      </w:r>
      <w:r w:rsidRPr="00340F4F">
        <w:rPr>
          <w:sz w:val="20"/>
          <w:szCs w:val="20"/>
        </w:rPr>
        <w:t xml:space="preserve"> </w:t>
      </w:r>
      <w:r w:rsidRPr="00C83F6F">
        <w:rPr>
          <w:rFonts w:eastAsia="Times New Roman"/>
          <w:i/>
          <w:sz w:val="20"/>
          <w:szCs w:val="20"/>
        </w:rPr>
        <w:t>Clean Water Act Citizen Suits: What the Numbers Tell Us</w:t>
      </w:r>
      <w:r w:rsidR="00EC0B5B">
        <w:rPr>
          <w:sz w:val="20"/>
          <w:szCs w:val="20"/>
        </w:rPr>
        <w:t>.</w:t>
      </w:r>
      <w:r w:rsidRPr="00340F4F">
        <w:rPr>
          <w:sz w:val="20"/>
          <w:szCs w:val="20"/>
        </w:rPr>
        <w:t xml:space="preserve"> </w:t>
      </w:r>
      <w:r w:rsidRPr="00C83F6F">
        <w:rPr>
          <w:sz w:val="20"/>
          <w:szCs w:val="20"/>
        </w:rPr>
        <w:t>Natural Resources and Environmental</w:t>
      </w:r>
      <w:r w:rsidR="00EC0B5B">
        <w:rPr>
          <w:sz w:val="20"/>
          <w:szCs w:val="20"/>
        </w:rPr>
        <w:t>.</w:t>
      </w:r>
      <w:r w:rsidRPr="00C83F6F">
        <w:rPr>
          <w:sz w:val="20"/>
          <w:szCs w:val="20"/>
        </w:rPr>
        <w:t>Vo</w:t>
      </w:r>
      <w:r w:rsidR="00EC0B5B">
        <w:rPr>
          <w:sz w:val="20"/>
          <w:szCs w:val="20"/>
        </w:rPr>
        <w:t>lume</w:t>
      </w:r>
      <w:r w:rsidRPr="00C83F6F">
        <w:rPr>
          <w:sz w:val="20"/>
          <w:szCs w:val="20"/>
        </w:rPr>
        <w:t xml:space="preserve"> 32 No</w:t>
      </w:r>
      <w:r w:rsidR="00EC0B5B">
        <w:rPr>
          <w:sz w:val="20"/>
          <w:szCs w:val="20"/>
        </w:rPr>
        <w:t>mor</w:t>
      </w:r>
      <w:r w:rsidRPr="00C83F6F">
        <w:rPr>
          <w:sz w:val="20"/>
          <w:szCs w:val="20"/>
        </w:rPr>
        <w:t xml:space="preserve"> 2 Fall 2017</w:t>
      </w:r>
      <w:r w:rsidR="00EC0B5B">
        <w:rPr>
          <w:sz w:val="20"/>
          <w:szCs w:val="20"/>
        </w:rPr>
        <w:t>.</w:t>
      </w:r>
      <w:r w:rsidRPr="00340F4F">
        <w:rPr>
          <w:i/>
          <w:sz w:val="20"/>
          <w:szCs w:val="20"/>
        </w:rPr>
        <w:t xml:space="preserve"> </w:t>
      </w:r>
      <w:r w:rsidRPr="00340F4F">
        <w:rPr>
          <w:sz w:val="20"/>
          <w:szCs w:val="20"/>
        </w:rPr>
        <w:t>h. 20.</w:t>
      </w:r>
    </w:p>
  </w:footnote>
  <w:footnote w:id="43">
    <w:p w14:paraId="666D7FD3" w14:textId="274C5D9A"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Mogharabi, </w:t>
      </w:r>
      <w:r w:rsidRPr="00340F4F">
        <w:rPr>
          <w:i/>
          <w:sz w:val="20"/>
          <w:szCs w:val="20"/>
        </w:rPr>
        <w:t>Environmental</w:t>
      </w:r>
      <w:r w:rsidRPr="00340F4F">
        <w:rPr>
          <w:sz w:val="20"/>
          <w:szCs w:val="20"/>
        </w:rPr>
        <w:t>…, hlm. 4.</w:t>
      </w:r>
    </w:p>
  </w:footnote>
  <w:footnote w:id="44">
    <w:p w14:paraId="4741F426" w14:textId="110297DE" w:rsidR="00416CC1" w:rsidRPr="00340F4F" w:rsidRDefault="00416CC1" w:rsidP="009A3B69">
      <w:pPr>
        <w:pStyle w:val="FootnoteText"/>
        <w:ind w:firstLine="720"/>
        <w:jc w:val="both"/>
        <w:rPr>
          <w:i/>
          <w:sz w:val="20"/>
          <w:szCs w:val="20"/>
        </w:rPr>
      </w:pPr>
      <w:r w:rsidRPr="00340F4F">
        <w:rPr>
          <w:rStyle w:val="FootnoteReference"/>
          <w:sz w:val="20"/>
          <w:szCs w:val="20"/>
        </w:rPr>
        <w:footnoteRef/>
      </w:r>
      <w:r w:rsidRPr="00340F4F">
        <w:rPr>
          <w:sz w:val="20"/>
          <w:szCs w:val="20"/>
        </w:rPr>
        <w:t xml:space="preserve"> </w:t>
      </w:r>
      <w:r w:rsidRPr="00340F4F">
        <w:rPr>
          <w:i/>
          <w:sz w:val="20"/>
          <w:szCs w:val="20"/>
        </w:rPr>
        <w:t>Ibid.</w:t>
      </w:r>
    </w:p>
  </w:footnote>
  <w:footnote w:id="45">
    <w:p w14:paraId="540A27EF" w14:textId="77777777" w:rsidR="00416CC1" w:rsidRPr="00340F4F"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w:t>
      </w:r>
      <w:r w:rsidRPr="00340F4F">
        <w:rPr>
          <w:color w:val="000000" w:themeColor="text1"/>
          <w:sz w:val="20"/>
          <w:szCs w:val="20"/>
        </w:rPr>
        <w:t xml:space="preserve">Henry dan Disriani Latifa Soroinda, </w:t>
      </w:r>
      <w:r w:rsidRPr="00340F4F">
        <w:rPr>
          <w:bCs/>
          <w:i/>
          <w:color w:val="000000" w:themeColor="text1"/>
          <w:sz w:val="20"/>
          <w:szCs w:val="20"/>
        </w:rPr>
        <w:t>Perbandingan</w:t>
      </w:r>
      <w:r w:rsidRPr="00340F4F">
        <w:rPr>
          <w:bCs/>
          <w:color w:val="000000" w:themeColor="text1"/>
          <w:sz w:val="20"/>
          <w:szCs w:val="20"/>
        </w:rPr>
        <w:t>, hlm. 5.</w:t>
      </w:r>
    </w:p>
  </w:footnote>
  <w:footnote w:id="46">
    <w:p w14:paraId="42439B80" w14:textId="15A37256" w:rsidR="00416CC1" w:rsidRPr="00EC0B5B" w:rsidRDefault="00416CC1" w:rsidP="009A3B69">
      <w:pPr>
        <w:pStyle w:val="FootnoteText"/>
        <w:ind w:firstLine="720"/>
        <w:jc w:val="both"/>
        <w:rPr>
          <w:sz w:val="20"/>
          <w:szCs w:val="20"/>
        </w:rPr>
      </w:pPr>
      <w:r w:rsidRPr="00340F4F">
        <w:rPr>
          <w:rStyle w:val="FootnoteReference"/>
          <w:sz w:val="20"/>
          <w:szCs w:val="20"/>
        </w:rPr>
        <w:footnoteRef/>
      </w:r>
      <w:r w:rsidRPr="00340F4F">
        <w:rPr>
          <w:sz w:val="20"/>
          <w:szCs w:val="20"/>
        </w:rPr>
        <w:t xml:space="preserve"> </w:t>
      </w:r>
      <w:r w:rsidRPr="00340F4F">
        <w:rPr>
          <w:rFonts w:eastAsia="Times New Roman"/>
          <w:sz w:val="20"/>
          <w:szCs w:val="20"/>
        </w:rPr>
        <w:t>Kirsten Nathanson, Thomas R. Lundquist, and Sarah Bordelon</w:t>
      </w:r>
      <w:r w:rsidR="00EC0B5B">
        <w:rPr>
          <w:rFonts w:eastAsia="Times New Roman"/>
          <w:sz w:val="20"/>
          <w:szCs w:val="20"/>
        </w:rPr>
        <w:t>.</w:t>
      </w:r>
      <w:r w:rsidRPr="00340F4F">
        <w:rPr>
          <w:rFonts w:eastAsia="Times New Roman"/>
          <w:sz w:val="20"/>
          <w:szCs w:val="20"/>
        </w:rPr>
        <w:t xml:space="preserve"> </w:t>
      </w:r>
      <w:r w:rsidRPr="00C83F6F">
        <w:rPr>
          <w:rFonts w:eastAsia="Times New Roman"/>
          <w:i/>
          <w:sz w:val="20"/>
          <w:szCs w:val="20"/>
        </w:rPr>
        <w:t>Developments in ESA Citizen Suits and Citizen Enforcement of Wildlife Laws</w:t>
      </w:r>
      <w:r w:rsidR="00EC0B5B">
        <w:rPr>
          <w:rFonts w:eastAsia="Times New Roman"/>
          <w:sz w:val="20"/>
          <w:szCs w:val="20"/>
        </w:rPr>
        <w:t>.</w:t>
      </w:r>
      <w:r w:rsidRPr="00340F4F">
        <w:rPr>
          <w:rFonts w:eastAsia="Times New Roman"/>
          <w:sz w:val="20"/>
          <w:szCs w:val="20"/>
        </w:rPr>
        <w:t xml:space="preserve"> </w:t>
      </w:r>
      <w:r w:rsidRPr="00C83F6F">
        <w:rPr>
          <w:sz w:val="20"/>
          <w:szCs w:val="20"/>
        </w:rPr>
        <w:t>Natural Resources and Environmental</w:t>
      </w:r>
      <w:r w:rsidR="00566BC2">
        <w:rPr>
          <w:sz w:val="20"/>
          <w:szCs w:val="20"/>
        </w:rPr>
        <w:t>.</w:t>
      </w:r>
      <w:r w:rsidRPr="00C83F6F">
        <w:rPr>
          <w:sz w:val="20"/>
          <w:szCs w:val="20"/>
        </w:rPr>
        <w:t xml:space="preserve"> Vol</w:t>
      </w:r>
      <w:r w:rsidR="00566BC2">
        <w:rPr>
          <w:sz w:val="20"/>
          <w:szCs w:val="20"/>
        </w:rPr>
        <w:t>ume</w:t>
      </w:r>
      <w:r w:rsidRPr="00C83F6F">
        <w:rPr>
          <w:sz w:val="20"/>
          <w:szCs w:val="20"/>
        </w:rPr>
        <w:t xml:space="preserve"> 29 No</w:t>
      </w:r>
      <w:r w:rsidR="00566BC2">
        <w:rPr>
          <w:sz w:val="20"/>
          <w:szCs w:val="20"/>
        </w:rPr>
        <w:t>mor</w:t>
      </w:r>
      <w:r w:rsidRPr="00C83F6F">
        <w:rPr>
          <w:sz w:val="20"/>
          <w:szCs w:val="20"/>
        </w:rPr>
        <w:t xml:space="preserve"> 3</w:t>
      </w:r>
      <w:r w:rsidRPr="00EC0B5B">
        <w:rPr>
          <w:sz w:val="20"/>
          <w:szCs w:val="20"/>
        </w:rPr>
        <w:t xml:space="preserve"> Winter 2015,</w:t>
      </w:r>
      <w:r w:rsidRPr="00C83F6F">
        <w:rPr>
          <w:sz w:val="20"/>
          <w:szCs w:val="20"/>
        </w:rPr>
        <w:t xml:space="preserve"> </w:t>
      </w:r>
      <w:r w:rsidRPr="00EC0B5B">
        <w:rPr>
          <w:sz w:val="20"/>
          <w:szCs w:val="20"/>
        </w:rPr>
        <w:t>h</w:t>
      </w:r>
      <w:r w:rsidR="00566BC2">
        <w:rPr>
          <w:sz w:val="20"/>
          <w:szCs w:val="20"/>
        </w:rPr>
        <w:t>.</w:t>
      </w:r>
      <w:r w:rsidRPr="00EC0B5B">
        <w:rPr>
          <w:sz w:val="20"/>
          <w:szCs w:val="20"/>
        </w:rPr>
        <w:t xml:space="preserve"> 16.</w:t>
      </w:r>
    </w:p>
  </w:footnote>
  <w:footnote w:id="47">
    <w:p w14:paraId="3A615AA9" w14:textId="19D41AD0" w:rsidR="00416CC1" w:rsidRPr="00340F4F" w:rsidRDefault="00416CC1" w:rsidP="009A3B69">
      <w:pPr>
        <w:widowControl w:val="0"/>
        <w:autoSpaceDE w:val="0"/>
        <w:autoSpaceDN w:val="0"/>
        <w:adjustRightInd w:val="0"/>
        <w:ind w:firstLine="720"/>
        <w:jc w:val="both"/>
        <w:rPr>
          <w:color w:val="000000" w:themeColor="text1"/>
          <w:sz w:val="20"/>
          <w:szCs w:val="20"/>
        </w:rPr>
      </w:pPr>
      <w:r w:rsidRPr="00340F4F">
        <w:rPr>
          <w:rStyle w:val="FootnoteReference"/>
          <w:color w:val="000000" w:themeColor="text1"/>
          <w:sz w:val="20"/>
          <w:szCs w:val="20"/>
        </w:rPr>
        <w:footnoteRef/>
      </w:r>
      <w:r w:rsidRPr="00340F4F">
        <w:rPr>
          <w:color w:val="000000" w:themeColor="text1"/>
          <w:sz w:val="20"/>
          <w:szCs w:val="20"/>
        </w:rPr>
        <w:t xml:space="preserve"> Hal ini dikemukakan oleh Syahrul Mahmud dalam bukunya Penegakan Hukum Lingkungan Indonesia sebagaimana dikutip dalam jurnal </w:t>
      </w:r>
      <w:r w:rsidR="00974528" w:rsidRPr="00340F4F">
        <w:rPr>
          <w:color w:val="000000" w:themeColor="text1"/>
          <w:sz w:val="20"/>
          <w:szCs w:val="20"/>
        </w:rPr>
        <w:t>Muzzakir Abubakar</w:t>
      </w:r>
      <w:r w:rsidR="00974528">
        <w:rPr>
          <w:color w:val="000000" w:themeColor="text1"/>
          <w:sz w:val="20"/>
          <w:szCs w:val="20"/>
        </w:rPr>
        <w:t>.</w:t>
      </w:r>
      <w:r w:rsidR="00974528" w:rsidRPr="00340F4F">
        <w:rPr>
          <w:color w:val="000000" w:themeColor="text1"/>
          <w:sz w:val="20"/>
          <w:szCs w:val="20"/>
        </w:rPr>
        <w:t xml:space="preserve"> </w:t>
      </w:r>
      <w:r w:rsidR="00974528" w:rsidRPr="00CE66CD">
        <w:rPr>
          <w:i/>
          <w:color w:val="000000" w:themeColor="text1"/>
          <w:sz w:val="20"/>
          <w:szCs w:val="20"/>
        </w:rPr>
        <w:t>Hak Mengajukan Gugatan dalam Sengketa Lingkungan Hidup</w:t>
      </w:r>
      <w:r w:rsidR="00974528" w:rsidRPr="00340F4F">
        <w:rPr>
          <w:color w:val="000000" w:themeColor="text1"/>
          <w:sz w:val="20"/>
          <w:szCs w:val="20"/>
        </w:rPr>
        <w:t xml:space="preserve">, </w:t>
      </w:r>
      <w:r w:rsidR="00974528" w:rsidRPr="00CE66CD">
        <w:rPr>
          <w:color w:val="000000" w:themeColor="text1"/>
          <w:sz w:val="20"/>
          <w:szCs w:val="20"/>
        </w:rPr>
        <w:t>Kanun Jurnal Ilmu Hukum, Vol</w:t>
      </w:r>
      <w:r w:rsidR="00974528">
        <w:rPr>
          <w:color w:val="000000" w:themeColor="text1"/>
          <w:sz w:val="20"/>
          <w:szCs w:val="20"/>
        </w:rPr>
        <w:t>ume</w:t>
      </w:r>
      <w:r w:rsidR="00974528" w:rsidRPr="00CE66CD">
        <w:rPr>
          <w:color w:val="000000" w:themeColor="text1"/>
          <w:sz w:val="20"/>
          <w:szCs w:val="20"/>
        </w:rPr>
        <w:t xml:space="preserve"> 1 No</w:t>
      </w:r>
      <w:r w:rsidR="00974528">
        <w:rPr>
          <w:color w:val="000000" w:themeColor="text1"/>
          <w:sz w:val="20"/>
          <w:szCs w:val="20"/>
        </w:rPr>
        <w:t>mor</w:t>
      </w:r>
      <w:r w:rsidR="00974528" w:rsidRPr="00CE66CD">
        <w:rPr>
          <w:color w:val="000000" w:themeColor="text1"/>
          <w:sz w:val="20"/>
          <w:szCs w:val="20"/>
        </w:rPr>
        <w:t xml:space="preserve"> 1</w:t>
      </w:r>
      <w:r w:rsidR="00974528">
        <w:rPr>
          <w:color w:val="000000" w:themeColor="text1"/>
          <w:sz w:val="20"/>
          <w:szCs w:val="20"/>
        </w:rPr>
        <w:t xml:space="preserve"> </w:t>
      </w:r>
      <w:r w:rsidR="00974528" w:rsidRPr="002E3054">
        <w:rPr>
          <w:color w:val="000000" w:themeColor="text1"/>
          <w:sz w:val="20"/>
          <w:szCs w:val="20"/>
        </w:rPr>
        <w:t>April 2019</w:t>
      </w:r>
      <w:r w:rsidR="00974528">
        <w:rPr>
          <w:color w:val="000000" w:themeColor="text1"/>
          <w:sz w:val="20"/>
          <w:szCs w:val="20"/>
        </w:rPr>
        <w:t>. h.</w:t>
      </w:r>
      <w:r w:rsidR="00974528" w:rsidRPr="005D1629">
        <w:rPr>
          <w:color w:val="000000" w:themeColor="text1"/>
          <w:sz w:val="20"/>
          <w:szCs w:val="20"/>
        </w:rPr>
        <w:t xml:space="preserve"> </w:t>
      </w:r>
      <w:r w:rsidRPr="00340F4F">
        <w:rPr>
          <w:color w:val="000000" w:themeColor="text1"/>
          <w:sz w:val="20"/>
          <w:szCs w:val="20"/>
        </w:rPr>
        <w:t>105.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041E"/>
    <w:multiLevelType w:val="hybridMultilevel"/>
    <w:tmpl w:val="5796848E"/>
    <w:lvl w:ilvl="0" w:tplc="CF8488E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691184"/>
    <w:multiLevelType w:val="hybridMultilevel"/>
    <w:tmpl w:val="82126638"/>
    <w:lvl w:ilvl="0" w:tplc="F322192E">
      <w:start w:val="2"/>
      <w:numFmt w:val="bullet"/>
      <w:lvlText w:val="w"/>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A0EAE"/>
    <w:multiLevelType w:val="hybridMultilevel"/>
    <w:tmpl w:val="98B00162"/>
    <w:lvl w:ilvl="0" w:tplc="F90A88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3D7267"/>
    <w:multiLevelType w:val="hybridMultilevel"/>
    <w:tmpl w:val="9396637C"/>
    <w:lvl w:ilvl="0" w:tplc="E334B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680C7A"/>
    <w:multiLevelType w:val="hybridMultilevel"/>
    <w:tmpl w:val="6ADAA136"/>
    <w:lvl w:ilvl="0" w:tplc="F45AC72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2867D40"/>
    <w:multiLevelType w:val="hybridMultilevel"/>
    <w:tmpl w:val="83ACEC78"/>
    <w:lvl w:ilvl="0" w:tplc="33EEB1FC">
      <w:start w:val="1"/>
      <w:numFmt w:val="bullet"/>
      <w:lvlText w:val="-"/>
      <w:lvlJc w:val="left"/>
      <w:pPr>
        <w:ind w:left="2750" w:hanging="360"/>
      </w:pPr>
      <w:rPr>
        <w:rFonts w:ascii="Times New Roman" w:eastAsia="Times New Roman" w:hAnsi="Times New Roman" w:cs="Times New Roman" w:hint="default"/>
      </w:rPr>
    </w:lvl>
    <w:lvl w:ilvl="1" w:tplc="04090003" w:tentative="1">
      <w:start w:val="1"/>
      <w:numFmt w:val="bullet"/>
      <w:lvlText w:val="o"/>
      <w:lvlJc w:val="left"/>
      <w:pPr>
        <w:ind w:left="3470" w:hanging="360"/>
      </w:pPr>
      <w:rPr>
        <w:rFonts w:ascii="Courier New" w:hAnsi="Courier New" w:cs="Courier New" w:hint="default"/>
      </w:rPr>
    </w:lvl>
    <w:lvl w:ilvl="2" w:tplc="04090005" w:tentative="1">
      <w:start w:val="1"/>
      <w:numFmt w:val="bullet"/>
      <w:lvlText w:val=""/>
      <w:lvlJc w:val="left"/>
      <w:pPr>
        <w:ind w:left="4190" w:hanging="360"/>
      </w:pPr>
      <w:rPr>
        <w:rFonts w:ascii="Wingdings" w:hAnsi="Wingdings" w:hint="default"/>
      </w:rPr>
    </w:lvl>
    <w:lvl w:ilvl="3" w:tplc="04090001" w:tentative="1">
      <w:start w:val="1"/>
      <w:numFmt w:val="bullet"/>
      <w:lvlText w:val=""/>
      <w:lvlJc w:val="left"/>
      <w:pPr>
        <w:ind w:left="4910" w:hanging="360"/>
      </w:pPr>
      <w:rPr>
        <w:rFonts w:ascii="Symbol" w:hAnsi="Symbol" w:hint="default"/>
      </w:rPr>
    </w:lvl>
    <w:lvl w:ilvl="4" w:tplc="04090003" w:tentative="1">
      <w:start w:val="1"/>
      <w:numFmt w:val="bullet"/>
      <w:lvlText w:val="o"/>
      <w:lvlJc w:val="left"/>
      <w:pPr>
        <w:ind w:left="5630" w:hanging="360"/>
      </w:pPr>
      <w:rPr>
        <w:rFonts w:ascii="Courier New" w:hAnsi="Courier New" w:cs="Courier New" w:hint="default"/>
      </w:rPr>
    </w:lvl>
    <w:lvl w:ilvl="5" w:tplc="04090005" w:tentative="1">
      <w:start w:val="1"/>
      <w:numFmt w:val="bullet"/>
      <w:lvlText w:val=""/>
      <w:lvlJc w:val="left"/>
      <w:pPr>
        <w:ind w:left="6350" w:hanging="360"/>
      </w:pPr>
      <w:rPr>
        <w:rFonts w:ascii="Wingdings" w:hAnsi="Wingdings" w:hint="default"/>
      </w:rPr>
    </w:lvl>
    <w:lvl w:ilvl="6" w:tplc="04090001" w:tentative="1">
      <w:start w:val="1"/>
      <w:numFmt w:val="bullet"/>
      <w:lvlText w:val=""/>
      <w:lvlJc w:val="left"/>
      <w:pPr>
        <w:ind w:left="7070" w:hanging="360"/>
      </w:pPr>
      <w:rPr>
        <w:rFonts w:ascii="Symbol" w:hAnsi="Symbol" w:hint="default"/>
      </w:rPr>
    </w:lvl>
    <w:lvl w:ilvl="7" w:tplc="04090003" w:tentative="1">
      <w:start w:val="1"/>
      <w:numFmt w:val="bullet"/>
      <w:lvlText w:val="o"/>
      <w:lvlJc w:val="left"/>
      <w:pPr>
        <w:ind w:left="7790" w:hanging="360"/>
      </w:pPr>
      <w:rPr>
        <w:rFonts w:ascii="Courier New" w:hAnsi="Courier New" w:cs="Courier New" w:hint="default"/>
      </w:rPr>
    </w:lvl>
    <w:lvl w:ilvl="8" w:tplc="04090005" w:tentative="1">
      <w:start w:val="1"/>
      <w:numFmt w:val="bullet"/>
      <w:lvlText w:val=""/>
      <w:lvlJc w:val="left"/>
      <w:pPr>
        <w:ind w:left="8510" w:hanging="360"/>
      </w:pPr>
      <w:rPr>
        <w:rFonts w:ascii="Wingdings" w:hAnsi="Wingdings" w:hint="default"/>
      </w:rPr>
    </w:lvl>
  </w:abstractNum>
  <w:abstractNum w:abstractNumId="6">
    <w:nsid w:val="37493C2F"/>
    <w:multiLevelType w:val="hybridMultilevel"/>
    <w:tmpl w:val="A4748A34"/>
    <w:lvl w:ilvl="0" w:tplc="5DD41058">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89A24C3"/>
    <w:multiLevelType w:val="hybridMultilevel"/>
    <w:tmpl w:val="669CC808"/>
    <w:lvl w:ilvl="0" w:tplc="5DAA96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62D5CED"/>
    <w:multiLevelType w:val="hybridMultilevel"/>
    <w:tmpl w:val="3084838A"/>
    <w:lvl w:ilvl="0" w:tplc="08E221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C61169"/>
    <w:multiLevelType w:val="hybridMultilevel"/>
    <w:tmpl w:val="1034162A"/>
    <w:lvl w:ilvl="0" w:tplc="99361B6A">
      <w:start w:val="2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3AC435E"/>
    <w:multiLevelType w:val="hybridMultilevel"/>
    <w:tmpl w:val="D95A07E8"/>
    <w:lvl w:ilvl="0" w:tplc="3C9ED5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44A3A5C"/>
    <w:multiLevelType w:val="hybridMultilevel"/>
    <w:tmpl w:val="83946866"/>
    <w:lvl w:ilvl="0" w:tplc="866E987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6BA3756"/>
    <w:multiLevelType w:val="hybridMultilevel"/>
    <w:tmpl w:val="809658D8"/>
    <w:lvl w:ilvl="0" w:tplc="A230BD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979089B"/>
    <w:multiLevelType w:val="hybridMultilevel"/>
    <w:tmpl w:val="171CF964"/>
    <w:lvl w:ilvl="0" w:tplc="B5FCFE58">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44647"/>
    <w:multiLevelType w:val="hybridMultilevel"/>
    <w:tmpl w:val="5C549D50"/>
    <w:lvl w:ilvl="0" w:tplc="595448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3"/>
  </w:num>
  <w:num w:numId="3">
    <w:abstractNumId w:val="7"/>
  </w:num>
  <w:num w:numId="4">
    <w:abstractNumId w:val="14"/>
  </w:num>
  <w:num w:numId="5">
    <w:abstractNumId w:val="10"/>
  </w:num>
  <w:num w:numId="6">
    <w:abstractNumId w:val="5"/>
  </w:num>
  <w:num w:numId="7">
    <w:abstractNumId w:val="4"/>
  </w:num>
  <w:num w:numId="8">
    <w:abstractNumId w:val="2"/>
  </w:num>
  <w:num w:numId="9">
    <w:abstractNumId w:val="0"/>
  </w:num>
  <w:num w:numId="10">
    <w:abstractNumId w:val="6"/>
  </w:num>
  <w:num w:numId="11">
    <w:abstractNumId w:val="11"/>
  </w:num>
  <w:num w:numId="12">
    <w:abstractNumId w:val="12"/>
  </w:num>
  <w:num w:numId="13">
    <w:abstractNumId w:val="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37"/>
    <w:rsid w:val="00010D77"/>
    <w:rsid w:val="00024698"/>
    <w:rsid w:val="00024B98"/>
    <w:rsid w:val="00036197"/>
    <w:rsid w:val="00042E69"/>
    <w:rsid w:val="00054DC5"/>
    <w:rsid w:val="00086E2C"/>
    <w:rsid w:val="000C5E45"/>
    <w:rsid w:val="000D7E32"/>
    <w:rsid w:val="000E5AD5"/>
    <w:rsid w:val="000F457D"/>
    <w:rsid w:val="00101393"/>
    <w:rsid w:val="00140DCC"/>
    <w:rsid w:val="001470C3"/>
    <w:rsid w:val="00164934"/>
    <w:rsid w:val="00166B53"/>
    <w:rsid w:val="001776A8"/>
    <w:rsid w:val="00186363"/>
    <w:rsid w:val="001A1A86"/>
    <w:rsid w:val="001A2A36"/>
    <w:rsid w:val="001A40F7"/>
    <w:rsid w:val="001C1CD4"/>
    <w:rsid w:val="001D76CF"/>
    <w:rsid w:val="001E6B89"/>
    <w:rsid w:val="001F7AF6"/>
    <w:rsid w:val="002021A1"/>
    <w:rsid w:val="0020711D"/>
    <w:rsid w:val="0022179C"/>
    <w:rsid w:val="00223C42"/>
    <w:rsid w:val="002330B1"/>
    <w:rsid w:val="002353DD"/>
    <w:rsid w:val="0024040D"/>
    <w:rsid w:val="00244EC3"/>
    <w:rsid w:val="002474A5"/>
    <w:rsid w:val="00255BA3"/>
    <w:rsid w:val="002B7EE7"/>
    <w:rsid w:val="002C6E71"/>
    <w:rsid w:val="002D2C92"/>
    <w:rsid w:val="002D4147"/>
    <w:rsid w:val="002E3054"/>
    <w:rsid w:val="0032116A"/>
    <w:rsid w:val="00335813"/>
    <w:rsid w:val="00336F5D"/>
    <w:rsid w:val="00340F33"/>
    <w:rsid w:val="00340F4F"/>
    <w:rsid w:val="00341201"/>
    <w:rsid w:val="00355740"/>
    <w:rsid w:val="00364EB8"/>
    <w:rsid w:val="003718CC"/>
    <w:rsid w:val="00384A0B"/>
    <w:rsid w:val="00394781"/>
    <w:rsid w:val="003A1D5F"/>
    <w:rsid w:val="003B15E7"/>
    <w:rsid w:val="003B46B8"/>
    <w:rsid w:val="003D6B5D"/>
    <w:rsid w:val="003E4BB2"/>
    <w:rsid w:val="003F7619"/>
    <w:rsid w:val="004110C7"/>
    <w:rsid w:val="00415500"/>
    <w:rsid w:val="00416CC1"/>
    <w:rsid w:val="004334B6"/>
    <w:rsid w:val="00435BFE"/>
    <w:rsid w:val="00444274"/>
    <w:rsid w:val="00454C8D"/>
    <w:rsid w:val="00466DDC"/>
    <w:rsid w:val="00476DD7"/>
    <w:rsid w:val="00480688"/>
    <w:rsid w:val="00480985"/>
    <w:rsid w:val="00484C53"/>
    <w:rsid w:val="00492E86"/>
    <w:rsid w:val="004C1F22"/>
    <w:rsid w:val="004E0E10"/>
    <w:rsid w:val="005022E4"/>
    <w:rsid w:val="005079ED"/>
    <w:rsid w:val="005135A2"/>
    <w:rsid w:val="00514946"/>
    <w:rsid w:val="0052268E"/>
    <w:rsid w:val="0053200E"/>
    <w:rsid w:val="00534EEA"/>
    <w:rsid w:val="0056553D"/>
    <w:rsid w:val="00566BC2"/>
    <w:rsid w:val="00567A10"/>
    <w:rsid w:val="00581F1E"/>
    <w:rsid w:val="00592C4E"/>
    <w:rsid w:val="00595BCB"/>
    <w:rsid w:val="005A7459"/>
    <w:rsid w:val="005B2C38"/>
    <w:rsid w:val="005B6958"/>
    <w:rsid w:val="005C7496"/>
    <w:rsid w:val="005D1629"/>
    <w:rsid w:val="005D30B5"/>
    <w:rsid w:val="005D79D5"/>
    <w:rsid w:val="005E51D5"/>
    <w:rsid w:val="0060084A"/>
    <w:rsid w:val="00610090"/>
    <w:rsid w:val="006100F7"/>
    <w:rsid w:val="006305F1"/>
    <w:rsid w:val="00650C29"/>
    <w:rsid w:val="0065235C"/>
    <w:rsid w:val="006614AF"/>
    <w:rsid w:val="00663416"/>
    <w:rsid w:val="00677BAB"/>
    <w:rsid w:val="006825DE"/>
    <w:rsid w:val="00684A2F"/>
    <w:rsid w:val="00696CA9"/>
    <w:rsid w:val="006A183F"/>
    <w:rsid w:val="006B6DD3"/>
    <w:rsid w:val="006C23C7"/>
    <w:rsid w:val="006D0D09"/>
    <w:rsid w:val="006D4D9E"/>
    <w:rsid w:val="006D5B74"/>
    <w:rsid w:val="006D603A"/>
    <w:rsid w:val="006E5728"/>
    <w:rsid w:val="006E77E6"/>
    <w:rsid w:val="006F0454"/>
    <w:rsid w:val="006F0DF4"/>
    <w:rsid w:val="00704381"/>
    <w:rsid w:val="007218D2"/>
    <w:rsid w:val="0072296C"/>
    <w:rsid w:val="007341DE"/>
    <w:rsid w:val="007435BF"/>
    <w:rsid w:val="00746877"/>
    <w:rsid w:val="00750E5D"/>
    <w:rsid w:val="007542DC"/>
    <w:rsid w:val="0076696F"/>
    <w:rsid w:val="00773CE1"/>
    <w:rsid w:val="0077604A"/>
    <w:rsid w:val="00777A5F"/>
    <w:rsid w:val="00783124"/>
    <w:rsid w:val="007949A8"/>
    <w:rsid w:val="00795379"/>
    <w:rsid w:val="0079682F"/>
    <w:rsid w:val="007C6ADB"/>
    <w:rsid w:val="007D1807"/>
    <w:rsid w:val="007D7D19"/>
    <w:rsid w:val="007F0A1A"/>
    <w:rsid w:val="008141A6"/>
    <w:rsid w:val="0081776B"/>
    <w:rsid w:val="00825C79"/>
    <w:rsid w:val="008303A6"/>
    <w:rsid w:val="0085358C"/>
    <w:rsid w:val="008647A5"/>
    <w:rsid w:val="008658AF"/>
    <w:rsid w:val="00883615"/>
    <w:rsid w:val="008842E1"/>
    <w:rsid w:val="008B20EE"/>
    <w:rsid w:val="008C4A8E"/>
    <w:rsid w:val="008C6CC8"/>
    <w:rsid w:val="008D0C4C"/>
    <w:rsid w:val="008D36CE"/>
    <w:rsid w:val="008D41E4"/>
    <w:rsid w:val="008F0E67"/>
    <w:rsid w:val="008F4474"/>
    <w:rsid w:val="008F494F"/>
    <w:rsid w:val="00914F32"/>
    <w:rsid w:val="0092054C"/>
    <w:rsid w:val="009241A2"/>
    <w:rsid w:val="00924311"/>
    <w:rsid w:val="00925500"/>
    <w:rsid w:val="00925D08"/>
    <w:rsid w:val="009273CE"/>
    <w:rsid w:val="009308C9"/>
    <w:rsid w:val="009349FA"/>
    <w:rsid w:val="00941F25"/>
    <w:rsid w:val="00947A76"/>
    <w:rsid w:val="00951429"/>
    <w:rsid w:val="00952AA9"/>
    <w:rsid w:val="00955132"/>
    <w:rsid w:val="00956DA6"/>
    <w:rsid w:val="00957E78"/>
    <w:rsid w:val="009614E9"/>
    <w:rsid w:val="00962E48"/>
    <w:rsid w:val="009633D4"/>
    <w:rsid w:val="00966C48"/>
    <w:rsid w:val="00966F25"/>
    <w:rsid w:val="00974528"/>
    <w:rsid w:val="00980FC0"/>
    <w:rsid w:val="009A3B69"/>
    <w:rsid w:val="009A6C4E"/>
    <w:rsid w:val="009D7783"/>
    <w:rsid w:val="009E01C7"/>
    <w:rsid w:val="009E7124"/>
    <w:rsid w:val="009F694B"/>
    <w:rsid w:val="00A00001"/>
    <w:rsid w:val="00A1008A"/>
    <w:rsid w:val="00A110F5"/>
    <w:rsid w:val="00A1314F"/>
    <w:rsid w:val="00A13F91"/>
    <w:rsid w:val="00A205F8"/>
    <w:rsid w:val="00A2291C"/>
    <w:rsid w:val="00A41F32"/>
    <w:rsid w:val="00A73323"/>
    <w:rsid w:val="00A840E5"/>
    <w:rsid w:val="00AA0CE4"/>
    <w:rsid w:val="00AD3835"/>
    <w:rsid w:val="00AD59D6"/>
    <w:rsid w:val="00AF1D48"/>
    <w:rsid w:val="00AF7AD7"/>
    <w:rsid w:val="00B014DA"/>
    <w:rsid w:val="00B06858"/>
    <w:rsid w:val="00B172FA"/>
    <w:rsid w:val="00B42F67"/>
    <w:rsid w:val="00B4729A"/>
    <w:rsid w:val="00B4795F"/>
    <w:rsid w:val="00B51253"/>
    <w:rsid w:val="00B622C1"/>
    <w:rsid w:val="00B733C4"/>
    <w:rsid w:val="00B81069"/>
    <w:rsid w:val="00B9076C"/>
    <w:rsid w:val="00BA2F09"/>
    <w:rsid w:val="00BC5726"/>
    <w:rsid w:val="00BD1EAE"/>
    <w:rsid w:val="00BE111C"/>
    <w:rsid w:val="00BE2633"/>
    <w:rsid w:val="00BE6E96"/>
    <w:rsid w:val="00BF2B91"/>
    <w:rsid w:val="00BF31BA"/>
    <w:rsid w:val="00C0608A"/>
    <w:rsid w:val="00C113ED"/>
    <w:rsid w:val="00C23220"/>
    <w:rsid w:val="00C26A88"/>
    <w:rsid w:val="00C4361A"/>
    <w:rsid w:val="00C64C4F"/>
    <w:rsid w:val="00C83F6F"/>
    <w:rsid w:val="00C94C61"/>
    <w:rsid w:val="00CA46DE"/>
    <w:rsid w:val="00CD5014"/>
    <w:rsid w:val="00CD640F"/>
    <w:rsid w:val="00CE3C05"/>
    <w:rsid w:val="00CF2AAC"/>
    <w:rsid w:val="00D04722"/>
    <w:rsid w:val="00D078DD"/>
    <w:rsid w:val="00D23D71"/>
    <w:rsid w:val="00D2696B"/>
    <w:rsid w:val="00D2739E"/>
    <w:rsid w:val="00D34B83"/>
    <w:rsid w:val="00D43395"/>
    <w:rsid w:val="00D50EE6"/>
    <w:rsid w:val="00D519A0"/>
    <w:rsid w:val="00D72BE1"/>
    <w:rsid w:val="00D801C6"/>
    <w:rsid w:val="00D81BEA"/>
    <w:rsid w:val="00D832AB"/>
    <w:rsid w:val="00D874DB"/>
    <w:rsid w:val="00DA4B37"/>
    <w:rsid w:val="00DA4F69"/>
    <w:rsid w:val="00DF090F"/>
    <w:rsid w:val="00E048B0"/>
    <w:rsid w:val="00E07A47"/>
    <w:rsid w:val="00E12583"/>
    <w:rsid w:val="00E20B01"/>
    <w:rsid w:val="00E21874"/>
    <w:rsid w:val="00E42603"/>
    <w:rsid w:val="00E72B21"/>
    <w:rsid w:val="00E92F32"/>
    <w:rsid w:val="00E92F77"/>
    <w:rsid w:val="00EA6326"/>
    <w:rsid w:val="00EB5046"/>
    <w:rsid w:val="00EC0B5B"/>
    <w:rsid w:val="00EE07DB"/>
    <w:rsid w:val="00EE1943"/>
    <w:rsid w:val="00F26B49"/>
    <w:rsid w:val="00F31576"/>
    <w:rsid w:val="00F31719"/>
    <w:rsid w:val="00F35409"/>
    <w:rsid w:val="00F40F3E"/>
    <w:rsid w:val="00F5384A"/>
    <w:rsid w:val="00F5722C"/>
    <w:rsid w:val="00F57B2A"/>
    <w:rsid w:val="00F62DED"/>
    <w:rsid w:val="00F670F4"/>
    <w:rsid w:val="00F8149D"/>
    <w:rsid w:val="00F95554"/>
    <w:rsid w:val="00FA043B"/>
    <w:rsid w:val="00FA3ED8"/>
    <w:rsid w:val="00FA4522"/>
    <w:rsid w:val="00FB24F3"/>
    <w:rsid w:val="00FC1D95"/>
    <w:rsid w:val="00FC316C"/>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86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13"/>
    <w:rPr>
      <w:rFonts w:ascii="Times New Roman" w:hAnsi="Times New Roman" w:cs="Times New Roman"/>
    </w:rPr>
  </w:style>
  <w:style w:type="paragraph" w:styleId="Heading1">
    <w:name w:val="heading 1"/>
    <w:basedOn w:val="Normal"/>
    <w:link w:val="Heading1Char"/>
    <w:uiPriority w:val="9"/>
    <w:qFormat/>
    <w:rsid w:val="0033581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3C4"/>
    <w:pPr>
      <w:ind w:left="720"/>
      <w:contextualSpacing/>
    </w:pPr>
    <w:rPr>
      <w:rFonts w:asciiTheme="minorHAnsi" w:hAnsiTheme="minorHAnsi" w:cstheme="minorBidi"/>
    </w:rPr>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 Char"/>
    <w:basedOn w:val="Normal"/>
    <w:link w:val="FootnoteTextChar"/>
    <w:unhideWhenUsed/>
    <w:rsid w:val="00FF329E"/>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rsid w:val="00FF329E"/>
    <w:rPr>
      <w:rFonts w:ascii="Times New Roman" w:hAnsi="Times New Roman" w:cs="Times New Roman"/>
    </w:rPr>
  </w:style>
  <w:style w:type="character" w:styleId="FootnoteReference">
    <w:name w:val="footnote reference"/>
    <w:basedOn w:val="DefaultParagraphFont"/>
    <w:unhideWhenUsed/>
    <w:rsid w:val="00FF329E"/>
    <w:rPr>
      <w:vertAlign w:val="superscript"/>
    </w:rPr>
  </w:style>
  <w:style w:type="character" w:styleId="Hyperlink">
    <w:name w:val="Hyperlink"/>
    <w:basedOn w:val="DefaultParagraphFont"/>
    <w:uiPriority w:val="99"/>
    <w:unhideWhenUsed/>
    <w:rsid w:val="008303A6"/>
    <w:rPr>
      <w:color w:val="0563C1" w:themeColor="hyperlink"/>
      <w:u w:val="single"/>
    </w:rPr>
  </w:style>
  <w:style w:type="paragraph" w:styleId="Header">
    <w:name w:val="header"/>
    <w:basedOn w:val="Normal"/>
    <w:link w:val="HeaderChar"/>
    <w:uiPriority w:val="99"/>
    <w:unhideWhenUsed/>
    <w:rsid w:val="004C1F2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4C1F22"/>
  </w:style>
  <w:style w:type="paragraph" w:styleId="Footer">
    <w:name w:val="footer"/>
    <w:basedOn w:val="Normal"/>
    <w:link w:val="FooterChar"/>
    <w:uiPriority w:val="99"/>
    <w:unhideWhenUsed/>
    <w:rsid w:val="004C1F2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4C1F22"/>
  </w:style>
  <w:style w:type="table" w:styleId="TableGrid">
    <w:name w:val="Table Grid"/>
    <w:basedOn w:val="TableNormal"/>
    <w:uiPriority w:val="39"/>
    <w:rsid w:val="00FA4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peau">
    <w:name w:val="chapeau"/>
    <w:basedOn w:val="DefaultParagraphFont"/>
    <w:rsid w:val="00335813"/>
  </w:style>
  <w:style w:type="character" w:customStyle="1" w:styleId="num">
    <w:name w:val="num"/>
    <w:basedOn w:val="DefaultParagraphFont"/>
    <w:rsid w:val="00335813"/>
  </w:style>
  <w:style w:type="character" w:customStyle="1" w:styleId="Heading1Char">
    <w:name w:val="Heading 1 Char"/>
    <w:basedOn w:val="DefaultParagraphFont"/>
    <w:link w:val="Heading1"/>
    <w:uiPriority w:val="9"/>
    <w:rsid w:val="00335813"/>
    <w:rPr>
      <w:rFonts w:ascii="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DA4F69"/>
    <w:rPr>
      <w:color w:val="954F72" w:themeColor="followedHyperlink"/>
      <w:u w:val="single"/>
    </w:rPr>
  </w:style>
  <w:style w:type="paragraph" w:styleId="BalloonText">
    <w:name w:val="Balloon Text"/>
    <w:basedOn w:val="Normal"/>
    <w:link w:val="BalloonTextChar"/>
    <w:uiPriority w:val="99"/>
    <w:semiHidden/>
    <w:unhideWhenUsed/>
    <w:rsid w:val="006F0DF4"/>
    <w:rPr>
      <w:sz w:val="18"/>
      <w:szCs w:val="18"/>
    </w:rPr>
  </w:style>
  <w:style w:type="character" w:customStyle="1" w:styleId="BalloonTextChar">
    <w:name w:val="Balloon Text Char"/>
    <w:basedOn w:val="DefaultParagraphFont"/>
    <w:link w:val="BalloonText"/>
    <w:uiPriority w:val="99"/>
    <w:semiHidden/>
    <w:rsid w:val="006F0DF4"/>
    <w:rPr>
      <w:rFonts w:ascii="Times New Roman" w:hAnsi="Times New Roman" w:cs="Times New Roman"/>
      <w:sz w:val="18"/>
      <w:szCs w:val="18"/>
    </w:rPr>
  </w:style>
  <w:style w:type="paragraph" w:styleId="Revision">
    <w:name w:val="Revision"/>
    <w:hidden/>
    <w:uiPriority w:val="99"/>
    <w:semiHidden/>
    <w:rsid w:val="00566B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2064">
      <w:bodyDiv w:val="1"/>
      <w:marLeft w:val="0"/>
      <w:marRight w:val="0"/>
      <w:marTop w:val="0"/>
      <w:marBottom w:val="0"/>
      <w:divBdr>
        <w:top w:val="none" w:sz="0" w:space="0" w:color="auto"/>
        <w:left w:val="none" w:sz="0" w:space="0" w:color="auto"/>
        <w:bottom w:val="none" w:sz="0" w:space="0" w:color="auto"/>
        <w:right w:val="none" w:sz="0" w:space="0" w:color="auto"/>
      </w:divBdr>
    </w:div>
    <w:div w:id="208877658">
      <w:bodyDiv w:val="1"/>
      <w:marLeft w:val="0"/>
      <w:marRight w:val="0"/>
      <w:marTop w:val="0"/>
      <w:marBottom w:val="0"/>
      <w:divBdr>
        <w:top w:val="none" w:sz="0" w:space="0" w:color="auto"/>
        <w:left w:val="none" w:sz="0" w:space="0" w:color="auto"/>
        <w:bottom w:val="none" w:sz="0" w:space="0" w:color="auto"/>
        <w:right w:val="none" w:sz="0" w:space="0" w:color="auto"/>
      </w:divBdr>
    </w:div>
    <w:div w:id="364716487">
      <w:bodyDiv w:val="1"/>
      <w:marLeft w:val="0"/>
      <w:marRight w:val="0"/>
      <w:marTop w:val="0"/>
      <w:marBottom w:val="0"/>
      <w:divBdr>
        <w:top w:val="none" w:sz="0" w:space="0" w:color="auto"/>
        <w:left w:val="none" w:sz="0" w:space="0" w:color="auto"/>
        <w:bottom w:val="none" w:sz="0" w:space="0" w:color="auto"/>
        <w:right w:val="none" w:sz="0" w:space="0" w:color="auto"/>
      </w:divBdr>
    </w:div>
    <w:div w:id="461122151">
      <w:bodyDiv w:val="1"/>
      <w:marLeft w:val="0"/>
      <w:marRight w:val="0"/>
      <w:marTop w:val="0"/>
      <w:marBottom w:val="0"/>
      <w:divBdr>
        <w:top w:val="none" w:sz="0" w:space="0" w:color="auto"/>
        <w:left w:val="none" w:sz="0" w:space="0" w:color="auto"/>
        <w:bottom w:val="none" w:sz="0" w:space="0" w:color="auto"/>
        <w:right w:val="none" w:sz="0" w:space="0" w:color="auto"/>
      </w:divBdr>
    </w:div>
    <w:div w:id="722875944">
      <w:bodyDiv w:val="1"/>
      <w:marLeft w:val="0"/>
      <w:marRight w:val="0"/>
      <w:marTop w:val="0"/>
      <w:marBottom w:val="0"/>
      <w:divBdr>
        <w:top w:val="none" w:sz="0" w:space="0" w:color="auto"/>
        <w:left w:val="none" w:sz="0" w:space="0" w:color="auto"/>
        <w:bottom w:val="none" w:sz="0" w:space="0" w:color="auto"/>
        <w:right w:val="none" w:sz="0" w:space="0" w:color="auto"/>
      </w:divBdr>
    </w:div>
    <w:div w:id="833033173">
      <w:bodyDiv w:val="1"/>
      <w:marLeft w:val="0"/>
      <w:marRight w:val="0"/>
      <w:marTop w:val="0"/>
      <w:marBottom w:val="0"/>
      <w:divBdr>
        <w:top w:val="none" w:sz="0" w:space="0" w:color="auto"/>
        <w:left w:val="none" w:sz="0" w:space="0" w:color="auto"/>
        <w:bottom w:val="none" w:sz="0" w:space="0" w:color="auto"/>
        <w:right w:val="none" w:sz="0" w:space="0" w:color="auto"/>
      </w:divBdr>
      <w:divsChild>
        <w:div w:id="124545076">
          <w:marLeft w:val="240"/>
          <w:marRight w:val="0"/>
          <w:marTop w:val="60"/>
          <w:marBottom w:val="60"/>
          <w:divBdr>
            <w:top w:val="none" w:sz="0" w:space="0" w:color="auto"/>
            <w:left w:val="none" w:sz="0" w:space="0" w:color="auto"/>
            <w:bottom w:val="none" w:sz="0" w:space="0" w:color="auto"/>
            <w:right w:val="none" w:sz="0" w:space="0" w:color="auto"/>
          </w:divBdr>
          <w:divsChild>
            <w:div w:id="1047679028">
              <w:marLeft w:val="0"/>
              <w:marRight w:val="0"/>
              <w:marTop w:val="0"/>
              <w:marBottom w:val="0"/>
              <w:divBdr>
                <w:top w:val="none" w:sz="0" w:space="0" w:color="auto"/>
                <w:left w:val="none" w:sz="0" w:space="0" w:color="auto"/>
                <w:bottom w:val="none" w:sz="0" w:space="0" w:color="auto"/>
                <w:right w:val="none" w:sz="0" w:space="0" w:color="auto"/>
              </w:divBdr>
            </w:div>
          </w:divsChild>
        </w:div>
        <w:div w:id="965358374">
          <w:marLeft w:val="240"/>
          <w:marRight w:val="0"/>
          <w:marTop w:val="60"/>
          <w:marBottom w:val="60"/>
          <w:divBdr>
            <w:top w:val="none" w:sz="0" w:space="0" w:color="auto"/>
            <w:left w:val="none" w:sz="0" w:space="0" w:color="auto"/>
            <w:bottom w:val="none" w:sz="0" w:space="0" w:color="auto"/>
            <w:right w:val="none" w:sz="0" w:space="0" w:color="auto"/>
          </w:divBdr>
          <w:divsChild>
            <w:div w:id="1290476894">
              <w:marLeft w:val="0"/>
              <w:marRight w:val="0"/>
              <w:marTop w:val="0"/>
              <w:marBottom w:val="0"/>
              <w:divBdr>
                <w:top w:val="none" w:sz="0" w:space="0" w:color="auto"/>
                <w:left w:val="none" w:sz="0" w:space="0" w:color="auto"/>
                <w:bottom w:val="none" w:sz="0" w:space="0" w:color="auto"/>
                <w:right w:val="none" w:sz="0" w:space="0" w:color="auto"/>
              </w:divBdr>
            </w:div>
          </w:divsChild>
        </w:div>
        <w:div w:id="1598706865">
          <w:marLeft w:val="409"/>
          <w:marRight w:val="0"/>
          <w:marTop w:val="0"/>
          <w:marBottom w:val="0"/>
          <w:divBdr>
            <w:top w:val="none" w:sz="0" w:space="0" w:color="auto"/>
            <w:left w:val="none" w:sz="0" w:space="0" w:color="auto"/>
            <w:bottom w:val="none" w:sz="0" w:space="0" w:color="auto"/>
            <w:right w:val="none" w:sz="0" w:space="0" w:color="auto"/>
          </w:divBdr>
        </w:div>
      </w:divsChild>
    </w:div>
    <w:div w:id="950749148">
      <w:bodyDiv w:val="1"/>
      <w:marLeft w:val="0"/>
      <w:marRight w:val="0"/>
      <w:marTop w:val="0"/>
      <w:marBottom w:val="0"/>
      <w:divBdr>
        <w:top w:val="none" w:sz="0" w:space="0" w:color="auto"/>
        <w:left w:val="none" w:sz="0" w:space="0" w:color="auto"/>
        <w:bottom w:val="none" w:sz="0" w:space="0" w:color="auto"/>
        <w:right w:val="none" w:sz="0" w:space="0" w:color="auto"/>
      </w:divBdr>
    </w:div>
    <w:div w:id="960264667">
      <w:bodyDiv w:val="1"/>
      <w:marLeft w:val="0"/>
      <w:marRight w:val="0"/>
      <w:marTop w:val="0"/>
      <w:marBottom w:val="0"/>
      <w:divBdr>
        <w:top w:val="none" w:sz="0" w:space="0" w:color="auto"/>
        <w:left w:val="none" w:sz="0" w:space="0" w:color="auto"/>
        <w:bottom w:val="none" w:sz="0" w:space="0" w:color="auto"/>
        <w:right w:val="none" w:sz="0" w:space="0" w:color="auto"/>
      </w:divBdr>
    </w:div>
    <w:div w:id="1020352082">
      <w:bodyDiv w:val="1"/>
      <w:marLeft w:val="0"/>
      <w:marRight w:val="0"/>
      <w:marTop w:val="0"/>
      <w:marBottom w:val="0"/>
      <w:divBdr>
        <w:top w:val="none" w:sz="0" w:space="0" w:color="auto"/>
        <w:left w:val="none" w:sz="0" w:space="0" w:color="auto"/>
        <w:bottom w:val="none" w:sz="0" w:space="0" w:color="auto"/>
        <w:right w:val="none" w:sz="0" w:space="0" w:color="auto"/>
      </w:divBdr>
    </w:div>
    <w:div w:id="1201817800">
      <w:bodyDiv w:val="1"/>
      <w:marLeft w:val="0"/>
      <w:marRight w:val="0"/>
      <w:marTop w:val="0"/>
      <w:marBottom w:val="0"/>
      <w:divBdr>
        <w:top w:val="none" w:sz="0" w:space="0" w:color="auto"/>
        <w:left w:val="none" w:sz="0" w:space="0" w:color="auto"/>
        <w:bottom w:val="none" w:sz="0" w:space="0" w:color="auto"/>
        <w:right w:val="none" w:sz="0" w:space="0" w:color="auto"/>
      </w:divBdr>
    </w:div>
    <w:div w:id="1253777879">
      <w:bodyDiv w:val="1"/>
      <w:marLeft w:val="0"/>
      <w:marRight w:val="0"/>
      <w:marTop w:val="0"/>
      <w:marBottom w:val="0"/>
      <w:divBdr>
        <w:top w:val="none" w:sz="0" w:space="0" w:color="auto"/>
        <w:left w:val="none" w:sz="0" w:space="0" w:color="auto"/>
        <w:bottom w:val="none" w:sz="0" w:space="0" w:color="auto"/>
        <w:right w:val="none" w:sz="0" w:space="0" w:color="auto"/>
      </w:divBdr>
      <w:divsChild>
        <w:div w:id="266280133">
          <w:marLeft w:val="0"/>
          <w:marRight w:val="0"/>
          <w:marTop w:val="0"/>
          <w:marBottom w:val="0"/>
          <w:divBdr>
            <w:top w:val="none" w:sz="0" w:space="0" w:color="auto"/>
            <w:left w:val="none" w:sz="0" w:space="0" w:color="auto"/>
            <w:bottom w:val="none" w:sz="0" w:space="0" w:color="auto"/>
            <w:right w:val="none" w:sz="0" w:space="0" w:color="auto"/>
          </w:divBdr>
        </w:div>
        <w:div w:id="1358461519">
          <w:marLeft w:val="0"/>
          <w:marRight w:val="0"/>
          <w:marTop w:val="0"/>
          <w:marBottom w:val="0"/>
          <w:divBdr>
            <w:top w:val="none" w:sz="0" w:space="0" w:color="auto"/>
            <w:left w:val="none" w:sz="0" w:space="0" w:color="auto"/>
            <w:bottom w:val="none" w:sz="0" w:space="0" w:color="auto"/>
            <w:right w:val="none" w:sz="0" w:space="0" w:color="auto"/>
          </w:divBdr>
        </w:div>
      </w:divsChild>
    </w:div>
    <w:div w:id="1270743886">
      <w:bodyDiv w:val="1"/>
      <w:marLeft w:val="0"/>
      <w:marRight w:val="0"/>
      <w:marTop w:val="0"/>
      <w:marBottom w:val="0"/>
      <w:divBdr>
        <w:top w:val="none" w:sz="0" w:space="0" w:color="auto"/>
        <w:left w:val="none" w:sz="0" w:space="0" w:color="auto"/>
        <w:bottom w:val="none" w:sz="0" w:space="0" w:color="auto"/>
        <w:right w:val="none" w:sz="0" w:space="0" w:color="auto"/>
      </w:divBdr>
    </w:div>
    <w:div w:id="1404375727">
      <w:bodyDiv w:val="1"/>
      <w:marLeft w:val="0"/>
      <w:marRight w:val="0"/>
      <w:marTop w:val="0"/>
      <w:marBottom w:val="0"/>
      <w:divBdr>
        <w:top w:val="none" w:sz="0" w:space="0" w:color="auto"/>
        <w:left w:val="none" w:sz="0" w:space="0" w:color="auto"/>
        <w:bottom w:val="none" w:sz="0" w:space="0" w:color="auto"/>
        <w:right w:val="none" w:sz="0" w:space="0" w:color="auto"/>
      </w:divBdr>
    </w:div>
    <w:div w:id="1715228731">
      <w:bodyDiv w:val="1"/>
      <w:marLeft w:val="0"/>
      <w:marRight w:val="0"/>
      <w:marTop w:val="0"/>
      <w:marBottom w:val="0"/>
      <w:divBdr>
        <w:top w:val="none" w:sz="0" w:space="0" w:color="auto"/>
        <w:left w:val="none" w:sz="0" w:space="0" w:color="auto"/>
        <w:bottom w:val="none" w:sz="0" w:space="0" w:color="auto"/>
        <w:right w:val="none" w:sz="0" w:space="0" w:color="auto"/>
      </w:divBdr>
    </w:div>
    <w:div w:id="1724517837">
      <w:bodyDiv w:val="1"/>
      <w:marLeft w:val="0"/>
      <w:marRight w:val="0"/>
      <w:marTop w:val="0"/>
      <w:marBottom w:val="0"/>
      <w:divBdr>
        <w:top w:val="none" w:sz="0" w:space="0" w:color="auto"/>
        <w:left w:val="none" w:sz="0" w:space="0" w:color="auto"/>
        <w:bottom w:val="none" w:sz="0" w:space="0" w:color="auto"/>
        <w:right w:val="none" w:sz="0" w:space="0" w:color="auto"/>
      </w:divBdr>
    </w:div>
    <w:div w:id="1924683405">
      <w:bodyDiv w:val="1"/>
      <w:marLeft w:val="0"/>
      <w:marRight w:val="0"/>
      <w:marTop w:val="0"/>
      <w:marBottom w:val="0"/>
      <w:divBdr>
        <w:top w:val="none" w:sz="0" w:space="0" w:color="auto"/>
        <w:left w:val="none" w:sz="0" w:space="0" w:color="auto"/>
        <w:bottom w:val="none" w:sz="0" w:space="0" w:color="auto"/>
        <w:right w:val="none" w:sz="0" w:space="0" w:color="auto"/>
      </w:divBdr>
    </w:div>
    <w:div w:id="19873974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law.cornell.edu/definitions/uscode.php?width=840&amp;height=800&amp;iframe=true&amp;def_id=33-USC-80204913-239171631&amp;term_occur=999&amp;term_src=title:33:chapter:26:subchapter:V:section:1365" TargetMode="External"/><Relationship Id="rId12" Type="http://schemas.openxmlformats.org/officeDocument/2006/relationships/hyperlink" Target="https://www.law.cornell.edu/definitions/uscode.php?width=840&amp;height=800&amp;iframe=true&amp;def_id=33-USC-372531204-239174565&amp;term_occur=999&amp;term_src=title:33:chapter:26:subchapter:V:section:1365" TargetMode="External"/><Relationship Id="rId13" Type="http://schemas.openxmlformats.org/officeDocument/2006/relationships/hyperlink" Target="https://www.law.cornell.edu/definitions/uscode.php?width=840&amp;height=800&amp;iframe=true&amp;def_id=33-USC-80204913-239171631&amp;term_occur=999&amp;term_src=title:33:chapter:26:subchapter:V:section:1365" TargetMode="External"/><Relationship Id="rId14" Type="http://schemas.openxmlformats.org/officeDocument/2006/relationships/hyperlink" Target="https://www.law.cornell.edu/uscode/text/33/1319" TargetMode="External"/><Relationship Id="rId15" Type="http://schemas.openxmlformats.org/officeDocument/2006/relationships/footer" Target="footer1.xml"/><Relationship Id="rId16" Type="http://schemas.openxmlformats.org/officeDocument/2006/relationships/hyperlink" Target="https://www.law.cornell.edu/uscode/text/33/1365" TargetMode="External"/><Relationship Id="rId17" Type="http://schemas.openxmlformats.org/officeDocument/2006/relationships/hyperlink" Target="https://www.walhi.or.id/hakim-kabulkan-sebagian-gugatan-citizen-law-suit-warga-kalteng"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istyalaras.nurmedina@ui.ac.id" TargetMode="External"/><Relationship Id="rId9" Type="http://schemas.openxmlformats.org/officeDocument/2006/relationships/hyperlink" Target="https://www.law.cornell.edu/definitions/uscode.php?width=840&amp;height=800&amp;iframe=true&amp;def_id=33-USC-784989032-239174566&amp;term_occur=999&amp;term_src=title:33:chapter:26:subchapter:V:section:1365" TargetMode="External"/><Relationship Id="rId10" Type="http://schemas.openxmlformats.org/officeDocument/2006/relationships/hyperlink" Target="https://www.law.cornell.edu/definitions/uscode.php?width=840&amp;height=800&amp;iframe=true&amp;def_id=33-USC-991716523-239171633&amp;term_occur=999&amp;term_src=title:33:chapter:26:subchapter:V:section:13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alhi.or.id/hakim-kabulkan-sebagian-gugatan-citizen-law-suit-warga-kalteng" TargetMode="External"/><Relationship Id="rId2" Type="http://schemas.openxmlformats.org/officeDocument/2006/relationships/hyperlink" Target="https://www.law.cornell.edu/uscode/text/33/1365" TargetMode="External"/><Relationship Id="rId3" Type="http://schemas.openxmlformats.org/officeDocument/2006/relationships/hyperlink" Target="https://www.law.cornell.edu/uscode/text/33/1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C5769-F788-0C49-ADBB-6F8A6321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5923</Words>
  <Characters>33764</Characters>
  <Application>Microsoft Macintosh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Listyalaras Nurmedina</dc:creator>
  <cp:keywords/>
  <dc:description/>
  <cp:lastModifiedBy>Listyalaras Nurmedina</cp:lastModifiedBy>
  <cp:revision>10</cp:revision>
  <dcterms:created xsi:type="dcterms:W3CDTF">2021-06-16T23:10:00Z</dcterms:created>
  <dcterms:modified xsi:type="dcterms:W3CDTF">2021-06-20T14:28:00Z</dcterms:modified>
</cp:coreProperties>
</file>