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E1D" w:rsidRPr="00811579" w:rsidRDefault="00BE1E1D" w:rsidP="00BE1E1D">
      <w:pPr>
        <w:spacing w:line="360" w:lineRule="auto"/>
        <w:jc w:val="center"/>
        <w:rPr>
          <w:b/>
        </w:rPr>
      </w:pPr>
      <w:r w:rsidRPr="00811579">
        <w:rPr>
          <w:b/>
        </w:rPr>
        <w:t xml:space="preserve">TUGAS PENGAWASAN KOMISI YUDISIAL </w:t>
      </w:r>
    </w:p>
    <w:p w:rsidR="00BE1E1D" w:rsidRPr="00811579" w:rsidRDefault="00BE1E1D" w:rsidP="00BE1E1D">
      <w:pPr>
        <w:spacing w:line="360" w:lineRule="auto"/>
        <w:jc w:val="center"/>
        <w:rPr>
          <w:b/>
        </w:rPr>
      </w:pPr>
      <w:r w:rsidRPr="00811579">
        <w:rPr>
          <w:b/>
        </w:rPr>
        <w:t>TERHADAP PERILAKU HAKIM PASCA BERLAKUNYA</w:t>
      </w:r>
    </w:p>
    <w:p w:rsidR="00BE1E1D" w:rsidRPr="00811579" w:rsidRDefault="00BE1E1D" w:rsidP="00BE1E1D">
      <w:pPr>
        <w:spacing w:line="360" w:lineRule="auto"/>
        <w:jc w:val="center"/>
        <w:rPr>
          <w:b/>
        </w:rPr>
      </w:pPr>
      <w:r w:rsidRPr="00811579">
        <w:rPr>
          <w:b/>
        </w:rPr>
        <w:t xml:space="preserve">UNDANG-UNDANG NOMOR 18 TAHUN 2011 TENTANG PERUBAHAN ATAS UNDANG-UNDANG NOMOR 22 TAHUN 2004 </w:t>
      </w:r>
    </w:p>
    <w:p w:rsidR="00BE1E1D" w:rsidRPr="00811579" w:rsidRDefault="00BE1E1D" w:rsidP="00BE1E1D">
      <w:pPr>
        <w:spacing w:line="360" w:lineRule="auto"/>
        <w:jc w:val="center"/>
        <w:rPr>
          <w:b/>
        </w:rPr>
      </w:pPr>
      <w:r w:rsidRPr="00811579">
        <w:rPr>
          <w:b/>
        </w:rPr>
        <w:t>TENTANG KOMISI YUDISIAL</w:t>
      </w:r>
    </w:p>
    <w:p w:rsidR="00BE1E1D" w:rsidRPr="00811579" w:rsidRDefault="00BE1E1D" w:rsidP="00BE1E1D">
      <w:pPr>
        <w:spacing w:line="360" w:lineRule="auto"/>
        <w:jc w:val="center"/>
        <w:rPr>
          <w:b/>
        </w:rPr>
      </w:pPr>
    </w:p>
    <w:p w:rsidR="00BE1E1D" w:rsidRDefault="00BE1E1D" w:rsidP="00BE1E1D">
      <w:pPr>
        <w:spacing w:line="360" w:lineRule="auto"/>
        <w:jc w:val="center"/>
        <w:rPr>
          <w:b/>
          <w:lang w:val="en-US"/>
        </w:rPr>
      </w:pPr>
    </w:p>
    <w:p w:rsidR="00BE1E1D" w:rsidRPr="00BE1E1D" w:rsidRDefault="00BE1E1D" w:rsidP="00BE1E1D">
      <w:pPr>
        <w:spacing w:line="360" w:lineRule="auto"/>
        <w:jc w:val="center"/>
        <w:rPr>
          <w:b/>
          <w:lang w:val="en-US"/>
        </w:rPr>
      </w:pPr>
      <w:r>
        <w:rPr>
          <w:b/>
          <w:lang w:val="en-US"/>
        </w:rPr>
        <w:t>Oleh:</w:t>
      </w:r>
    </w:p>
    <w:p w:rsidR="00BE1E1D" w:rsidRPr="00811579" w:rsidRDefault="00BE1E1D" w:rsidP="00BE1E1D">
      <w:pPr>
        <w:spacing w:line="360" w:lineRule="auto"/>
        <w:jc w:val="center"/>
        <w:rPr>
          <w:b/>
        </w:rPr>
      </w:pPr>
    </w:p>
    <w:p w:rsidR="00BE1E1D" w:rsidRPr="00BE1E1D" w:rsidRDefault="00BE1E1D" w:rsidP="00BE1E1D">
      <w:pPr>
        <w:jc w:val="center"/>
        <w:rPr>
          <w:b/>
          <w:lang w:val="en-US"/>
        </w:rPr>
      </w:pPr>
      <w:r w:rsidRPr="00811579">
        <w:rPr>
          <w:b/>
        </w:rPr>
        <w:t>SONI IRAWAN</w:t>
      </w:r>
      <w:r>
        <w:rPr>
          <w:b/>
          <w:lang w:val="en-US"/>
        </w:rPr>
        <w:t>,</w:t>
      </w:r>
    </w:p>
    <w:p w:rsidR="00BE1E1D" w:rsidRDefault="00BE1E1D" w:rsidP="00BE1E1D">
      <w:pPr>
        <w:tabs>
          <w:tab w:val="left" w:pos="4320"/>
        </w:tabs>
        <w:jc w:val="center"/>
        <w:rPr>
          <w:b/>
          <w:lang w:val="en-US"/>
        </w:rPr>
      </w:pPr>
      <w:r w:rsidRPr="00811579">
        <w:rPr>
          <w:b/>
          <w:shd w:val="clear" w:color="auto" w:fill="FFFFFF"/>
        </w:rPr>
        <w:t>DR. SAUT PARULIAN PANJAITAN, S.H., M.Hum</w:t>
      </w:r>
      <w:r>
        <w:rPr>
          <w:b/>
          <w:shd w:val="clear" w:color="auto" w:fill="FFFFFF"/>
          <w:lang w:val="en-US"/>
        </w:rPr>
        <w:t>.,</w:t>
      </w:r>
    </w:p>
    <w:p w:rsidR="00BE1E1D" w:rsidRPr="00811579" w:rsidRDefault="00BE1E1D" w:rsidP="00BE1E1D">
      <w:pPr>
        <w:tabs>
          <w:tab w:val="left" w:pos="4320"/>
        </w:tabs>
        <w:jc w:val="center"/>
        <w:rPr>
          <w:b/>
        </w:rPr>
      </w:pPr>
      <w:r w:rsidRPr="00811579">
        <w:rPr>
          <w:b/>
          <w:lang w:val="sv-SE"/>
        </w:rPr>
        <w:t>DR. IZA RUMESTEN, SH., M.Hum</w:t>
      </w:r>
      <w:r>
        <w:rPr>
          <w:b/>
          <w:lang w:val="sv-SE"/>
        </w:rPr>
        <w:t>.</w:t>
      </w:r>
    </w:p>
    <w:p w:rsidR="00BE1E1D" w:rsidRDefault="00BE1E1D" w:rsidP="00C870D7">
      <w:pPr>
        <w:ind w:left="1260" w:hanging="1260"/>
        <w:jc w:val="center"/>
        <w:rPr>
          <w:b/>
          <w:lang w:val="en-US"/>
        </w:rPr>
      </w:pPr>
    </w:p>
    <w:p w:rsidR="00BE1E1D" w:rsidRPr="00BE1E1D" w:rsidRDefault="00BE1E1D" w:rsidP="00BE1E1D">
      <w:pPr>
        <w:shd w:val="clear" w:color="auto" w:fill="FFFFFF" w:themeFill="background1"/>
        <w:spacing w:line="276" w:lineRule="auto"/>
        <w:jc w:val="both"/>
        <w:rPr>
          <w:b/>
          <w:i/>
          <w:lang w:val="en-US"/>
        </w:rPr>
      </w:pPr>
      <w:r w:rsidRPr="00BE1E1D">
        <w:rPr>
          <w:b/>
          <w:i/>
        </w:rPr>
        <w:t>Abstract</w:t>
      </w:r>
      <w:r w:rsidRPr="00BE1E1D">
        <w:rPr>
          <w:b/>
          <w:i/>
          <w:lang w:val="en-US"/>
        </w:rPr>
        <w:t xml:space="preserve">: </w:t>
      </w:r>
      <w:r w:rsidRPr="00BE1E1D">
        <w:rPr>
          <w:i/>
          <w:color w:val="222222"/>
          <w:lang w:eastAsia="en-ID"/>
        </w:rPr>
        <w:t xml:space="preserve">The </w:t>
      </w:r>
      <w:r w:rsidR="001C2BD5">
        <w:rPr>
          <w:i/>
          <w:color w:val="222222"/>
          <w:lang w:val="en-US" w:eastAsia="en-ID"/>
        </w:rPr>
        <w:t>research en</w:t>
      </w:r>
      <w:r w:rsidRPr="00BE1E1D">
        <w:rPr>
          <w:i/>
          <w:color w:val="222222"/>
          <w:lang w:eastAsia="en-ID"/>
        </w:rPr>
        <w:t>title</w:t>
      </w:r>
      <w:r w:rsidR="001C2BD5">
        <w:rPr>
          <w:i/>
          <w:color w:val="222222"/>
          <w:lang w:val="en-US" w:eastAsia="en-ID"/>
        </w:rPr>
        <w:t>d</w:t>
      </w:r>
      <w:bookmarkStart w:id="0" w:name="_GoBack"/>
      <w:bookmarkEnd w:id="0"/>
      <w:r w:rsidRPr="00BE1E1D">
        <w:rPr>
          <w:i/>
          <w:color w:val="222222"/>
          <w:lang w:eastAsia="en-ID"/>
        </w:rPr>
        <w:t xml:space="preserve"> "Judicial Commission </w:t>
      </w:r>
      <w:r w:rsidR="001C2BD5">
        <w:rPr>
          <w:i/>
          <w:color w:val="222222"/>
          <w:lang w:val="en-US" w:eastAsia="en-ID"/>
        </w:rPr>
        <w:t>Surveillance Task on</w:t>
      </w:r>
      <w:r w:rsidRPr="00BE1E1D">
        <w:rPr>
          <w:i/>
          <w:color w:val="222222"/>
          <w:lang w:eastAsia="en-ID"/>
        </w:rPr>
        <w:t xml:space="preserve"> Judges </w:t>
      </w:r>
      <w:r w:rsidR="001C2BD5">
        <w:rPr>
          <w:i/>
          <w:color w:val="222222"/>
          <w:lang w:val="en-US" w:eastAsia="en-ID"/>
        </w:rPr>
        <w:t xml:space="preserve">Conduct </w:t>
      </w:r>
      <w:r w:rsidR="001C2BD5">
        <w:rPr>
          <w:i/>
          <w:color w:val="222222"/>
          <w:lang w:eastAsia="en-ID"/>
        </w:rPr>
        <w:t xml:space="preserve"> After the Enactment </w:t>
      </w:r>
      <w:r w:rsidR="001C2BD5">
        <w:rPr>
          <w:i/>
          <w:color w:val="222222"/>
          <w:lang w:val="en-US" w:eastAsia="en-ID"/>
        </w:rPr>
        <w:t>of Regulation</w:t>
      </w:r>
      <w:r w:rsidR="001C2BD5">
        <w:rPr>
          <w:i/>
          <w:color w:val="222222"/>
          <w:lang w:eastAsia="en-ID"/>
        </w:rPr>
        <w:t xml:space="preserve"> Number 18 </w:t>
      </w:r>
      <w:r w:rsidR="001C2BD5">
        <w:rPr>
          <w:i/>
          <w:color w:val="222222"/>
          <w:lang w:val="en-US" w:eastAsia="en-ID"/>
        </w:rPr>
        <w:t>of</w:t>
      </w:r>
      <w:r w:rsidRPr="00BE1E1D">
        <w:rPr>
          <w:i/>
          <w:color w:val="222222"/>
          <w:lang w:eastAsia="en-ID"/>
        </w:rPr>
        <w:t xml:space="preserve"> 2011 concerning </w:t>
      </w:r>
      <w:r w:rsidR="001C2BD5">
        <w:rPr>
          <w:i/>
          <w:color w:val="222222"/>
          <w:lang w:val="en-US" w:eastAsia="en-ID"/>
        </w:rPr>
        <w:t xml:space="preserve">the </w:t>
      </w:r>
      <w:r w:rsidR="001C2BD5">
        <w:rPr>
          <w:i/>
          <w:color w:val="222222"/>
          <w:lang w:eastAsia="en-ID"/>
        </w:rPr>
        <w:t xml:space="preserve">Amendments </w:t>
      </w:r>
      <w:r w:rsidR="001C2BD5">
        <w:rPr>
          <w:i/>
          <w:color w:val="222222"/>
          <w:lang w:val="en-US" w:eastAsia="en-ID"/>
        </w:rPr>
        <w:t>of Regulation</w:t>
      </w:r>
      <w:r w:rsidR="001C2BD5">
        <w:rPr>
          <w:i/>
          <w:color w:val="222222"/>
          <w:lang w:eastAsia="en-ID"/>
        </w:rPr>
        <w:t xml:space="preserve"> Number 22 </w:t>
      </w:r>
      <w:r w:rsidR="001C2BD5">
        <w:rPr>
          <w:i/>
          <w:color w:val="222222"/>
          <w:lang w:val="en-US" w:eastAsia="en-ID"/>
        </w:rPr>
        <w:t>of</w:t>
      </w:r>
      <w:r w:rsidRPr="00BE1E1D">
        <w:rPr>
          <w:i/>
          <w:color w:val="222222"/>
          <w:lang w:eastAsia="en-ID"/>
        </w:rPr>
        <w:t xml:space="preserve"> 2004 concerning the Judicial Commis</w:t>
      </w:r>
      <w:r w:rsidR="001C2BD5">
        <w:rPr>
          <w:i/>
          <w:color w:val="222222"/>
          <w:lang w:eastAsia="en-ID"/>
        </w:rPr>
        <w:t xml:space="preserve">sion" </w:t>
      </w:r>
      <w:r w:rsidR="001C2BD5">
        <w:rPr>
          <w:i/>
          <w:color w:val="222222"/>
          <w:lang w:val="en-US" w:eastAsia="en-ID"/>
        </w:rPr>
        <w:t>studied</w:t>
      </w:r>
      <w:r w:rsidR="001C2BD5">
        <w:rPr>
          <w:i/>
          <w:color w:val="222222"/>
          <w:lang w:eastAsia="en-ID"/>
        </w:rPr>
        <w:t xml:space="preserve"> how</w:t>
      </w:r>
      <w:r w:rsidR="001C2BD5">
        <w:rPr>
          <w:i/>
          <w:color w:val="222222"/>
          <w:lang w:val="en-US" w:eastAsia="en-ID"/>
        </w:rPr>
        <w:t xml:space="preserve"> </w:t>
      </w:r>
      <w:r w:rsidRPr="00BE1E1D">
        <w:rPr>
          <w:i/>
          <w:color w:val="222222"/>
          <w:lang w:eastAsia="en-ID"/>
        </w:rPr>
        <w:t xml:space="preserve">the </w:t>
      </w:r>
      <w:r w:rsidR="001C2BD5">
        <w:rPr>
          <w:i/>
          <w:color w:val="222222"/>
          <w:lang w:val="en-US" w:eastAsia="en-ID"/>
        </w:rPr>
        <w:t xml:space="preserve">surveillance </w:t>
      </w:r>
      <w:r w:rsidRPr="00BE1E1D">
        <w:rPr>
          <w:i/>
          <w:color w:val="222222"/>
          <w:lang w:eastAsia="en-ID"/>
        </w:rPr>
        <w:t xml:space="preserve">task </w:t>
      </w:r>
      <w:r w:rsidR="001C2BD5">
        <w:rPr>
          <w:i/>
          <w:color w:val="222222"/>
          <w:lang w:val="en-US" w:eastAsia="en-ID"/>
        </w:rPr>
        <w:t>of the Judicial Commission</w:t>
      </w:r>
      <w:r w:rsidRPr="00BE1E1D">
        <w:rPr>
          <w:i/>
          <w:color w:val="222222"/>
          <w:lang w:eastAsia="en-ID"/>
        </w:rPr>
        <w:t xml:space="preserve"> on the </w:t>
      </w:r>
      <w:r w:rsidR="001C2BD5">
        <w:rPr>
          <w:i/>
          <w:color w:val="222222"/>
          <w:lang w:val="en-US" w:eastAsia="en-ID"/>
        </w:rPr>
        <w:t>conduct</w:t>
      </w:r>
      <w:r w:rsidRPr="00BE1E1D">
        <w:rPr>
          <w:i/>
          <w:color w:val="222222"/>
          <w:lang w:eastAsia="en-ID"/>
        </w:rPr>
        <w:t xml:space="preserve"> of judges </w:t>
      </w:r>
      <w:r w:rsidR="001C2BD5">
        <w:rPr>
          <w:i/>
          <w:color w:val="222222"/>
          <w:lang w:val="en-US" w:eastAsia="en-ID"/>
        </w:rPr>
        <w:t xml:space="preserve">before and after the enactment </w:t>
      </w:r>
      <w:r w:rsidRPr="00BE1E1D">
        <w:rPr>
          <w:i/>
          <w:color w:val="222222"/>
          <w:lang w:eastAsia="en-ID"/>
        </w:rPr>
        <w:t>o</w:t>
      </w:r>
      <w:r w:rsidR="00D5606C">
        <w:rPr>
          <w:i/>
          <w:color w:val="222222"/>
          <w:lang w:val="en-US" w:eastAsia="en-ID"/>
        </w:rPr>
        <w:t>f</w:t>
      </w:r>
      <w:r w:rsidRPr="00BE1E1D">
        <w:rPr>
          <w:i/>
          <w:color w:val="222222"/>
          <w:lang w:eastAsia="en-ID"/>
        </w:rPr>
        <w:t xml:space="preserve"> the </w:t>
      </w:r>
      <w:r w:rsidR="00D5606C">
        <w:rPr>
          <w:i/>
          <w:color w:val="222222"/>
          <w:lang w:val="en-US" w:eastAsia="en-ID"/>
        </w:rPr>
        <w:t xml:space="preserve">Regulation </w:t>
      </w:r>
      <w:r w:rsidRPr="00BE1E1D">
        <w:rPr>
          <w:i/>
          <w:color w:val="222222"/>
          <w:lang w:eastAsia="en-ID"/>
        </w:rPr>
        <w:t xml:space="preserve">Number 18 of 2011 concerning </w:t>
      </w:r>
      <w:r w:rsidR="00D5606C">
        <w:rPr>
          <w:i/>
          <w:color w:val="222222"/>
          <w:lang w:val="en-US" w:eastAsia="en-ID"/>
        </w:rPr>
        <w:t>the a</w:t>
      </w:r>
      <w:r w:rsidR="00D5606C">
        <w:rPr>
          <w:i/>
          <w:color w:val="222222"/>
          <w:lang w:eastAsia="en-ID"/>
        </w:rPr>
        <w:t xml:space="preserve">mendment </w:t>
      </w:r>
      <w:r w:rsidRPr="00BE1E1D">
        <w:rPr>
          <w:i/>
          <w:color w:val="222222"/>
          <w:lang w:eastAsia="en-ID"/>
        </w:rPr>
        <w:t>o</w:t>
      </w:r>
      <w:r w:rsidR="00D5606C">
        <w:rPr>
          <w:i/>
          <w:color w:val="222222"/>
          <w:lang w:val="en-US" w:eastAsia="en-ID"/>
        </w:rPr>
        <w:t>f the Regulation</w:t>
      </w:r>
      <w:r w:rsidRPr="00BE1E1D">
        <w:rPr>
          <w:i/>
          <w:color w:val="222222"/>
          <w:lang w:eastAsia="en-ID"/>
        </w:rPr>
        <w:t xml:space="preserve"> Number 22 of 2004 concerning the</w:t>
      </w:r>
      <w:r w:rsidR="00D5606C">
        <w:rPr>
          <w:i/>
          <w:color w:val="222222"/>
          <w:lang w:eastAsia="en-ID"/>
        </w:rPr>
        <w:t xml:space="preserve"> Judicial Commission, </w:t>
      </w:r>
      <w:r w:rsidR="00D5606C">
        <w:rPr>
          <w:i/>
          <w:color w:val="222222"/>
          <w:lang w:val="en-US" w:eastAsia="en-ID"/>
        </w:rPr>
        <w:t>and</w:t>
      </w:r>
      <w:r w:rsidRPr="00BE1E1D">
        <w:rPr>
          <w:i/>
          <w:color w:val="222222"/>
          <w:lang w:eastAsia="en-ID"/>
        </w:rPr>
        <w:t xml:space="preserve"> how the Judicial Commission's </w:t>
      </w:r>
      <w:r w:rsidR="00D5606C">
        <w:rPr>
          <w:i/>
          <w:color w:val="222222"/>
          <w:lang w:val="en-US" w:eastAsia="en-ID"/>
        </w:rPr>
        <w:t xml:space="preserve">surveillance task was supposed to </w:t>
      </w:r>
      <w:r w:rsidR="00D5606C">
        <w:rPr>
          <w:i/>
          <w:color w:val="222222"/>
          <w:lang w:eastAsia="en-ID"/>
        </w:rPr>
        <w:t xml:space="preserve">be towards the </w:t>
      </w:r>
      <w:r w:rsidR="00D5606C">
        <w:rPr>
          <w:i/>
          <w:color w:val="222222"/>
          <w:lang w:val="en-US" w:eastAsia="en-ID"/>
        </w:rPr>
        <w:t>conduct</w:t>
      </w:r>
      <w:r w:rsidRPr="00BE1E1D">
        <w:rPr>
          <w:i/>
          <w:color w:val="222222"/>
          <w:lang w:eastAsia="en-ID"/>
        </w:rPr>
        <w:t xml:space="preserve"> of judges </w:t>
      </w:r>
      <w:r w:rsidR="00D5606C">
        <w:rPr>
          <w:i/>
          <w:color w:val="222222"/>
          <w:lang w:val="en-US" w:eastAsia="en-ID"/>
        </w:rPr>
        <w:t>in the future</w:t>
      </w:r>
      <w:r w:rsidRPr="00BE1E1D">
        <w:rPr>
          <w:i/>
          <w:color w:val="222222"/>
          <w:lang w:eastAsia="en-ID"/>
        </w:rPr>
        <w:t>. The research method u</w:t>
      </w:r>
      <w:r w:rsidR="00D5606C">
        <w:rPr>
          <w:i/>
          <w:color w:val="222222"/>
          <w:lang w:eastAsia="en-ID"/>
        </w:rPr>
        <w:t xml:space="preserve">sed </w:t>
      </w:r>
      <w:r w:rsidRPr="00BE1E1D">
        <w:rPr>
          <w:i/>
          <w:color w:val="222222"/>
          <w:lang w:eastAsia="en-ID"/>
        </w:rPr>
        <w:t xml:space="preserve"> normative research method by analyzing th</w:t>
      </w:r>
      <w:r w:rsidR="00D5606C">
        <w:rPr>
          <w:i/>
          <w:color w:val="222222"/>
          <w:lang w:eastAsia="en-ID"/>
        </w:rPr>
        <w:t>e problem through</w:t>
      </w:r>
      <w:r w:rsidRPr="00BE1E1D">
        <w:rPr>
          <w:i/>
          <w:color w:val="222222"/>
          <w:lang w:eastAsia="en-ID"/>
        </w:rPr>
        <w:t xml:space="preserve"> the </w:t>
      </w:r>
      <w:r w:rsidR="00D5606C">
        <w:rPr>
          <w:i/>
          <w:color w:val="222222"/>
          <w:lang w:val="en-US" w:eastAsia="en-ID"/>
        </w:rPr>
        <w:t xml:space="preserve">legal </w:t>
      </w:r>
      <w:r w:rsidR="00D5606C">
        <w:rPr>
          <w:i/>
          <w:color w:val="222222"/>
          <w:lang w:eastAsia="en-ID"/>
        </w:rPr>
        <w:t xml:space="preserve">principles and </w:t>
      </w:r>
      <w:r w:rsidRPr="00BE1E1D">
        <w:rPr>
          <w:i/>
          <w:color w:val="222222"/>
          <w:lang w:eastAsia="en-ID"/>
        </w:rPr>
        <w:t>theories and referrin</w:t>
      </w:r>
      <w:r w:rsidR="00D5606C">
        <w:rPr>
          <w:i/>
          <w:color w:val="222222"/>
          <w:lang w:eastAsia="en-ID"/>
        </w:rPr>
        <w:t>g to</w:t>
      </w:r>
      <w:r w:rsidRPr="00BE1E1D">
        <w:rPr>
          <w:i/>
          <w:color w:val="222222"/>
          <w:lang w:eastAsia="en-ID"/>
        </w:rPr>
        <w:t xml:space="preserve"> legal norms contained in the legislation, </w:t>
      </w:r>
      <w:r w:rsidR="00D5606C">
        <w:rPr>
          <w:i/>
          <w:color w:val="222222"/>
          <w:lang w:val="en-US" w:eastAsia="en-ID"/>
        </w:rPr>
        <w:t xml:space="preserve">in which the </w:t>
      </w:r>
      <w:r w:rsidRPr="00BE1E1D">
        <w:rPr>
          <w:i/>
          <w:color w:val="222222"/>
          <w:lang w:eastAsia="en-ID"/>
        </w:rPr>
        <w:t xml:space="preserve">data </w:t>
      </w:r>
      <w:r w:rsidR="00D5606C">
        <w:rPr>
          <w:i/>
          <w:color w:val="222222"/>
          <w:lang w:val="en-US" w:eastAsia="en-ID"/>
        </w:rPr>
        <w:t xml:space="preserve">were </w:t>
      </w:r>
      <w:r w:rsidR="00D5606C">
        <w:rPr>
          <w:i/>
          <w:color w:val="222222"/>
          <w:lang w:eastAsia="en-ID"/>
        </w:rPr>
        <w:t>collect</w:t>
      </w:r>
      <w:r w:rsidR="00D5606C">
        <w:rPr>
          <w:i/>
          <w:color w:val="222222"/>
          <w:lang w:val="en-US" w:eastAsia="en-ID"/>
        </w:rPr>
        <w:t>ed</w:t>
      </w:r>
      <w:r w:rsidRPr="00BE1E1D">
        <w:rPr>
          <w:i/>
          <w:color w:val="222222"/>
          <w:lang w:eastAsia="en-ID"/>
        </w:rPr>
        <w:t xml:space="preserve"> by </w:t>
      </w:r>
      <w:r w:rsidR="00D5606C">
        <w:rPr>
          <w:i/>
          <w:color w:val="222222"/>
          <w:lang w:val="en-US" w:eastAsia="en-ID"/>
        </w:rPr>
        <w:t xml:space="preserve">studying the </w:t>
      </w:r>
      <w:r w:rsidRPr="00BE1E1D">
        <w:rPr>
          <w:i/>
          <w:color w:val="222222"/>
          <w:lang w:eastAsia="en-ID"/>
        </w:rPr>
        <w:t>literature</w:t>
      </w:r>
      <w:r w:rsidR="00D5606C">
        <w:rPr>
          <w:i/>
          <w:color w:val="222222"/>
          <w:lang w:val="en-US" w:eastAsia="en-ID"/>
        </w:rPr>
        <w:t>.</w:t>
      </w:r>
      <w:r w:rsidRPr="00BE1E1D">
        <w:rPr>
          <w:i/>
          <w:color w:val="222222"/>
          <w:lang w:eastAsia="en-ID"/>
        </w:rPr>
        <w:t xml:space="preserve"> The legal ma</w:t>
      </w:r>
      <w:r w:rsidR="00D5606C">
        <w:rPr>
          <w:i/>
          <w:color w:val="222222"/>
          <w:lang w:eastAsia="en-ID"/>
        </w:rPr>
        <w:t>terials used</w:t>
      </w:r>
      <w:r w:rsidR="00D5606C">
        <w:rPr>
          <w:i/>
          <w:color w:val="222222"/>
          <w:lang w:val="en-US" w:eastAsia="en-ID"/>
        </w:rPr>
        <w:t xml:space="preserve"> </w:t>
      </w:r>
      <w:r w:rsidRPr="00BE1E1D">
        <w:rPr>
          <w:i/>
          <w:color w:val="222222"/>
          <w:lang w:eastAsia="en-ID"/>
        </w:rPr>
        <w:t>primary, secondary and tertiary lega</w:t>
      </w:r>
      <w:r w:rsidR="00D5606C">
        <w:rPr>
          <w:i/>
          <w:color w:val="222222"/>
          <w:lang w:eastAsia="en-ID"/>
        </w:rPr>
        <w:t>l materials</w:t>
      </w:r>
      <w:r w:rsidRPr="00BE1E1D">
        <w:rPr>
          <w:i/>
          <w:color w:val="222222"/>
          <w:lang w:eastAsia="en-ID"/>
        </w:rPr>
        <w:t xml:space="preserve"> rel</w:t>
      </w:r>
      <w:r w:rsidR="00D5606C">
        <w:rPr>
          <w:i/>
          <w:color w:val="222222"/>
          <w:lang w:eastAsia="en-ID"/>
        </w:rPr>
        <w:t>evant to the issues</w:t>
      </w:r>
      <w:r w:rsidR="00F35627">
        <w:rPr>
          <w:i/>
          <w:color w:val="222222"/>
          <w:lang w:eastAsia="en-ID"/>
        </w:rPr>
        <w:t xml:space="preserve"> discussed in th</w:t>
      </w:r>
      <w:r w:rsidR="00F35627">
        <w:rPr>
          <w:i/>
          <w:color w:val="222222"/>
          <w:lang w:val="en-US" w:eastAsia="en-ID"/>
        </w:rPr>
        <w:t xml:space="preserve">e study. </w:t>
      </w:r>
      <w:r w:rsidRPr="00BE1E1D">
        <w:rPr>
          <w:i/>
          <w:color w:val="222222"/>
          <w:lang w:eastAsia="en-ID"/>
        </w:rPr>
        <w:t xml:space="preserve">The results </w:t>
      </w:r>
      <w:r w:rsidR="00F35627">
        <w:rPr>
          <w:i/>
          <w:color w:val="222222"/>
          <w:lang w:eastAsia="en-ID"/>
        </w:rPr>
        <w:t xml:space="preserve">related </w:t>
      </w:r>
      <w:r w:rsidRPr="00BE1E1D">
        <w:rPr>
          <w:i/>
          <w:color w:val="222222"/>
          <w:lang w:eastAsia="en-ID"/>
        </w:rPr>
        <w:t xml:space="preserve">to the above </w:t>
      </w:r>
      <w:r w:rsidR="00F764F4">
        <w:rPr>
          <w:i/>
          <w:color w:val="222222"/>
          <w:lang w:val="en-US" w:eastAsia="en-ID"/>
        </w:rPr>
        <w:t xml:space="preserve">research questions were </w:t>
      </w:r>
      <w:r w:rsidR="00F764F4">
        <w:rPr>
          <w:i/>
          <w:color w:val="222222"/>
          <w:lang w:eastAsia="en-ID"/>
        </w:rPr>
        <w:t>first analy</w:t>
      </w:r>
      <w:r w:rsidR="00F764F4">
        <w:rPr>
          <w:i/>
          <w:color w:val="222222"/>
          <w:lang w:val="en-US" w:eastAsia="en-ID"/>
        </w:rPr>
        <w:t>sis of</w:t>
      </w:r>
      <w:r w:rsidRPr="00BE1E1D">
        <w:rPr>
          <w:i/>
          <w:color w:val="222222"/>
          <w:lang w:eastAsia="en-ID"/>
        </w:rPr>
        <w:t xml:space="preserve"> how the </w:t>
      </w:r>
      <w:r w:rsidR="00F764F4">
        <w:rPr>
          <w:i/>
          <w:color w:val="222222"/>
          <w:lang w:val="en-US" w:eastAsia="en-ID"/>
        </w:rPr>
        <w:t xml:space="preserve">surveillance </w:t>
      </w:r>
      <w:r w:rsidR="00F764F4">
        <w:rPr>
          <w:i/>
          <w:color w:val="222222"/>
          <w:lang w:eastAsia="en-ID"/>
        </w:rPr>
        <w:t>task of</w:t>
      </w:r>
      <w:r w:rsidRPr="00BE1E1D">
        <w:rPr>
          <w:i/>
          <w:color w:val="222222"/>
          <w:lang w:eastAsia="en-ID"/>
        </w:rPr>
        <w:t xml:space="preserve"> the Judicial Commission </w:t>
      </w:r>
      <w:r w:rsidR="00F764F4">
        <w:rPr>
          <w:i/>
          <w:color w:val="222222"/>
          <w:lang w:val="en-US" w:eastAsia="en-ID"/>
        </w:rPr>
        <w:t xml:space="preserve">was </w:t>
      </w:r>
      <w:r w:rsidR="00F764F4">
        <w:rPr>
          <w:i/>
          <w:color w:val="222222"/>
          <w:lang w:eastAsia="en-ID"/>
        </w:rPr>
        <w:t>on the</w:t>
      </w:r>
      <w:r w:rsidRPr="00BE1E1D">
        <w:rPr>
          <w:i/>
          <w:color w:val="222222"/>
          <w:lang w:eastAsia="en-ID"/>
        </w:rPr>
        <w:t xml:space="preserve"> judges </w:t>
      </w:r>
      <w:r w:rsidR="00F764F4">
        <w:rPr>
          <w:i/>
          <w:color w:val="222222"/>
          <w:lang w:val="en-US" w:eastAsia="en-ID"/>
        </w:rPr>
        <w:t xml:space="preserve">conduct before and after the enactment of the Regulation Number 18 of 2011 concerning the Amendments of the Regulation Number 22 of 2004 concerning the </w:t>
      </w:r>
      <w:r w:rsidR="00F764F4">
        <w:rPr>
          <w:i/>
          <w:color w:val="222222"/>
          <w:lang w:eastAsia="en-ID"/>
        </w:rPr>
        <w:t>Judicial Commission</w:t>
      </w:r>
      <w:r w:rsidR="00F764F4">
        <w:rPr>
          <w:i/>
          <w:color w:val="222222"/>
          <w:lang w:val="en-US" w:eastAsia="en-ID"/>
        </w:rPr>
        <w:t>, and</w:t>
      </w:r>
      <w:r w:rsidR="00F764F4">
        <w:rPr>
          <w:i/>
          <w:color w:val="222222"/>
          <w:lang w:eastAsia="en-ID"/>
        </w:rPr>
        <w:t xml:space="preserve"> </w:t>
      </w:r>
      <w:r w:rsidR="00F764F4">
        <w:rPr>
          <w:i/>
          <w:color w:val="222222"/>
          <w:lang w:val="en-US" w:eastAsia="en-ID"/>
        </w:rPr>
        <w:t>s</w:t>
      </w:r>
      <w:r w:rsidR="00F764F4">
        <w:rPr>
          <w:i/>
          <w:color w:val="222222"/>
          <w:lang w:eastAsia="en-ID"/>
        </w:rPr>
        <w:t>econd</w:t>
      </w:r>
      <w:r w:rsidR="00F764F4">
        <w:rPr>
          <w:i/>
          <w:color w:val="222222"/>
          <w:lang w:val="en-US" w:eastAsia="en-ID"/>
        </w:rPr>
        <w:t xml:space="preserve">, </w:t>
      </w:r>
      <w:r w:rsidR="00F764F4">
        <w:rPr>
          <w:i/>
          <w:color w:val="222222"/>
          <w:lang w:eastAsia="en-ID"/>
        </w:rPr>
        <w:t xml:space="preserve"> analy</w:t>
      </w:r>
      <w:r w:rsidR="00F764F4">
        <w:rPr>
          <w:i/>
          <w:color w:val="222222"/>
          <w:lang w:val="en-US" w:eastAsia="en-ID"/>
        </w:rPr>
        <w:t>sis of</w:t>
      </w:r>
      <w:r w:rsidRPr="00BE1E1D">
        <w:rPr>
          <w:i/>
          <w:color w:val="222222"/>
          <w:lang w:eastAsia="en-ID"/>
        </w:rPr>
        <w:t xml:space="preserve"> how the Judicial Commission should </w:t>
      </w:r>
      <w:r w:rsidR="00F764F4">
        <w:rPr>
          <w:i/>
          <w:color w:val="222222"/>
          <w:lang w:val="en-US" w:eastAsia="en-ID"/>
        </w:rPr>
        <w:t xml:space="preserve">conduct the </w:t>
      </w:r>
      <w:r w:rsidR="00F764F4">
        <w:rPr>
          <w:i/>
          <w:color w:val="222222"/>
          <w:lang w:eastAsia="en-ID"/>
        </w:rPr>
        <w:t>surv</w:t>
      </w:r>
      <w:r w:rsidRPr="00BE1E1D">
        <w:rPr>
          <w:i/>
          <w:color w:val="222222"/>
          <w:lang w:eastAsia="en-ID"/>
        </w:rPr>
        <w:t>e</w:t>
      </w:r>
      <w:r w:rsidR="00F764F4">
        <w:rPr>
          <w:i/>
          <w:color w:val="222222"/>
          <w:lang w:val="en-US" w:eastAsia="en-ID"/>
        </w:rPr>
        <w:t>illance</w:t>
      </w:r>
      <w:r w:rsidRPr="00BE1E1D">
        <w:rPr>
          <w:i/>
          <w:color w:val="222222"/>
          <w:lang w:eastAsia="en-ID"/>
        </w:rPr>
        <w:t xml:space="preserve"> in the future.</w:t>
      </w:r>
    </w:p>
    <w:p w:rsidR="00BE1E1D" w:rsidRPr="00BE1E1D" w:rsidRDefault="00BE1E1D" w:rsidP="00BE1E1D">
      <w:pPr>
        <w:ind w:left="1080" w:hanging="1080"/>
        <w:jc w:val="both"/>
        <w:rPr>
          <w:b/>
          <w:i/>
          <w:lang w:val="en-US"/>
        </w:rPr>
      </w:pPr>
      <w:r w:rsidRPr="00BE1E1D">
        <w:rPr>
          <w:b/>
          <w:i/>
          <w:color w:val="222222"/>
          <w:lang w:eastAsia="en-ID"/>
        </w:rPr>
        <w:t>Keywords: Judicial Commission, Judge Behavior, Judic</w:t>
      </w:r>
      <w:r w:rsidR="00F764F4">
        <w:rPr>
          <w:b/>
          <w:i/>
          <w:color w:val="222222"/>
          <w:lang w:eastAsia="en-ID"/>
        </w:rPr>
        <w:t>ial Power, Judge, Supreme Court</w:t>
      </w:r>
      <w:r w:rsidR="007554E3">
        <w:rPr>
          <w:b/>
          <w:i/>
          <w:color w:val="222222"/>
          <w:lang w:val="en-US" w:eastAsia="en-ID"/>
        </w:rPr>
        <w:t>, Justice</w:t>
      </w:r>
      <w:r w:rsidR="00F764F4">
        <w:rPr>
          <w:b/>
          <w:i/>
          <w:color w:val="222222"/>
          <w:lang w:val="en-US" w:eastAsia="en-ID"/>
        </w:rPr>
        <w:t xml:space="preserve"> Institution,</w:t>
      </w:r>
      <w:r w:rsidR="007554E3">
        <w:rPr>
          <w:b/>
          <w:i/>
          <w:color w:val="222222"/>
          <w:lang w:eastAsia="en-ID"/>
        </w:rPr>
        <w:t xml:space="preserve"> &amp; Code of Ethics and Judge</w:t>
      </w:r>
      <w:r w:rsidRPr="00BE1E1D">
        <w:rPr>
          <w:b/>
          <w:i/>
          <w:color w:val="222222"/>
          <w:lang w:eastAsia="en-ID"/>
        </w:rPr>
        <w:t xml:space="preserve"> Conduct Guidelines.</w:t>
      </w:r>
    </w:p>
    <w:p w:rsidR="00BE1E1D" w:rsidRDefault="00BE1E1D" w:rsidP="00BE1E1D">
      <w:pPr>
        <w:spacing w:line="276" w:lineRule="auto"/>
        <w:rPr>
          <w:b/>
          <w:lang w:val="en-US"/>
        </w:rPr>
      </w:pPr>
    </w:p>
    <w:p w:rsidR="00BE1E1D" w:rsidRPr="00BE1E1D" w:rsidRDefault="00BE1E1D" w:rsidP="00BE1E1D">
      <w:pPr>
        <w:spacing w:line="276" w:lineRule="auto"/>
        <w:jc w:val="both"/>
        <w:rPr>
          <w:b/>
          <w:i/>
          <w:lang w:val="en-US"/>
        </w:rPr>
      </w:pPr>
      <w:r w:rsidRPr="00BE1E1D">
        <w:rPr>
          <w:b/>
          <w:i/>
        </w:rPr>
        <w:lastRenderedPageBreak/>
        <w:t>Abstrak</w:t>
      </w:r>
      <w:r w:rsidRPr="00BE1E1D">
        <w:rPr>
          <w:b/>
          <w:i/>
          <w:lang w:val="en-US"/>
        </w:rPr>
        <w:t xml:space="preserve">: </w:t>
      </w:r>
      <w:r w:rsidRPr="00BE1E1D">
        <w:rPr>
          <w:i/>
        </w:rPr>
        <w:t xml:space="preserve">Penelitian yang  berjudul “Tugas Pengawasan Komisi Yudisial Terhadap Perilaku Hakim Pasca Berlakunya Undang-Undang Nomor 18 Tahun 2011 tentang Perubahan Atas Undang-Undang Nomor 22 Tahun 2004 tentang Komisi Yudisial” ini, akan membahas mengenai: bagaimanakah tugas pengawasan Komisi Yudisial terhadap perilaku hakim sebelum dan setelah berlakunya Undang-Undang Nomor 18 Tahun 2011 tentang Perubahan atas Undang-Undang Nomor 22 Tahun 2004 tentang Komisi Yudisial, lalu mengenai bagaimanakah seharusnya tugas pengawasan Komisi Yudisial terhadap perilaku hakim kedepannya. Metode penelitian yang digunakan dalam penelitian tesis ini adalah metode penelitian normatif yaitu dengan melakukan analisis terhadap permasalahan melalui pendekatan terhadap asas-asas dan teori-teori hukum serta mengacu pada norma-norma hukum yang terdapat dalam peraturan perundang-undangan, dimana pengumpulan data dilakukan dengan penelitian kepustakaan. Bahan hukum yang digunakan dalam tesis ini adalah bahan hukum primer, sekunder dan tersier, yang dinilai relevan dengan permasalahan yang akan dibahas dalam penelitian tesis ini. Hasil penelitian terkait dengan jawaban dari permasalahan di atas adalah pertama : </w:t>
      </w:r>
      <w:r w:rsidRPr="00BE1E1D">
        <w:rPr>
          <w:i/>
          <w:lang w:val="fi-FI"/>
        </w:rPr>
        <w:t xml:space="preserve">menganalisis bagaimana tugas pengawasan Komisi Yudisial terhadap perilaku hakim </w:t>
      </w:r>
      <w:r w:rsidRPr="00BE1E1D">
        <w:rPr>
          <w:i/>
        </w:rPr>
        <w:t xml:space="preserve">sebelum dan setelah berlakunya Undang-Undang Nomor 18 Tahun 2011 tentang Perubahan atas Undang-Undang Nomor 22 Tahun 2004 tentang Komisi Yudisial. Kedua : </w:t>
      </w:r>
      <w:r w:rsidRPr="00BE1E1D">
        <w:rPr>
          <w:i/>
          <w:lang w:val="fi-FI"/>
        </w:rPr>
        <w:t>menganalisis bagaimana seharusnya tugas pengawasan Komisi Yudisial ke depannya</w:t>
      </w:r>
      <w:r w:rsidRPr="00BE1E1D">
        <w:rPr>
          <w:i/>
        </w:rPr>
        <w:t>.</w:t>
      </w:r>
    </w:p>
    <w:p w:rsidR="00BE1E1D" w:rsidRPr="00BE1E1D" w:rsidRDefault="00BE1E1D" w:rsidP="00BE1E1D">
      <w:pPr>
        <w:spacing w:line="276" w:lineRule="auto"/>
        <w:ind w:left="1440" w:hanging="1440"/>
        <w:jc w:val="both"/>
        <w:rPr>
          <w:b/>
          <w:i/>
        </w:rPr>
      </w:pPr>
      <w:r w:rsidRPr="00BE1E1D">
        <w:rPr>
          <w:b/>
          <w:i/>
        </w:rPr>
        <w:t>Kata kunci : Komisi Yudisial, Perilaku Hakim, Kekuasaan Kehakiman, Hakim, Mahkamah Agung, Badan Peradilan, &amp; Kode Etik dan Pedoman PerilakuHakim.</w:t>
      </w:r>
    </w:p>
    <w:p w:rsidR="00BE1E1D" w:rsidRDefault="00BE1E1D" w:rsidP="00BE1E1D">
      <w:pPr>
        <w:jc w:val="both"/>
      </w:pPr>
    </w:p>
    <w:p w:rsidR="00BE1E1D" w:rsidRDefault="00BE1E1D" w:rsidP="00BE1E1D">
      <w:pPr>
        <w:jc w:val="both"/>
      </w:pPr>
    </w:p>
    <w:p w:rsidR="00BE1E1D" w:rsidRDefault="00BE1E1D" w:rsidP="00BE1E1D">
      <w:pPr>
        <w:jc w:val="both"/>
      </w:pPr>
    </w:p>
    <w:p w:rsidR="00BE1E1D" w:rsidRDefault="00BE1E1D" w:rsidP="00BE1E1D">
      <w:pPr>
        <w:jc w:val="both"/>
        <w:rPr>
          <w:b/>
          <w:lang w:val="en-US"/>
        </w:rPr>
      </w:pPr>
      <w:r>
        <w:rPr>
          <w:b/>
          <w:lang w:val="en-US"/>
        </w:rPr>
        <w:t>Riwayat Artikel:</w:t>
      </w:r>
    </w:p>
    <w:p w:rsidR="00BE1E1D" w:rsidRPr="00BE1E1D" w:rsidRDefault="00BE1E1D" w:rsidP="00BE1E1D">
      <w:pPr>
        <w:jc w:val="both"/>
        <w:rPr>
          <w:lang w:val="en-US"/>
        </w:rPr>
      </w:pPr>
      <w:r>
        <w:rPr>
          <w:lang w:val="en-US"/>
        </w:rPr>
        <w:t xml:space="preserve">Diterima </w:t>
      </w:r>
      <w:r>
        <w:rPr>
          <w:lang w:val="en-US"/>
        </w:rPr>
        <w:tab/>
        <w:t>:</w:t>
      </w:r>
      <w:r w:rsidR="007554E3">
        <w:rPr>
          <w:lang w:val="en-US"/>
        </w:rPr>
        <w:tab/>
        <w:t>Juli 2020</w:t>
      </w:r>
    </w:p>
    <w:p w:rsidR="00BE1E1D" w:rsidRDefault="00BE1E1D" w:rsidP="00BE1E1D">
      <w:pPr>
        <w:jc w:val="both"/>
        <w:rPr>
          <w:lang w:val="en-US"/>
        </w:rPr>
      </w:pPr>
      <w:r>
        <w:rPr>
          <w:lang w:val="en-US"/>
        </w:rPr>
        <w:t xml:space="preserve">Direvisi </w:t>
      </w:r>
      <w:r>
        <w:rPr>
          <w:lang w:val="en-US"/>
        </w:rPr>
        <w:tab/>
        <w:t>:</w:t>
      </w:r>
      <w:r w:rsidR="007554E3">
        <w:rPr>
          <w:lang w:val="en-US"/>
        </w:rPr>
        <w:tab/>
        <w:t>Juli 2020</w:t>
      </w:r>
    </w:p>
    <w:p w:rsidR="00BE1E1D" w:rsidRPr="00BE1E1D" w:rsidRDefault="00BE1E1D" w:rsidP="00BE1E1D">
      <w:pPr>
        <w:jc w:val="both"/>
        <w:rPr>
          <w:lang w:val="en-US"/>
        </w:rPr>
      </w:pPr>
      <w:r>
        <w:rPr>
          <w:lang w:val="en-US"/>
        </w:rPr>
        <w:t xml:space="preserve">Disetujui </w:t>
      </w:r>
      <w:r>
        <w:rPr>
          <w:lang w:val="en-US"/>
        </w:rPr>
        <w:tab/>
        <w:t>:</w:t>
      </w:r>
      <w:r w:rsidR="007554E3">
        <w:rPr>
          <w:lang w:val="en-US"/>
        </w:rPr>
        <w:tab/>
        <w:t>Juli 2020</w:t>
      </w:r>
    </w:p>
    <w:p w:rsidR="00BE1E1D" w:rsidRDefault="00BE1E1D" w:rsidP="00BE1E1D">
      <w:pPr>
        <w:jc w:val="both"/>
      </w:pPr>
    </w:p>
    <w:p w:rsidR="00BE1E1D" w:rsidRDefault="00BE1E1D" w:rsidP="00BE1E1D">
      <w:pPr>
        <w:jc w:val="both"/>
        <w:rPr>
          <w:lang w:val="en-US"/>
        </w:rPr>
      </w:pPr>
      <w:r>
        <w:rPr>
          <w:lang w:val="en-US"/>
        </w:rPr>
        <w:t>*Fakultas Hukum Universitas Sriwijaya. Email:</w:t>
      </w:r>
    </w:p>
    <w:p w:rsidR="00BE1E1D" w:rsidRPr="00BE1E1D" w:rsidRDefault="00BE1E1D" w:rsidP="00BE1E1D">
      <w:pPr>
        <w:jc w:val="both"/>
        <w:rPr>
          <w:lang w:val="en-US"/>
        </w:rPr>
      </w:pPr>
      <w:r>
        <w:rPr>
          <w:lang w:val="en-US"/>
        </w:rPr>
        <w:t>** Program Pascasarjana Fakultas Hukum Universitas Sriwijaya. Email:</w:t>
      </w:r>
    </w:p>
    <w:p w:rsidR="00BE1E1D" w:rsidRDefault="00BE1E1D" w:rsidP="00BE1E1D">
      <w:pPr>
        <w:jc w:val="both"/>
        <w:rPr>
          <w:lang w:val="en-US"/>
        </w:rPr>
      </w:pPr>
      <w:r>
        <w:rPr>
          <w:lang w:val="en-US"/>
        </w:rPr>
        <w:t>***Pengelola Jurnal Lex LATA Fakultas Hukum Universitas Sriwijaya. Email:</w:t>
      </w:r>
    </w:p>
    <w:p w:rsidR="00B8048E" w:rsidRDefault="00B8048E" w:rsidP="007554E3">
      <w:pPr>
        <w:spacing w:line="276" w:lineRule="auto"/>
        <w:ind w:left="1260" w:hanging="1260"/>
        <w:rPr>
          <w:b/>
          <w:lang w:val="en-US"/>
        </w:rPr>
      </w:pPr>
    </w:p>
    <w:p w:rsidR="009629A9" w:rsidRDefault="009629A9" w:rsidP="007554E3">
      <w:pPr>
        <w:spacing w:line="276" w:lineRule="auto"/>
        <w:ind w:left="1260" w:hanging="1260"/>
        <w:rPr>
          <w:b/>
          <w:lang w:val="en-US"/>
        </w:rPr>
      </w:pPr>
    </w:p>
    <w:p w:rsidR="009629A9" w:rsidRDefault="009629A9" w:rsidP="007554E3">
      <w:pPr>
        <w:spacing w:line="276" w:lineRule="auto"/>
        <w:ind w:left="1260" w:hanging="1260"/>
        <w:rPr>
          <w:b/>
          <w:lang w:val="en-US"/>
        </w:rPr>
      </w:pPr>
    </w:p>
    <w:p w:rsidR="009629A9" w:rsidRDefault="009629A9" w:rsidP="007554E3">
      <w:pPr>
        <w:spacing w:line="276" w:lineRule="auto"/>
        <w:ind w:left="1260" w:hanging="1260"/>
        <w:rPr>
          <w:b/>
          <w:lang w:val="en-US"/>
        </w:rPr>
      </w:pPr>
    </w:p>
    <w:p w:rsidR="009629A9" w:rsidRPr="006E2F09" w:rsidRDefault="00B427F3" w:rsidP="009629A9">
      <w:pPr>
        <w:spacing w:line="276" w:lineRule="auto"/>
        <w:ind w:left="1260" w:hanging="1260"/>
        <w:rPr>
          <w:b/>
          <w:lang w:val="en-US"/>
        </w:rPr>
      </w:pPr>
      <w:r>
        <w:rPr>
          <w:b/>
          <w:lang w:val="en-US"/>
        </w:rPr>
        <w:lastRenderedPageBreak/>
        <w:t>PENDAHULUAN</w:t>
      </w:r>
    </w:p>
    <w:p w:rsidR="00DD3DE2" w:rsidRDefault="00DA25EB" w:rsidP="009629A9">
      <w:pPr>
        <w:spacing w:line="276" w:lineRule="auto"/>
        <w:ind w:firstLine="720"/>
        <w:jc w:val="both"/>
      </w:pPr>
      <w:r>
        <w:rPr>
          <w:lang w:val="en-US"/>
        </w:rPr>
        <w:t>H</w:t>
      </w:r>
      <w:r w:rsidR="00DD3DE2">
        <w:t>asil amandemen UUD 1945 telah membawa angin perubahan (</w:t>
      </w:r>
      <w:r w:rsidR="00DD3DE2" w:rsidRPr="00805826">
        <w:rPr>
          <w:i/>
        </w:rPr>
        <w:t>wind of change</w:t>
      </w:r>
      <w:r w:rsidR="00DD3DE2">
        <w:t xml:space="preserve">) dalam kehidupan ketatanegaraan terutama dalam pelaksanaan </w:t>
      </w:r>
      <w:r w:rsidR="00732058">
        <w:rPr>
          <w:lang w:val="en-US"/>
        </w:rPr>
        <w:t>k</w:t>
      </w:r>
      <w:r w:rsidR="00DD3DE2">
        <w:t xml:space="preserve">ekuasaan </w:t>
      </w:r>
      <w:r w:rsidR="00732058">
        <w:rPr>
          <w:lang w:val="en-US"/>
        </w:rPr>
        <w:t>k</w:t>
      </w:r>
      <w:r w:rsidR="00DD3DE2">
        <w:t>ehakiman. Berdasarkan perubahan tersebut konstruksi kekuasa</w:t>
      </w:r>
      <w:r w:rsidR="00B22068">
        <w:t>a</w:t>
      </w:r>
      <w:r w:rsidR="00DD3DE2">
        <w:t>n kahakiman tidak lagi menjadi otoritas Mahkamah Agung dan badan peradilan di</w:t>
      </w:r>
      <w:r w:rsidR="00E70DE5">
        <w:rPr>
          <w:lang w:val="en-US"/>
        </w:rPr>
        <w:t xml:space="preserve"> </w:t>
      </w:r>
      <w:r w:rsidR="00E70DE5">
        <w:t>bawah</w:t>
      </w:r>
      <w:r w:rsidR="00E70DE5">
        <w:rPr>
          <w:lang w:val="en-US"/>
        </w:rPr>
        <w:t>n</w:t>
      </w:r>
      <w:r w:rsidR="00DD3DE2">
        <w:t>ya, tetapi juga oleh sebuah Mahkamah Konstitusi.</w:t>
      </w:r>
      <w:r w:rsidR="00DD3DE2">
        <w:rPr>
          <w:rStyle w:val="FootnoteReference"/>
        </w:rPr>
        <w:footnoteReference w:id="2"/>
      </w:r>
      <w:r w:rsidR="00DD3DE2">
        <w:t xml:space="preserve"> Di</w:t>
      </w:r>
      <w:r w:rsidR="00E70DE5">
        <w:rPr>
          <w:lang w:val="en-US"/>
        </w:rPr>
        <w:t xml:space="preserve"> </w:t>
      </w:r>
      <w:r w:rsidR="00DD3DE2">
        <w:t>samping perubahan yang menyan</w:t>
      </w:r>
      <w:r w:rsidR="005D0E61">
        <w:t>gkut kelembagaan penyelenggara</w:t>
      </w:r>
      <w:r w:rsidR="00DD3DE2">
        <w:t xml:space="preserve"> </w:t>
      </w:r>
      <w:r w:rsidR="00732058">
        <w:rPr>
          <w:lang w:val="en-US"/>
        </w:rPr>
        <w:t>k</w:t>
      </w:r>
      <w:r w:rsidR="00732058">
        <w:t xml:space="preserve">ekuasaan </w:t>
      </w:r>
      <w:r w:rsidR="00732058">
        <w:rPr>
          <w:lang w:val="en-US"/>
        </w:rPr>
        <w:t>k</w:t>
      </w:r>
      <w:r w:rsidR="00DD3DE2">
        <w:t xml:space="preserve">ehakiman, amandemen UUD 1945 telah mengintroduksi pula suatu lembaga negara baru yang berkaitan dengan penyelenggaraan </w:t>
      </w:r>
      <w:r w:rsidR="00732058">
        <w:rPr>
          <w:lang w:val="en-US"/>
        </w:rPr>
        <w:t>k</w:t>
      </w:r>
      <w:r w:rsidR="00DD3DE2">
        <w:t xml:space="preserve">ekuasaan </w:t>
      </w:r>
      <w:r w:rsidR="00732058">
        <w:rPr>
          <w:lang w:val="en-US"/>
        </w:rPr>
        <w:t>k</w:t>
      </w:r>
      <w:r w:rsidR="00DD3DE2">
        <w:t>ehakiman yang disebut Komisi Yudisial.</w:t>
      </w:r>
      <w:r w:rsidR="00DD3DE2">
        <w:rPr>
          <w:rStyle w:val="FootnoteReference"/>
        </w:rPr>
        <w:footnoteReference w:id="3"/>
      </w:r>
      <w:r w:rsidR="00DD3DE2">
        <w:t xml:space="preserve"> </w:t>
      </w:r>
    </w:p>
    <w:p w:rsidR="00DD3DE2" w:rsidRPr="00B0391A" w:rsidRDefault="00DD3DE2" w:rsidP="009629A9">
      <w:pPr>
        <w:spacing w:line="276" w:lineRule="auto"/>
        <w:ind w:firstLine="720"/>
        <w:jc w:val="both"/>
        <w:rPr>
          <w:lang w:val="fi-FI"/>
        </w:rPr>
      </w:pPr>
      <w:r>
        <w:t xml:space="preserve">Kunci dari keberadaan Komisi Yudisial adalah menjaga mekanisme </w:t>
      </w:r>
      <w:r w:rsidRPr="00A63DE7">
        <w:rPr>
          <w:i/>
        </w:rPr>
        <w:t>check and balances</w:t>
      </w:r>
      <w:r w:rsidR="00E70DE5">
        <w:t xml:space="preserve"> dalam pelaksanaan </w:t>
      </w:r>
      <w:r w:rsidR="00E70DE5">
        <w:rPr>
          <w:lang w:val="en-US"/>
        </w:rPr>
        <w:t>k</w:t>
      </w:r>
      <w:r>
        <w:t xml:space="preserve">ekuasaan </w:t>
      </w:r>
      <w:r w:rsidR="00E70DE5">
        <w:rPr>
          <w:lang w:val="en-US"/>
        </w:rPr>
        <w:t>k</w:t>
      </w:r>
      <w:r>
        <w:t xml:space="preserve">ehakiman. </w:t>
      </w:r>
      <w:r w:rsidRPr="00B0391A">
        <w:rPr>
          <w:lang w:val="fi-FI"/>
        </w:rPr>
        <w:t xml:space="preserve">Oleh karena itu, walaupun Komisi Yudisial bukan sebagai pelaksana </w:t>
      </w:r>
      <w:r w:rsidR="00E70DE5">
        <w:rPr>
          <w:lang w:val="fi-FI"/>
        </w:rPr>
        <w:t>k</w:t>
      </w:r>
      <w:r w:rsidRPr="00B0391A">
        <w:rPr>
          <w:lang w:val="fi-FI"/>
        </w:rPr>
        <w:t xml:space="preserve">ekuasaan </w:t>
      </w:r>
      <w:r w:rsidR="00E70DE5">
        <w:rPr>
          <w:lang w:val="fi-FI"/>
        </w:rPr>
        <w:t>k</w:t>
      </w:r>
      <w:r w:rsidRPr="00B0391A">
        <w:rPr>
          <w:lang w:val="fi-FI"/>
        </w:rPr>
        <w:t xml:space="preserve">ehakiman, tetapi fungsinya berkaitan dengan </w:t>
      </w:r>
      <w:r w:rsidR="00E70DE5">
        <w:rPr>
          <w:lang w:val="fi-FI"/>
        </w:rPr>
        <w:t>k</w:t>
      </w:r>
      <w:r w:rsidRPr="00B0391A">
        <w:rPr>
          <w:lang w:val="fi-FI"/>
        </w:rPr>
        <w:t xml:space="preserve">ekuasaan </w:t>
      </w:r>
      <w:r w:rsidR="00E70DE5">
        <w:rPr>
          <w:lang w:val="fi-FI"/>
        </w:rPr>
        <w:t>k</w:t>
      </w:r>
      <w:r w:rsidRPr="00B0391A">
        <w:rPr>
          <w:lang w:val="fi-FI"/>
        </w:rPr>
        <w:t>ehakiman. Komisi Yudisial merupakan suatu lembaga negara baru yang bersifat mandiri dan dalam pelaksanaan wewenangnya bebas dari cam</w:t>
      </w:r>
      <w:r w:rsidR="008D30A4">
        <w:rPr>
          <w:lang w:val="fi-FI"/>
        </w:rPr>
        <w:t>pur tangan atau pengaruh kekuas</w:t>
      </w:r>
      <w:r w:rsidRPr="00B0391A">
        <w:rPr>
          <w:lang w:val="fi-FI"/>
        </w:rPr>
        <w:t>aan lainnya. Di</w:t>
      </w:r>
      <w:r w:rsidR="00E70DE5">
        <w:rPr>
          <w:lang w:val="fi-FI"/>
        </w:rPr>
        <w:t xml:space="preserve"> </w:t>
      </w:r>
      <w:r w:rsidRPr="00B0391A">
        <w:rPr>
          <w:lang w:val="fi-FI"/>
        </w:rPr>
        <w:t xml:space="preserve">samping itu, kehadiran Komisi Yudisial dimaksudkan agar independensi </w:t>
      </w:r>
      <w:r w:rsidR="00E70DE5">
        <w:rPr>
          <w:lang w:val="fi-FI"/>
        </w:rPr>
        <w:t>k</w:t>
      </w:r>
      <w:r w:rsidRPr="00B0391A">
        <w:rPr>
          <w:lang w:val="fi-FI"/>
        </w:rPr>
        <w:t xml:space="preserve">ekuasaan </w:t>
      </w:r>
      <w:r w:rsidR="00E70DE5">
        <w:rPr>
          <w:lang w:val="fi-FI"/>
        </w:rPr>
        <w:t>k</w:t>
      </w:r>
      <w:r w:rsidR="00B22068">
        <w:rPr>
          <w:lang w:val="fi-FI"/>
        </w:rPr>
        <w:t xml:space="preserve">ehakiman yang dilaksanakan oleh Mahkamah Agung dan seluruh badan peradilan </w:t>
      </w:r>
      <w:r w:rsidR="00AD5BF0">
        <w:rPr>
          <w:lang w:val="fi-FI"/>
        </w:rPr>
        <w:t xml:space="preserve">yang </w:t>
      </w:r>
      <w:r w:rsidR="00B22068">
        <w:rPr>
          <w:lang w:val="fi-FI"/>
        </w:rPr>
        <w:t xml:space="preserve">berada di bawahnya tetap </w:t>
      </w:r>
      <w:r w:rsidRPr="00B0391A">
        <w:rPr>
          <w:lang w:val="fi-FI"/>
        </w:rPr>
        <w:t>terkontrol. Tanpa pengontrol dan pengimbang dari lembaga eksternal bisa mengarah kepada tirani kekuasaan yudikatif, atau format ketatanegaraan yang sama buruknya dengan tirani eksekutif dan tirani legislatif.</w:t>
      </w:r>
      <w:r>
        <w:rPr>
          <w:rStyle w:val="FootnoteReference"/>
        </w:rPr>
        <w:footnoteReference w:id="4"/>
      </w:r>
      <w:r w:rsidRPr="00B0391A">
        <w:rPr>
          <w:lang w:val="fi-FI"/>
        </w:rPr>
        <w:t xml:space="preserve"> Sesuai dengan adagium yang dikemukakan negarawan Inggris, John Emerick Edward Dalberg Acton, </w:t>
      </w:r>
      <w:r w:rsidRPr="00B0391A">
        <w:rPr>
          <w:i/>
          <w:lang w:val="fi-FI"/>
        </w:rPr>
        <w:t>“Power tend to corrupt and absolute power tends to corrupt absolutely”</w:t>
      </w:r>
      <w:r w:rsidR="00732058">
        <w:rPr>
          <w:lang w:val="fi-FI"/>
        </w:rPr>
        <w:t xml:space="preserve"> (k</w:t>
      </w:r>
      <w:r w:rsidRPr="00B0391A">
        <w:rPr>
          <w:lang w:val="fi-FI"/>
        </w:rPr>
        <w:t xml:space="preserve">ekuasaan itu cenderung bersalah guna dan kekuasaan yang semakin besar </w:t>
      </w:r>
      <w:r>
        <w:rPr>
          <w:lang w:val="fi-FI"/>
        </w:rPr>
        <w:t xml:space="preserve">akan semakin besar </w:t>
      </w:r>
      <w:r w:rsidRPr="00B0391A">
        <w:rPr>
          <w:lang w:val="fi-FI"/>
        </w:rPr>
        <w:t>pula kecenderungan bersalah guna).</w:t>
      </w:r>
      <w:r>
        <w:rPr>
          <w:rStyle w:val="FootnoteReference"/>
        </w:rPr>
        <w:footnoteReference w:id="5"/>
      </w:r>
    </w:p>
    <w:p w:rsidR="00DD3DE2" w:rsidRPr="00B0391A" w:rsidRDefault="00DD3DE2" w:rsidP="009629A9">
      <w:pPr>
        <w:spacing w:line="276" w:lineRule="auto"/>
        <w:ind w:firstLine="720"/>
        <w:jc w:val="both"/>
        <w:rPr>
          <w:lang w:val="fi-FI"/>
        </w:rPr>
      </w:pPr>
      <w:r w:rsidRPr="00B0391A">
        <w:rPr>
          <w:lang w:val="fi-FI"/>
        </w:rPr>
        <w:t xml:space="preserve">Cabang </w:t>
      </w:r>
      <w:r w:rsidR="00732058">
        <w:rPr>
          <w:lang w:val="fi-FI"/>
        </w:rPr>
        <w:t>k</w:t>
      </w:r>
      <w:r w:rsidRPr="00B0391A">
        <w:rPr>
          <w:lang w:val="fi-FI"/>
        </w:rPr>
        <w:t xml:space="preserve">ekuasaan </w:t>
      </w:r>
      <w:r w:rsidR="00732058">
        <w:rPr>
          <w:lang w:val="fi-FI"/>
        </w:rPr>
        <w:t>k</w:t>
      </w:r>
      <w:r w:rsidRPr="00B0391A">
        <w:rPr>
          <w:lang w:val="fi-FI"/>
        </w:rPr>
        <w:t>ehakiman sebagai pilar ketiga negara demokrasi yang berdasarkan atas hukum (</w:t>
      </w:r>
      <w:r w:rsidRPr="00B0391A">
        <w:rPr>
          <w:i/>
          <w:lang w:val="fi-FI"/>
        </w:rPr>
        <w:t>principle of constitutional democracy</w:t>
      </w:r>
      <w:r w:rsidRPr="00B0391A">
        <w:rPr>
          <w:lang w:val="fi-FI"/>
        </w:rPr>
        <w:t xml:space="preserve">) atau </w:t>
      </w:r>
      <w:r w:rsidRPr="00B0391A">
        <w:rPr>
          <w:i/>
          <w:lang w:val="fi-FI"/>
        </w:rPr>
        <w:t xml:space="preserve">the third estate of democracy </w:t>
      </w:r>
      <w:r w:rsidRPr="00B0391A">
        <w:rPr>
          <w:lang w:val="fi-FI"/>
        </w:rPr>
        <w:t xml:space="preserve">tercermin dalam kekuasaan Mahkamah Agung dan Mahkamah Konstitusi. Sedangkan Komisi Yudisial berfungsi sebagai penjaga dan penegak kehormatan, keluhuran martabat, dan perilaku hakim. Demokrasi perlu diimbangi oleh </w:t>
      </w:r>
      <w:r w:rsidRPr="00B0391A">
        <w:rPr>
          <w:i/>
          <w:lang w:val="fi-FI"/>
        </w:rPr>
        <w:t>rule of law</w:t>
      </w:r>
      <w:r w:rsidRPr="00B0391A">
        <w:rPr>
          <w:lang w:val="fi-FI"/>
        </w:rPr>
        <w:t xml:space="preserve">, dan berkembang efektifnya </w:t>
      </w:r>
      <w:r w:rsidRPr="00B0391A">
        <w:rPr>
          <w:i/>
          <w:lang w:val="fi-FI"/>
        </w:rPr>
        <w:t>rule of law</w:t>
      </w:r>
      <w:r w:rsidRPr="00B0391A">
        <w:rPr>
          <w:lang w:val="fi-FI"/>
        </w:rPr>
        <w:t xml:space="preserve"> dan bahkan </w:t>
      </w:r>
      <w:r w:rsidRPr="00B0391A">
        <w:rPr>
          <w:i/>
          <w:lang w:val="fi-FI"/>
        </w:rPr>
        <w:t>rule of just law</w:t>
      </w:r>
      <w:r w:rsidRPr="00B0391A">
        <w:rPr>
          <w:lang w:val="fi-FI"/>
        </w:rPr>
        <w:t xml:space="preserve"> sangat tergantung kepada keterpercayaan aparatur penegak hukum, khususnya para </w:t>
      </w:r>
      <w:r w:rsidRPr="00B0391A">
        <w:rPr>
          <w:lang w:val="fi-FI"/>
        </w:rPr>
        <w:lastRenderedPageBreak/>
        <w:t>hakim. Karena itu, kehormatan, keluhuran martabat, dan perilaku hakim menjadi suatu yang mutla</w:t>
      </w:r>
      <w:r w:rsidR="001C6A3C">
        <w:rPr>
          <w:lang w:val="fi-FI"/>
        </w:rPr>
        <w:t>k diperlukan dalam sistem demok</w:t>
      </w:r>
      <w:r w:rsidRPr="00B0391A">
        <w:rPr>
          <w:lang w:val="fi-FI"/>
        </w:rPr>
        <w:t>rasi konstitusional.</w:t>
      </w:r>
      <w:r>
        <w:rPr>
          <w:rStyle w:val="FootnoteReference"/>
        </w:rPr>
        <w:footnoteReference w:id="6"/>
      </w:r>
      <w:r w:rsidRPr="00B0391A">
        <w:rPr>
          <w:lang w:val="fi-FI"/>
        </w:rPr>
        <w:t xml:space="preserve"> </w:t>
      </w:r>
    </w:p>
    <w:p w:rsidR="00DD3DE2" w:rsidRPr="00B0391A" w:rsidRDefault="00DD3DE2" w:rsidP="009629A9">
      <w:pPr>
        <w:spacing w:line="276" w:lineRule="auto"/>
        <w:ind w:firstLine="720"/>
        <w:jc w:val="both"/>
        <w:rPr>
          <w:lang w:val="fi-FI"/>
        </w:rPr>
      </w:pPr>
      <w:r w:rsidRPr="00B0391A">
        <w:rPr>
          <w:lang w:val="fi-FI"/>
        </w:rPr>
        <w:t>UUD 1945 menegaskan, bahwa Negara Kesatuan Republik Indonesia adalah Negara Hukum.</w:t>
      </w:r>
      <w:r>
        <w:rPr>
          <w:rStyle w:val="FootnoteReference"/>
        </w:rPr>
        <w:footnoteReference w:id="7"/>
      </w:r>
      <w:r w:rsidRPr="00B0391A">
        <w:rPr>
          <w:lang w:val="fi-FI"/>
        </w:rPr>
        <w:t xml:space="preserve"> Kaid</w:t>
      </w:r>
      <w:r w:rsidR="001C6A3C">
        <w:rPr>
          <w:lang w:val="fi-FI"/>
        </w:rPr>
        <w:t>ah ini mengandung makna, bahwa h</w:t>
      </w:r>
      <w:r w:rsidRPr="00B0391A">
        <w:rPr>
          <w:lang w:val="fi-FI"/>
        </w:rPr>
        <w:t>ukum di Negara Indonesia ditempatkan pada posisi yang strategis di dalam konstelasi ketatanegaraan.</w:t>
      </w:r>
      <w:r>
        <w:rPr>
          <w:rStyle w:val="FootnoteReference"/>
        </w:rPr>
        <w:footnoteReference w:id="8"/>
      </w:r>
      <w:r w:rsidRPr="00B0391A">
        <w:rPr>
          <w:lang w:val="fi-FI"/>
        </w:rPr>
        <w:t xml:space="preserve"> Salah satu ciri negara hukum demokratis adalah terselenggaranya peradilan yang bebas, mandiri (</w:t>
      </w:r>
      <w:r w:rsidRPr="00B0391A">
        <w:rPr>
          <w:i/>
          <w:lang w:val="fi-FI"/>
        </w:rPr>
        <w:t>Independen</w:t>
      </w:r>
      <w:r w:rsidRPr="00B0391A">
        <w:rPr>
          <w:lang w:val="fi-FI"/>
        </w:rPr>
        <w:t>) dan tidak memihak (</w:t>
      </w:r>
      <w:r w:rsidRPr="00B0391A">
        <w:rPr>
          <w:i/>
          <w:lang w:val="fi-FI"/>
        </w:rPr>
        <w:t>Netral</w:t>
      </w:r>
      <w:r w:rsidRPr="00B0391A">
        <w:rPr>
          <w:lang w:val="fi-FI"/>
        </w:rPr>
        <w:t>). Hanya pengadilan yang memiliki semua kriteria tersebut yang dapat menjamin pemenuhan hak asasi manusia.</w:t>
      </w:r>
      <w:r>
        <w:rPr>
          <w:rStyle w:val="FootnoteReference"/>
        </w:rPr>
        <w:footnoteReference w:id="9"/>
      </w:r>
    </w:p>
    <w:p w:rsidR="00DD3DE2" w:rsidRPr="00B0391A" w:rsidRDefault="00DD3DE2" w:rsidP="009629A9">
      <w:pPr>
        <w:spacing w:line="276" w:lineRule="auto"/>
        <w:ind w:firstLine="720"/>
        <w:jc w:val="both"/>
        <w:rPr>
          <w:lang w:val="fi-FI"/>
        </w:rPr>
      </w:pPr>
      <w:r w:rsidRPr="00B0391A">
        <w:rPr>
          <w:lang w:val="fi-FI"/>
        </w:rPr>
        <w:t>Persoalan mendasar dalam lingkup penegakan hukum saat ini adalah lemahnya tingkat kepercayaan masyarakat terhadap institusi peradilan. Hal ini dipengaruhi oleh catatan-catatan perjalanan penegakan hukum yang dipandang masyarakat bersikap diskriminatif dan kurang memenuhi</w:t>
      </w:r>
      <w:r>
        <w:rPr>
          <w:lang w:val="fi-FI"/>
        </w:rPr>
        <w:t xml:space="preserve"> </w:t>
      </w:r>
      <w:r w:rsidRPr="00B0391A">
        <w:rPr>
          <w:lang w:val="fi-FI"/>
        </w:rPr>
        <w:t xml:space="preserve">rasa keadilan. Ditambah dengan tidak jelasnya penegakkan terhadap hakim-hakim yang menyalahgunakan wewenang untuk meraih keuntungan pribadi. </w:t>
      </w:r>
      <w:r w:rsidRPr="001C6A3C">
        <w:rPr>
          <w:lang w:val="sv-SE"/>
        </w:rPr>
        <w:t>Karena itu, menjaga i</w:t>
      </w:r>
      <w:r w:rsidR="001C6A3C" w:rsidRPr="001C6A3C">
        <w:rPr>
          <w:lang w:val="sv-SE"/>
        </w:rPr>
        <w:t>n</w:t>
      </w:r>
      <w:r w:rsidRPr="001C6A3C">
        <w:rPr>
          <w:lang w:val="sv-SE"/>
        </w:rPr>
        <w:t xml:space="preserve">tegritas dan perilaku hakim menjadi penting, agar lembaga ini tetap menjadi lembaga terpercaya. </w:t>
      </w:r>
      <w:r w:rsidRPr="00B0391A">
        <w:rPr>
          <w:lang w:val="fi-FI"/>
        </w:rPr>
        <w:t>Kewibawaan lembaga kehakiman ditentukan</w:t>
      </w:r>
      <w:r w:rsidR="00EF67DE">
        <w:rPr>
          <w:lang w:val="fi-FI"/>
        </w:rPr>
        <w:t xml:space="preserve"> oleh sebe</w:t>
      </w:r>
      <w:r w:rsidRPr="00B0391A">
        <w:rPr>
          <w:lang w:val="fi-FI"/>
        </w:rPr>
        <w:t>rapa besar integritas, independensi dan keteguhan para hakim memegang moral serta janji yang telah diikrarkan.</w:t>
      </w:r>
      <w:r>
        <w:rPr>
          <w:rStyle w:val="FootnoteReference"/>
        </w:rPr>
        <w:footnoteReference w:id="10"/>
      </w:r>
      <w:r w:rsidR="009629A9">
        <w:rPr>
          <w:lang w:val="fi-FI"/>
        </w:rPr>
        <w:t xml:space="preserve"> </w:t>
      </w:r>
      <w:r w:rsidRPr="00B0391A">
        <w:rPr>
          <w:lang w:val="fi-FI"/>
        </w:rPr>
        <w:t>Sebagai aktor utama lembaga peradilan, posisi dan peranan hakim menjadi sangat penting, terlebih dengan segala kewenangan yang dimilikinya. Melalui putusannya seorang hakim dapat mengalihkan hak kepemilikan seseorang, mencabut kebebasan warga negara, menyatakan tidak sah tindakan sewenang-wenang pemerintah terhadap masyarakat, sampai dengan memerintahkan penghilangan hak hidup seseorang. Semuanya harus dilakukan dalam rangka penegakan hukum dan keadilan. Suatu kewenang</w:t>
      </w:r>
      <w:r w:rsidR="00E964E2">
        <w:rPr>
          <w:lang w:val="fi-FI"/>
        </w:rPr>
        <w:t>a</w:t>
      </w:r>
      <w:r w:rsidRPr="00B0391A">
        <w:rPr>
          <w:lang w:val="fi-FI"/>
        </w:rPr>
        <w:t>n yang san</w:t>
      </w:r>
      <w:r w:rsidR="00E964E2">
        <w:rPr>
          <w:lang w:val="fi-FI"/>
        </w:rPr>
        <w:t>gat besar dan menuntut tanggung</w:t>
      </w:r>
      <w:r w:rsidRPr="00B0391A">
        <w:rPr>
          <w:lang w:val="fi-FI"/>
        </w:rPr>
        <w:t>jawab yang tinggi. Bahkan putusan pengadilan yang diucapkan dengan</w:t>
      </w:r>
      <w:r w:rsidRPr="00C16983">
        <w:rPr>
          <w:lang w:val="fi-FI"/>
        </w:rPr>
        <w:t xml:space="preserve"> irah-irah “Demi Keadilan Berdasarkan Ketuhanan Yang Maha Esa”</w:t>
      </w:r>
      <w:r w:rsidR="00C16983">
        <w:rPr>
          <w:lang w:val="fi-FI"/>
        </w:rPr>
        <w:t xml:space="preserve"> </w:t>
      </w:r>
      <w:r w:rsidRPr="00B0391A">
        <w:rPr>
          <w:lang w:val="fi-FI"/>
        </w:rPr>
        <w:t>menunjukkan, bahwa kewajiban menegakkan kea</w:t>
      </w:r>
      <w:r w:rsidR="00E964E2">
        <w:rPr>
          <w:lang w:val="fi-FI"/>
        </w:rPr>
        <w:t>dilan tidak hanya dipertanggung</w:t>
      </w:r>
      <w:r w:rsidRPr="00B0391A">
        <w:rPr>
          <w:lang w:val="fi-FI"/>
        </w:rPr>
        <w:t>jawabkan secara horizontal k</w:t>
      </w:r>
      <w:r w:rsidR="001C6A3C">
        <w:rPr>
          <w:lang w:val="fi-FI"/>
        </w:rPr>
        <w:t>epada sesama manusia, tetapi ju</w:t>
      </w:r>
      <w:r w:rsidRPr="00B0391A">
        <w:rPr>
          <w:lang w:val="fi-FI"/>
        </w:rPr>
        <w:t xml:space="preserve">ga vertikal kepada Tuhan Yang Maha Esa. Maka adalah wajar, menurut Abu Hurairah, bahwa Rasulullah SAW pernah bersabda, </w:t>
      </w:r>
      <w:r w:rsidRPr="000F02DE">
        <w:rPr>
          <w:lang w:val="fi-FI"/>
        </w:rPr>
        <w:t xml:space="preserve">“Siapapun </w:t>
      </w:r>
      <w:r w:rsidRPr="000F02DE">
        <w:rPr>
          <w:lang w:val="fi-FI"/>
        </w:rPr>
        <w:lastRenderedPageBreak/>
        <w:t>yang dilantik menjadi hakim diantara sesama manusia, sama seperti lehernya disembelih tanpa pisau</w:t>
      </w:r>
      <w:r w:rsidR="000F02DE">
        <w:rPr>
          <w:lang w:val="fi-FI"/>
        </w:rPr>
        <w:t>”</w:t>
      </w:r>
      <w:r w:rsidRPr="000F02DE">
        <w:rPr>
          <w:lang w:val="fi-FI"/>
        </w:rPr>
        <w:t>.</w:t>
      </w:r>
      <w:r>
        <w:rPr>
          <w:rStyle w:val="FootnoteReference"/>
        </w:rPr>
        <w:footnoteReference w:id="11"/>
      </w:r>
      <w:r w:rsidRPr="00B0391A">
        <w:rPr>
          <w:lang w:val="fi-FI"/>
        </w:rPr>
        <w:t xml:space="preserve"> </w:t>
      </w:r>
    </w:p>
    <w:p w:rsidR="00DD3DE2" w:rsidRPr="00B0391A" w:rsidRDefault="00DD3DE2" w:rsidP="009629A9">
      <w:pPr>
        <w:spacing w:line="276" w:lineRule="auto"/>
        <w:ind w:firstLine="720"/>
        <w:jc w:val="both"/>
        <w:rPr>
          <w:lang w:val="sv-SE"/>
        </w:rPr>
      </w:pPr>
      <w:r w:rsidRPr="00B0391A">
        <w:rPr>
          <w:lang w:val="sv-SE"/>
        </w:rPr>
        <w:t>Timbulnya gagasan pembentukan Komisi Yudisial didorong oleh kegagalan sistem yang ada untuk menciptakan peradilan yang lebih baik. Usaha memperbaiki sistem yang kurang efektif tersebut antara lain dilakukan dengan pengalihan kewenangan pembinaan administrasi, keuangan dan organisasi dari Departemen Kehakiman ke Mahkamah Agung. Akan tetapi pengalihan kewenangan tersebut juga dipandang belum tentu mampu menyelesaikan masalah yang ada dan justru menimbulkan kekhawatiran baru yaitu monopoli kekuasaan oleh Mahkamah Agung.</w:t>
      </w:r>
      <w:r>
        <w:rPr>
          <w:rStyle w:val="FootnoteReference"/>
        </w:rPr>
        <w:footnoteReference w:id="12"/>
      </w:r>
      <w:r w:rsidRPr="00B0391A">
        <w:rPr>
          <w:lang w:val="sv-SE"/>
        </w:rPr>
        <w:t xml:space="preserve"> </w:t>
      </w:r>
    </w:p>
    <w:p w:rsidR="009629A9" w:rsidRDefault="00DD3DE2" w:rsidP="009629A9">
      <w:pPr>
        <w:spacing w:line="276" w:lineRule="auto"/>
        <w:ind w:firstLine="720"/>
        <w:jc w:val="both"/>
        <w:rPr>
          <w:lang w:val="sv-SE"/>
        </w:rPr>
      </w:pPr>
      <w:r w:rsidRPr="00B0391A">
        <w:rPr>
          <w:lang w:val="sv-SE"/>
        </w:rPr>
        <w:t>Selama ini, upaya menjaga dan menegakkan kehormatan, keluhuran martabat, dan perilaku hakim itu, hanya dilakukan secara internal oleh para hakim sendiri. Akan tetapi, pengawasan perilaku yang bersifat internal melalui Majelis Kehormatan Hakim (MKH) di Mahka</w:t>
      </w:r>
      <w:r w:rsidR="00AD5BF0">
        <w:rPr>
          <w:lang w:val="sv-SE"/>
        </w:rPr>
        <w:t>mah Agung seperti selama ini di</w:t>
      </w:r>
      <w:r w:rsidRPr="00B0391A">
        <w:rPr>
          <w:lang w:val="sv-SE"/>
        </w:rPr>
        <w:t>nilai tidak efektif.</w:t>
      </w:r>
      <w:r>
        <w:rPr>
          <w:rStyle w:val="FootnoteReference"/>
        </w:rPr>
        <w:footnoteReference w:id="13"/>
      </w:r>
      <w:r w:rsidRPr="00B0391A">
        <w:rPr>
          <w:lang w:val="sv-SE"/>
        </w:rPr>
        <w:t xml:space="preserve"> </w:t>
      </w:r>
      <w:r w:rsidR="009629A9">
        <w:rPr>
          <w:lang w:val="sv-SE"/>
        </w:rPr>
        <w:t xml:space="preserve"> </w:t>
      </w:r>
      <w:r w:rsidRPr="00B0391A">
        <w:rPr>
          <w:lang w:val="sv-SE"/>
        </w:rPr>
        <w:t xml:space="preserve">Karena itu, ide pembentukan </w:t>
      </w:r>
      <w:r w:rsidR="000D7C26">
        <w:rPr>
          <w:lang w:val="sv-SE"/>
        </w:rPr>
        <w:t>K</w:t>
      </w:r>
      <w:r w:rsidRPr="00B0391A">
        <w:rPr>
          <w:lang w:val="sv-SE"/>
        </w:rPr>
        <w:t xml:space="preserve">omisi </w:t>
      </w:r>
      <w:r w:rsidR="000D7C26">
        <w:rPr>
          <w:lang w:val="sv-SE"/>
        </w:rPr>
        <w:t>Y</w:t>
      </w:r>
      <w:r w:rsidRPr="00B0391A">
        <w:rPr>
          <w:lang w:val="sv-SE"/>
        </w:rPr>
        <w:t>udisial dalam rangka pengawasan eksternal atas kehormatan dan perilaku hakim (</w:t>
      </w:r>
      <w:r w:rsidRPr="00B0391A">
        <w:rPr>
          <w:i/>
          <w:lang w:val="sv-SE"/>
        </w:rPr>
        <w:t>external audit</w:t>
      </w:r>
      <w:r w:rsidRPr="00B0391A">
        <w:rPr>
          <w:lang w:val="sv-SE"/>
        </w:rPr>
        <w:t xml:space="preserve">) ini diadopsikan. Dengan demikian, dapat diketahui bahwa keberadaan Komisi Yudisial ini berada dalam rumpun </w:t>
      </w:r>
      <w:r w:rsidR="005D0E61">
        <w:rPr>
          <w:lang w:val="sv-SE"/>
        </w:rPr>
        <w:t>Kekuasaan K</w:t>
      </w:r>
      <w:r w:rsidRPr="00B0391A">
        <w:rPr>
          <w:lang w:val="sv-SE"/>
        </w:rPr>
        <w:t>ehakiman.</w:t>
      </w:r>
      <w:r>
        <w:rPr>
          <w:rStyle w:val="FootnoteReference"/>
        </w:rPr>
        <w:footnoteReference w:id="14"/>
      </w:r>
      <w:r w:rsidRPr="00B0391A">
        <w:rPr>
          <w:lang w:val="sv-SE"/>
        </w:rPr>
        <w:t xml:space="preserve"> </w:t>
      </w:r>
    </w:p>
    <w:p w:rsidR="00DD3DE2" w:rsidRPr="00B0391A" w:rsidRDefault="00DD3DE2" w:rsidP="009629A9">
      <w:pPr>
        <w:spacing w:line="276" w:lineRule="auto"/>
        <w:ind w:firstLine="720"/>
        <w:jc w:val="both"/>
        <w:rPr>
          <w:lang w:val="sv-SE"/>
        </w:rPr>
      </w:pPr>
      <w:r w:rsidRPr="00B0391A">
        <w:rPr>
          <w:lang w:val="sv-SE"/>
        </w:rPr>
        <w:t>Keberadaan Komisi Yudisial diharapkan dapat menjadi lembaga negara yang bersifat mandiri dan lepas dari intervensi lembaga negara lain. Hal ini mengingat tugas utama Komisi Yudisial dikonstruksikan untuk menseleksi dan mengusulkan pengangkatan hakim agung. Selain</w:t>
      </w:r>
      <w:r>
        <w:rPr>
          <w:lang w:val="sv-SE"/>
        </w:rPr>
        <w:t xml:space="preserve"> i</w:t>
      </w:r>
      <w:r w:rsidRPr="00B0391A">
        <w:rPr>
          <w:lang w:val="sv-SE"/>
        </w:rPr>
        <w:t>tu, Komisi Yudisial juga memiliki kewenangan pengawasan dalam rangka menjaga dan menegakkan kehormatan, keluhuran martabat, serta perilaku hakim</w:t>
      </w:r>
      <w:r w:rsidR="0015298E">
        <w:rPr>
          <w:lang w:val="sv-SE"/>
        </w:rPr>
        <w:t xml:space="preserve"> </w:t>
      </w:r>
      <w:r w:rsidRPr="00B0391A">
        <w:rPr>
          <w:lang w:val="sv-SE"/>
        </w:rPr>
        <w:t>dari semua badan peradilan di bawah Mahkamah Agung dan Mahkamah Konstitusi.</w:t>
      </w:r>
      <w:r>
        <w:rPr>
          <w:rStyle w:val="FootnoteReference"/>
        </w:rPr>
        <w:footnoteReference w:id="15"/>
      </w:r>
      <w:r w:rsidR="0015298E">
        <w:rPr>
          <w:lang w:val="sv-SE"/>
        </w:rPr>
        <w:t xml:space="preserve"> </w:t>
      </w:r>
      <w:r w:rsidRPr="00B0391A">
        <w:rPr>
          <w:lang w:val="sv-SE"/>
        </w:rPr>
        <w:t>Guna mendapatkan kepercayaan dan simpati masyarakat, menjadi keniscayaan bagi eksistensi lembaga baru yang berfungsi untuk membangun dan mengupayakan kelembagaan peradilan yang bebas tidak memihak, dan terpercaya dengan meningkatkan kredibilitas dan integritas para hakim melalui proses pencalonan dan pengawasan terhadap kinerja para hakim.</w:t>
      </w:r>
      <w:r>
        <w:rPr>
          <w:rStyle w:val="FootnoteReference"/>
        </w:rPr>
        <w:footnoteReference w:id="16"/>
      </w:r>
    </w:p>
    <w:p w:rsidR="00DD3DE2" w:rsidRPr="00B0391A" w:rsidRDefault="00DD3DE2" w:rsidP="009629A9">
      <w:pPr>
        <w:spacing w:line="276" w:lineRule="auto"/>
        <w:ind w:firstLine="720"/>
        <w:jc w:val="both"/>
        <w:rPr>
          <w:lang w:val="sv-SE"/>
        </w:rPr>
      </w:pPr>
      <w:r w:rsidRPr="00B0391A">
        <w:rPr>
          <w:lang w:val="fi-FI"/>
        </w:rPr>
        <w:t xml:space="preserve">Dalam perjalanannya, keberadaan Komisi Yudisial di Indonesia menimbulkan pro dan kontra. </w:t>
      </w:r>
      <w:r w:rsidRPr="00B0391A">
        <w:rPr>
          <w:lang w:val="sv-SE"/>
        </w:rPr>
        <w:t xml:space="preserve">Kontra tersebut berasal dari kalangan para hakim tertentu yang </w:t>
      </w:r>
      <w:r w:rsidRPr="00B0391A">
        <w:rPr>
          <w:lang w:val="sv-SE"/>
        </w:rPr>
        <w:lastRenderedPageBreak/>
        <w:t>merasa sangat terusik dengan cara bekerja Komisi Yudisial. Memang kenyataannya</w:t>
      </w:r>
      <w:r>
        <w:rPr>
          <w:lang w:val="sv-SE"/>
        </w:rPr>
        <w:t xml:space="preserve"> tidaklah mudah untuk menghidup</w:t>
      </w:r>
      <w:r w:rsidRPr="00B0391A">
        <w:rPr>
          <w:lang w:val="sv-SE"/>
        </w:rPr>
        <w:t>k</w:t>
      </w:r>
      <w:r>
        <w:rPr>
          <w:lang w:val="sv-SE"/>
        </w:rPr>
        <w:t>an</w:t>
      </w:r>
      <w:r w:rsidRPr="00B0391A">
        <w:rPr>
          <w:lang w:val="sv-SE"/>
        </w:rPr>
        <w:t xml:space="preserve"> semangat memberantas mafia korupsi di peradilan, terlebih saat stadiumnya sudah pada tahap mematikan.</w:t>
      </w:r>
      <w:r>
        <w:rPr>
          <w:rStyle w:val="FootnoteReference"/>
        </w:rPr>
        <w:footnoteReference w:id="17"/>
      </w:r>
      <w:r w:rsidR="009629A9">
        <w:rPr>
          <w:lang w:val="sv-SE"/>
        </w:rPr>
        <w:t xml:space="preserve"> </w:t>
      </w:r>
      <w:r w:rsidRPr="00B0391A">
        <w:rPr>
          <w:lang w:val="sv-SE"/>
        </w:rPr>
        <w:t>Permasalahan timbul ketika, kewenangan pengawasan terhadap kinerja hakim dianggap telah melampaui kewenangan yuridiksi Mahkamah Agung, yang secara yuridis memiliki kewenangan pengawasan internal terhadap keberadaan institusi di</w:t>
      </w:r>
      <w:r w:rsidR="00AD5BF0">
        <w:rPr>
          <w:lang w:val="sv-SE"/>
        </w:rPr>
        <w:t xml:space="preserve"> </w:t>
      </w:r>
      <w:r w:rsidRPr="00B0391A">
        <w:rPr>
          <w:lang w:val="sv-SE"/>
        </w:rPr>
        <w:t>bawahnya, yaitu peradilan umum, peradilan militer, peradilan tata usaha negara, dan peradilan agama t</w:t>
      </w:r>
      <w:r w:rsidR="00AD5BF0">
        <w:rPr>
          <w:lang w:val="sv-SE"/>
        </w:rPr>
        <w:t>ermasuk perilaku hakim. Konflik</w:t>
      </w:r>
      <w:r w:rsidRPr="00B0391A">
        <w:rPr>
          <w:lang w:val="sv-SE"/>
        </w:rPr>
        <w:t xml:space="preserve"> Mahkamah Ag</w:t>
      </w:r>
      <w:r w:rsidR="000D7C26">
        <w:rPr>
          <w:lang w:val="sv-SE"/>
        </w:rPr>
        <w:t>ung dan Komisi Yudisial pada ak</w:t>
      </w:r>
      <w:r w:rsidRPr="00B0391A">
        <w:rPr>
          <w:lang w:val="sv-SE"/>
        </w:rPr>
        <w:t xml:space="preserve">hirnya bermuara pada kontra produktif terhadap keberadaan dan kelangsungan kehidupan ketatanegaraan. Terbukti konflik kedua lembaga negara tersebut berujung pada saling lapor dan gugat ke pihak kepolisian negara. </w:t>
      </w:r>
      <w:r>
        <w:rPr>
          <w:rStyle w:val="FootnoteReference"/>
        </w:rPr>
        <w:footnoteReference w:id="18"/>
      </w:r>
    </w:p>
    <w:p w:rsidR="009629A9" w:rsidRDefault="00DD3DE2" w:rsidP="009629A9">
      <w:pPr>
        <w:spacing w:line="276" w:lineRule="auto"/>
        <w:ind w:firstLine="720"/>
        <w:jc w:val="both"/>
        <w:rPr>
          <w:lang w:val="sv-SE"/>
        </w:rPr>
      </w:pPr>
      <w:r w:rsidRPr="00B0391A">
        <w:rPr>
          <w:lang w:val="sv-SE"/>
        </w:rPr>
        <w:t>Suasana saling silang pendapat antara kedua lembaga ini a</w:t>
      </w:r>
      <w:r w:rsidR="00E70DE5">
        <w:rPr>
          <w:lang w:val="sv-SE"/>
        </w:rPr>
        <w:t>gak mereda ketika terbentuknya tim f</w:t>
      </w:r>
      <w:r w:rsidRPr="00B0391A">
        <w:rPr>
          <w:lang w:val="sv-SE"/>
        </w:rPr>
        <w:t>asilitator antara Mahkamah Agung dan Komisi Yudisial</w:t>
      </w:r>
      <w:r w:rsidR="000D7C26">
        <w:rPr>
          <w:lang w:val="sv-SE"/>
        </w:rPr>
        <w:t>,</w:t>
      </w:r>
      <w:r w:rsidRPr="00B0391A">
        <w:rPr>
          <w:lang w:val="sv-SE"/>
        </w:rPr>
        <w:t xml:space="preserve"> namun periode manis dalam upaya perdamaian terasa getir kala terdengar kabar </w:t>
      </w:r>
      <w:r>
        <w:rPr>
          <w:lang w:val="sv-SE"/>
        </w:rPr>
        <w:t>31</w:t>
      </w:r>
      <w:r w:rsidR="005D0E61">
        <w:rPr>
          <w:lang w:val="sv-SE"/>
        </w:rPr>
        <w:t xml:space="preserve"> H</w:t>
      </w:r>
      <w:r w:rsidRPr="00B0391A">
        <w:rPr>
          <w:lang w:val="sv-SE"/>
        </w:rPr>
        <w:t xml:space="preserve">akim </w:t>
      </w:r>
      <w:r w:rsidR="005D0E61">
        <w:rPr>
          <w:lang w:val="sv-SE"/>
        </w:rPr>
        <w:t>A</w:t>
      </w:r>
      <w:r w:rsidRPr="00B0391A">
        <w:rPr>
          <w:lang w:val="sv-SE"/>
        </w:rPr>
        <w:t>gung mengajukan permohonan uji materil atas Undang-Undang Nomor 22 Tahun 2004 tentang Komisi Yudisial (UUKY).</w:t>
      </w:r>
      <w:r>
        <w:rPr>
          <w:rStyle w:val="FootnoteReference"/>
        </w:rPr>
        <w:footnoteReference w:id="19"/>
      </w:r>
      <w:r w:rsidR="009629A9">
        <w:rPr>
          <w:lang w:val="sv-SE"/>
        </w:rPr>
        <w:t xml:space="preserve"> </w:t>
      </w:r>
    </w:p>
    <w:p w:rsidR="00DD3DE2" w:rsidRPr="00B0391A" w:rsidRDefault="00DD3DE2" w:rsidP="009629A9">
      <w:pPr>
        <w:spacing w:line="276" w:lineRule="auto"/>
        <w:ind w:firstLine="720"/>
        <w:jc w:val="both"/>
        <w:rPr>
          <w:lang w:val="sv-SE"/>
        </w:rPr>
      </w:pPr>
      <w:r w:rsidRPr="00B0391A">
        <w:rPr>
          <w:lang w:val="sv-SE"/>
        </w:rPr>
        <w:t>Tepatnya pada hari Rabu tanggal 23 Agustus 2006, sidang pleno Mahkamah Konstitusi secara terbuka untuk umum memutuskan mengabulkan sebagian permohonan pemohon atas permohonan pengujian materil Undang-Undang Nomor 22 Tahun 2004 tentang Komisi Yudisial (UUKY) dan pengujian Undang-Undang Nomor 4 Tahun 2004 tentang Kekuasaan Kehakiman (UUKK). Putusan ini menyatakan pasal 1 angka (5), pasal 20, pasal 21, pasal 22 ayat (1), pasal 22 ayat (5), pasal 23 ayat (2), pasal 23 ayat (3), pasal 23 ayat (5), pasal 24 ayat (1), pasal 25 ayat (3), dan pasal 25 ayat (4) Undang-Undang Nomor 22 Tahun 2004 tentang Komisi Yudisial (UUKY) tidak mempunyai kekuatan hukum yang mengikat dan pasal 34 ayat (3) Undang-Undang Nomor 4 Tahun 2004 tentang Kekuasaan Kehakiman (UUKK) juga tidak mempunyai kekuatan hukum yang mengikat.</w:t>
      </w:r>
      <w:r>
        <w:rPr>
          <w:rStyle w:val="FootnoteReference"/>
        </w:rPr>
        <w:footnoteReference w:id="20"/>
      </w:r>
    </w:p>
    <w:p w:rsidR="00DD3DE2" w:rsidRPr="00B0391A" w:rsidRDefault="00DD3DE2" w:rsidP="009629A9">
      <w:pPr>
        <w:spacing w:line="276" w:lineRule="auto"/>
        <w:ind w:firstLine="720"/>
        <w:jc w:val="both"/>
        <w:rPr>
          <w:lang w:val="sv-SE"/>
        </w:rPr>
      </w:pPr>
      <w:r w:rsidRPr="00B0391A">
        <w:rPr>
          <w:lang w:val="sv-SE"/>
        </w:rPr>
        <w:t xml:space="preserve">Dengan putusan Mahkamah Konstitusi seperti di atas, maka apa yang menjadi kekhawatiran sebagian kalangan menjadi kenyataan, yaitu bila sengketa ini diselesaikan melalui jalur </w:t>
      </w:r>
      <w:r w:rsidRPr="00B0391A">
        <w:rPr>
          <w:i/>
          <w:lang w:val="sv-SE"/>
        </w:rPr>
        <w:t xml:space="preserve">Judicial Review </w:t>
      </w:r>
      <w:r w:rsidRPr="00B0391A">
        <w:rPr>
          <w:lang w:val="sv-SE"/>
        </w:rPr>
        <w:t xml:space="preserve">secara sepihak, seperti yang diajukan oleh Mahkamah </w:t>
      </w:r>
      <w:r>
        <w:rPr>
          <w:lang w:val="sv-SE"/>
        </w:rPr>
        <w:t>Agung</w:t>
      </w:r>
      <w:r w:rsidRPr="00B0391A">
        <w:rPr>
          <w:lang w:val="sv-SE"/>
        </w:rPr>
        <w:t>. Banyak kalangan yang menganggap bahwa upaya ini jika dikabulkan oleh Mahkamah Konstitusi justru akan memandulkan Komisi Yudisial</w:t>
      </w:r>
      <w:r w:rsidR="00AD5BF0">
        <w:rPr>
          <w:lang w:val="sv-SE"/>
        </w:rPr>
        <w:t xml:space="preserve"> </w:t>
      </w:r>
      <w:r w:rsidR="00AD5BF0">
        <w:rPr>
          <w:lang w:val="sv-SE"/>
        </w:rPr>
        <w:lastRenderedPageBreak/>
        <w:t>dan kont</w:t>
      </w:r>
      <w:r w:rsidRPr="00B0391A">
        <w:rPr>
          <w:lang w:val="sv-SE"/>
        </w:rPr>
        <w:t>r</w:t>
      </w:r>
      <w:r w:rsidR="00AD5BF0">
        <w:rPr>
          <w:lang w:val="sv-SE"/>
        </w:rPr>
        <w:t>a</w:t>
      </w:r>
      <w:r w:rsidRPr="00B0391A">
        <w:rPr>
          <w:lang w:val="sv-SE"/>
        </w:rPr>
        <w:t xml:space="preserve"> produktif dengan ide dibentuknya Komisi Yudisial sebagai </w:t>
      </w:r>
      <w:r w:rsidRPr="00B0391A">
        <w:rPr>
          <w:i/>
          <w:lang w:val="sv-SE"/>
        </w:rPr>
        <w:t>external auditor</w:t>
      </w:r>
      <w:r w:rsidR="00732058">
        <w:rPr>
          <w:lang w:val="sv-SE"/>
        </w:rPr>
        <w:t xml:space="preserve"> dalam k</w:t>
      </w:r>
      <w:r w:rsidRPr="00B0391A">
        <w:rPr>
          <w:lang w:val="sv-SE"/>
        </w:rPr>
        <w:t xml:space="preserve">ekuasaan </w:t>
      </w:r>
      <w:r w:rsidR="00732058">
        <w:rPr>
          <w:lang w:val="sv-SE"/>
        </w:rPr>
        <w:t>k</w:t>
      </w:r>
      <w:r w:rsidRPr="00B0391A">
        <w:rPr>
          <w:lang w:val="sv-SE"/>
        </w:rPr>
        <w:t>ehakiman kita.</w:t>
      </w:r>
      <w:r>
        <w:rPr>
          <w:rStyle w:val="FootnoteReference"/>
        </w:rPr>
        <w:footnoteReference w:id="21"/>
      </w:r>
    </w:p>
    <w:p w:rsidR="00DD3DE2" w:rsidRPr="00B0391A" w:rsidRDefault="00DD3DE2" w:rsidP="009629A9">
      <w:pPr>
        <w:spacing w:line="276" w:lineRule="auto"/>
        <w:ind w:firstLine="720"/>
        <w:jc w:val="both"/>
        <w:rPr>
          <w:lang w:val="sv-SE"/>
        </w:rPr>
      </w:pPr>
      <w:r w:rsidRPr="00B0391A">
        <w:rPr>
          <w:lang w:val="sv-SE"/>
        </w:rPr>
        <w:t>Secara substansial, menurut Maria Farida, bahwa keputusan Mahkamah Konstitusi yang mengatakan bahwa Mahkamah Konstitusi mencabut pasal-pasal dalam Undang-Undang Komisi Yudisial yang terkait dengan pengawasan hakim sebenarnya tidak tepat. Ini karena berdasarkan Undang-Undang Mahkamah Konstitusi, hakim Mahkamah Konstitusi hanya berwenang untuk mengatakan bahwa suatu pasal tidak memiliki kekuatan hukum yang mengikat dan bukan membatalkan atau mencabut. Sehingga nantinya menurut hukum bahwa pasal yang tidak memiliki kekuatan hukum itu masih tetap ada dan selanjutnya merupakan kewenangan dari Presiden dan DPR untuk melakukan revisi.</w:t>
      </w:r>
      <w:r>
        <w:rPr>
          <w:rStyle w:val="FootnoteReference"/>
        </w:rPr>
        <w:footnoteReference w:id="22"/>
      </w:r>
      <w:r w:rsidRPr="00B0391A">
        <w:rPr>
          <w:lang w:val="sv-SE"/>
        </w:rPr>
        <w:t xml:space="preserve">  </w:t>
      </w:r>
    </w:p>
    <w:p w:rsidR="00D43A59" w:rsidRDefault="00635D21" w:rsidP="009629A9">
      <w:pPr>
        <w:spacing w:line="276" w:lineRule="auto"/>
        <w:ind w:firstLine="720"/>
        <w:jc w:val="both"/>
        <w:rPr>
          <w:lang w:val="en-US"/>
        </w:rPr>
      </w:pPr>
      <w:r>
        <w:t>Revisi U</w:t>
      </w:r>
      <w:r w:rsidR="00A8592D">
        <w:rPr>
          <w:lang w:val="en-US"/>
        </w:rPr>
        <w:t>ndang-</w:t>
      </w:r>
      <w:r>
        <w:t>U</w:t>
      </w:r>
      <w:r w:rsidR="00A8592D">
        <w:rPr>
          <w:lang w:val="en-US"/>
        </w:rPr>
        <w:t>ndang</w:t>
      </w:r>
      <w:r>
        <w:t xml:space="preserve"> Nomor 22 Tahun 2004 yang kemudian disahkan dan diundangkan menjadi U</w:t>
      </w:r>
      <w:r w:rsidR="00A8592D">
        <w:rPr>
          <w:lang w:val="en-US"/>
        </w:rPr>
        <w:t>ndang-</w:t>
      </w:r>
      <w:r>
        <w:t>U</w:t>
      </w:r>
      <w:r w:rsidR="00A8592D">
        <w:rPr>
          <w:lang w:val="en-US"/>
        </w:rPr>
        <w:t>ndang</w:t>
      </w:r>
      <w:r>
        <w:t xml:space="preserve"> Nomor 18 Tahun 2011 tentang Perubahan atas U</w:t>
      </w:r>
      <w:r w:rsidR="00A8592D">
        <w:rPr>
          <w:lang w:val="en-US"/>
        </w:rPr>
        <w:t>ndang-</w:t>
      </w:r>
      <w:r>
        <w:t>U</w:t>
      </w:r>
      <w:r w:rsidR="00A8592D">
        <w:rPr>
          <w:lang w:val="en-US"/>
        </w:rPr>
        <w:t>ndang</w:t>
      </w:r>
      <w:r>
        <w:t xml:space="preserve"> Nomor 22 Tahun 2004 tentang Komisi Yudisial</w:t>
      </w:r>
      <w:r w:rsidR="00A8592D">
        <w:rPr>
          <w:lang w:val="en-US"/>
        </w:rPr>
        <w:t>,</w:t>
      </w:r>
      <w:r>
        <w:t xml:space="preserve"> seolah menjadi amunisi ampuh bagi Komisi Yudisial saat itu. Ada begitu banyak harapan yang disematkan ke lembaga ini untuk lebih progresif dalam menegakkan huku</w:t>
      </w:r>
      <w:r w:rsidR="00A070AE">
        <w:t>m dan keadilan. Disahkannya</w:t>
      </w:r>
      <w:r>
        <w:t xml:space="preserve"> undang-undang tersebut merupakan upaya untuk memperkuat wewenang dan tugas Komisi Yudisial sebagai lembaga negara independen yang menjalankan fungsi </w:t>
      </w:r>
      <w:r w:rsidRPr="00A070AE">
        <w:rPr>
          <w:i/>
        </w:rPr>
        <w:t>checks and balances</w:t>
      </w:r>
      <w:r>
        <w:t xml:space="preserve"> di bidang kekuasaan kehakiman dalam rangka mewujudkan kekuasaan kehakiman yang jujur, bersih, transparan, dan profesional.</w:t>
      </w:r>
      <w:r>
        <w:rPr>
          <w:rStyle w:val="FootnoteReference"/>
        </w:rPr>
        <w:footnoteReference w:id="23"/>
      </w:r>
    </w:p>
    <w:p w:rsidR="006E2F09" w:rsidRDefault="002B06AE" w:rsidP="009629A9">
      <w:pPr>
        <w:spacing w:line="276" w:lineRule="auto"/>
        <w:ind w:firstLine="720"/>
        <w:jc w:val="both"/>
        <w:rPr>
          <w:lang w:val="en-US"/>
        </w:rPr>
      </w:pPr>
      <w:r>
        <w:t>Berdasarkan u</w:t>
      </w:r>
      <w:r w:rsidR="00B8048E">
        <w:t>raian</w:t>
      </w:r>
      <w:r w:rsidR="00DD3DE2">
        <w:t xml:space="preserve"> di</w:t>
      </w:r>
      <w:r w:rsidR="00A36139">
        <w:rPr>
          <w:lang w:val="en-US"/>
        </w:rPr>
        <w:t xml:space="preserve"> </w:t>
      </w:r>
      <w:r w:rsidR="00DD3DE2">
        <w:t xml:space="preserve">atas, maka </w:t>
      </w:r>
      <w:r w:rsidR="00B8048E">
        <w:rPr>
          <w:lang w:val="en-US"/>
        </w:rPr>
        <w:t>dapat dirumuskan permasalahan</w:t>
      </w:r>
      <w:r w:rsidR="00B8048E">
        <w:t xml:space="preserve"> </w:t>
      </w:r>
      <w:r w:rsidR="00B8048E">
        <w:rPr>
          <w:lang w:val="en-US"/>
        </w:rPr>
        <w:t xml:space="preserve">pertama, </w:t>
      </w:r>
      <w:r w:rsidR="000F02DE">
        <w:t xml:space="preserve">Bagaimanakah </w:t>
      </w:r>
      <w:r w:rsidR="00312ACF">
        <w:rPr>
          <w:lang w:val="en-US"/>
        </w:rPr>
        <w:t>tugas</w:t>
      </w:r>
      <w:r w:rsidR="0015298E">
        <w:t xml:space="preserve"> pengawasan Komisi Yudisial terhadap perilaku hakim </w:t>
      </w:r>
      <w:r w:rsidR="009629A9">
        <w:rPr>
          <w:lang w:val="en-US"/>
        </w:rPr>
        <w:t>pasca</w:t>
      </w:r>
      <w:r w:rsidR="00E95EDE">
        <w:rPr>
          <w:lang w:val="en-US"/>
        </w:rPr>
        <w:t xml:space="preserve"> berlakunya</w:t>
      </w:r>
      <w:r w:rsidR="006E2F09">
        <w:rPr>
          <w:lang w:val="en-US"/>
        </w:rPr>
        <w:t xml:space="preserve"> Undang-Undang Nomor 18 Tahun 2011</w:t>
      </w:r>
      <w:r w:rsidR="00202F86" w:rsidRPr="00202F86">
        <w:rPr>
          <w:lang w:val="en-US"/>
        </w:rPr>
        <w:t xml:space="preserve"> </w:t>
      </w:r>
      <w:r w:rsidR="00202F86">
        <w:rPr>
          <w:lang w:val="en-US"/>
        </w:rPr>
        <w:t>tentang Perubahan atas Undang-Unda</w:t>
      </w:r>
      <w:r w:rsidR="00732058">
        <w:rPr>
          <w:lang w:val="en-US"/>
        </w:rPr>
        <w:t>ng Nomor 22 Tahun 2004 tentang K</w:t>
      </w:r>
      <w:r w:rsidR="00202F86">
        <w:rPr>
          <w:lang w:val="en-US"/>
        </w:rPr>
        <w:t>omisi Yudisial</w:t>
      </w:r>
      <w:r w:rsidR="0015298E">
        <w:t>?</w:t>
      </w:r>
      <w:r w:rsidR="00B8048E">
        <w:rPr>
          <w:lang w:val="en-US"/>
        </w:rPr>
        <w:t xml:space="preserve">, kedua, </w:t>
      </w:r>
      <w:r w:rsidR="00E95EDE">
        <w:t xml:space="preserve">Bagaimanakah </w:t>
      </w:r>
      <w:r w:rsidR="00312ACF">
        <w:rPr>
          <w:lang w:val="en-US"/>
        </w:rPr>
        <w:t>seharusnya tugas</w:t>
      </w:r>
      <w:r w:rsidR="006E2F09">
        <w:t xml:space="preserve"> pengawasan Komisi Yudisial</w:t>
      </w:r>
      <w:r w:rsidR="00312ACF">
        <w:t xml:space="preserve"> terhadap perilaku hakim</w:t>
      </w:r>
      <w:r w:rsidR="00CA3516">
        <w:rPr>
          <w:lang w:val="en-US"/>
        </w:rPr>
        <w:t xml:space="preserve"> kedepannya</w:t>
      </w:r>
      <w:r w:rsidR="006E2F09">
        <w:t>?</w:t>
      </w:r>
    </w:p>
    <w:p w:rsidR="009629A9" w:rsidRPr="009629A9" w:rsidRDefault="009629A9" w:rsidP="009629A9">
      <w:pPr>
        <w:spacing w:line="276" w:lineRule="auto"/>
        <w:ind w:firstLine="720"/>
        <w:jc w:val="both"/>
        <w:rPr>
          <w:lang w:val="en-US"/>
        </w:rPr>
      </w:pPr>
    </w:p>
    <w:p w:rsidR="00DD3DE2" w:rsidRPr="00BE44AC" w:rsidRDefault="001647F9" w:rsidP="009629A9">
      <w:pPr>
        <w:spacing w:line="276" w:lineRule="auto"/>
        <w:jc w:val="both"/>
        <w:rPr>
          <w:b/>
        </w:rPr>
      </w:pPr>
      <w:r w:rsidRPr="00BE44AC">
        <w:rPr>
          <w:b/>
        </w:rPr>
        <w:t>METODE PENELITIAN</w:t>
      </w:r>
    </w:p>
    <w:p w:rsidR="00DD3DE2" w:rsidRDefault="008371C9" w:rsidP="009629A9">
      <w:pPr>
        <w:spacing w:line="276" w:lineRule="auto"/>
        <w:ind w:firstLine="720"/>
        <w:jc w:val="both"/>
        <w:rPr>
          <w:lang w:val="en-US"/>
        </w:rPr>
      </w:pPr>
      <w:r>
        <w:t>Pene</w:t>
      </w:r>
      <w:r w:rsidR="00B8048E">
        <w:t>litian</w:t>
      </w:r>
      <w:r>
        <w:t xml:space="preserve"> ini men</w:t>
      </w:r>
      <w:r w:rsidR="00F244EE">
        <w:t>ggunakan tipe penelitian</w:t>
      </w:r>
      <w:r>
        <w:t xml:space="preserve"> </w:t>
      </w:r>
      <w:r w:rsidR="005D308D">
        <w:rPr>
          <w:lang w:val="en-US"/>
        </w:rPr>
        <w:t xml:space="preserve">hukum </w:t>
      </w:r>
      <w:r>
        <w:t>n</w:t>
      </w:r>
      <w:r w:rsidR="001647F9">
        <w:t xml:space="preserve">ormatif </w:t>
      </w:r>
      <w:r w:rsidR="005741E7">
        <w:rPr>
          <w:lang w:val="en-US"/>
        </w:rPr>
        <w:t xml:space="preserve">atau penelitian pepustakaan yakni penelitian hukum dengan </w:t>
      </w:r>
      <w:r w:rsidR="005741E7">
        <w:t xml:space="preserve">mengumpulkan data-data pustaka dan studi dokumen </w:t>
      </w:r>
      <w:r w:rsidR="001647F9">
        <w:t>ya</w:t>
      </w:r>
      <w:r w:rsidR="001647F9">
        <w:rPr>
          <w:lang w:val="en-US"/>
        </w:rPr>
        <w:t>ng</w:t>
      </w:r>
      <w:r w:rsidR="00912A05">
        <w:t xml:space="preserve"> </w:t>
      </w:r>
      <w:r w:rsidR="005741E7">
        <w:rPr>
          <w:lang w:val="en-US"/>
        </w:rPr>
        <w:t xml:space="preserve">menggunakan berbagai data skunder seperti peraturang </w:t>
      </w:r>
      <w:r w:rsidR="005741E7">
        <w:rPr>
          <w:lang w:val="en-US"/>
        </w:rPr>
        <w:lastRenderedPageBreak/>
        <w:t>perundang-undangan, keputusan pengadilan, teori hukum dan dapat berupa  pendapat para sarjana.</w:t>
      </w:r>
    </w:p>
    <w:p w:rsidR="00025966" w:rsidRPr="0097086E" w:rsidRDefault="00B8048E" w:rsidP="009629A9">
      <w:pPr>
        <w:spacing w:line="276" w:lineRule="auto"/>
        <w:ind w:left="720" w:hanging="360"/>
        <w:jc w:val="both"/>
        <w:rPr>
          <w:b/>
          <w:bCs/>
          <w:lang w:val="en-US"/>
        </w:rPr>
      </w:pPr>
      <w:r w:rsidRPr="005741E7">
        <w:rPr>
          <w:bCs/>
          <w:lang w:val="en-US"/>
        </w:rPr>
        <w:t>1</w:t>
      </w:r>
      <w:r w:rsidR="0097086E">
        <w:rPr>
          <w:bCs/>
          <w:lang w:val="en-US"/>
        </w:rPr>
        <w:t>.</w:t>
      </w:r>
      <w:r w:rsidR="0097086E">
        <w:rPr>
          <w:bCs/>
          <w:lang w:val="en-US"/>
        </w:rPr>
        <w:tab/>
      </w:r>
      <w:r w:rsidR="0053259A" w:rsidRPr="005741E7">
        <w:rPr>
          <w:bCs/>
          <w:lang w:val="en-US"/>
        </w:rPr>
        <w:t xml:space="preserve">Jenis dan Sumber </w:t>
      </w:r>
      <w:r w:rsidR="009629A9">
        <w:rPr>
          <w:bCs/>
          <w:lang w:val="en-US"/>
        </w:rPr>
        <w:t>Bahan Hukum</w:t>
      </w:r>
      <w:r w:rsidR="008F7283">
        <w:rPr>
          <w:bCs/>
          <w:lang w:val="en-US"/>
        </w:rPr>
        <w:t xml:space="preserve">, penelitian </w:t>
      </w:r>
      <w:r w:rsidRPr="005741E7">
        <w:rPr>
          <w:bCs/>
          <w:lang w:val="en-US"/>
        </w:rPr>
        <w:t xml:space="preserve"> </w:t>
      </w:r>
      <w:r w:rsidR="008F7283">
        <w:rPr>
          <w:bCs/>
          <w:lang w:val="en-US"/>
        </w:rPr>
        <w:t xml:space="preserve">ini </w:t>
      </w:r>
      <w:r w:rsidR="008F7283">
        <w:rPr>
          <w:lang w:val="en-US"/>
        </w:rPr>
        <w:t>meng</w:t>
      </w:r>
      <w:r w:rsidR="008F7283">
        <w:t>gunakan</w:t>
      </w:r>
      <w:r w:rsidR="0053259A" w:rsidRPr="005741E7">
        <w:t xml:space="preserve"> data kua</w:t>
      </w:r>
      <w:r w:rsidR="0053259A">
        <w:t>litatif yang bersumberkan pada data</w:t>
      </w:r>
      <w:r w:rsidR="0053259A">
        <w:rPr>
          <w:lang w:val="en-US"/>
        </w:rPr>
        <w:t xml:space="preserve"> </w:t>
      </w:r>
      <w:r w:rsidR="0053259A">
        <w:t>sekunder yaitu data yang diperoleh dari penelitian</w:t>
      </w:r>
      <w:r w:rsidR="008F7283">
        <w:t xml:space="preserve"> </w:t>
      </w:r>
      <w:r w:rsidR="0053259A">
        <w:t>Data</w:t>
      </w:r>
      <w:r w:rsidR="008F7283">
        <w:t xml:space="preserve"> Sekunder</w:t>
      </w:r>
      <w:r w:rsidR="0053259A">
        <w:t xml:space="preserve"> yang terdiri dari</w:t>
      </w:r>
      <w:r w:rsidR="00E9762D">
        <w:rPr>
          <w:lang w:val="en-US"/>
        </w:rPr>
        <w:t xml:space="preserve"> </w:t>
      </w:r>
      <w:r w:rsidR="008F7283">
        <w:rPr>
          <w:lang w:val="en-US"/>
        </w:rPr>
        <w:t xml:space="preserve">: </w:t>
      </w:r>
      <w:r w:rsidR="00DD3DE2" w:rsidRPr="001D511F">
        <w:t>Bahan Hukum Primer</w:t>
      </w:r>
      <w:r w:rsidR="00DD3DE2">
        <w:t>, yaitu bahan-bahan hukum yang mengikat seperti UUD</w:t>
      </w:r>
      <w:r w:rsidR="009629A9">
        <w:rPr>
          <w:lang w:val="en-US"/>
        </w:rPr>
        <w:t xml:space="preserve"> </w:t>
      </w:r>
      <w:r w:rsidR="00DD3DE2">
        <w:t>1945</w:t>
      </w:r>
      <w:r w:rsidR="00DD3DE2" w:rsidRPr="00B0391A">
        <w:t xml:space="preserve"> dan perubahannya</w:t>
      </w:r>
      <w:r w:rsidR="00AD5BF0">
        <w:t>, peraturan p</w:t>
      </w:r>
      <w:r w:rsidR="00DD3DE2">
        <w:t xml:space="preserve">erundang-undangan yang erat hubungannya dengan </w:t>
      </w:r>
      <w:r w:rsidR="00DD3DE2" w:rsidRPr="00B0391A">
        <w:t>Komisi Y</w:t>
      </w:r>
      <w:r w:rsidR="00025966">
        <w:t>udisial dan Kekuasaan Kehakiman</w:t>
      </w:r>
      <w:r w:rsidR="00025966">
        <w:rPr>
          <w:lang w:val="en-US"/>
        </w:rPr>
        <w:t xml:space="preserve">. </w:t>
      </w:r>
      <w:r w:rsidR="00DD3DE2" w:rsidRPr="001D511F">
        <w:t>Bahan Hukum Sekunder</w:t>
      </w:r>
      <w:r w:rsidR="00DD3DE2">
        <w:t xml:space="preserve">, </w:t>
      </w:r>
      <w:r w:rsidR="009629A9">
        <w:t>yakni</w:t>
      </w:r>
      <w:r w:rsidR="0060520A">
        <w:t xml:space="preserve"> Rancangan Undang-U</w:t>
      </w:r>
      <w:r w:rsidR="00D86923">
        <w:t>ndang</w:t>
      </w:r>
      <w:r w:rsidR="00DD3DE2">
        <w:t xml:space="preserve">, hasil penelitian, hasil </w:t>
      </w:r>
      <w:r w:rsidR="009629A9">
        <w:t xml:space="preserve">karya dari kalangan hukum, </w:t>
      </w:r>
      <w:r w:rsidR="009629A9">
        <w:rPr>
          <w:lang w:val="en-US"/>
        </w:rPr>
        <w:t>laporan tahunan komisi yudisial, buletin</w:t>
      </w:r>
      <w:r w:rsidR="00DD3DE2">
        <w:t xml:space="preserve"> dan sumber bahan hukum sekunder lainnya yang mempunyai keterkaitan dengan </w:t>
      </w:r>
      <w:r w:rsidR="0060520A">
        <w:t>Komisi Yudisial dan K</w:t>
      </w:r>
      <w:r w:rsidR="00DD3DE2" w:rsidRPr="00D73755">
        <w:t>ekuasaan Kehakiman</w:t>
      </w:r>
      <w:r w:rsidR="00DD3DE2">
        <w:t xml:space="preserve">. </w:t>
      </w:r>
      <w:r w:rsidR="00DD3DE2" w:rsidRPr="001D511F">
        <w:t>Bahan Hukum Tertier</w:t>
      </w:r>
      <w:r w:rsidR="00DD3DE2" w:rsidRPr="00153598">
        <w:t xml:space="preserve">, yakni bahan yang memberikan petunjuk maupun penjelasan terhadap bahan hukum primer maupun sekunder, meliputi kamus hukum, majalah, </w:t>
      </w:r>
      <w:r w:rsidR="00025966">
        <w:rPr>
          <w:lang w:val="en-US"/>
        </w:rPr>
        <w:t>s</w:t>
      </w:r>
      <w:r w:rsidR="00025966" w:rsidRPr="00153598">
        <w:t>urat</w:t>
      </w:r>
      <w:r w:rsidR="00025966">
        <w:t xml:space="preserve"> kabar</w:t>
      </w:r>
      <w:r w:rsidR="00025966" w:rsidRPr="00153598">
        <w:t xml:space="preserve"> </w:t>
      </w:r>
      <w:r w:rsidR="00DD3DE2" w:rsidRPr="00153598">
        <w:t>dan jurnal ilmiah</w:t>
      </w:r>
      <w:r w:rsidR="00025966">
        <w:t>,</w:t>
      </w:r>
      <w:r w:rsidR="00025966">
        <w:rPr>
          <w:lang w:val="en-US"/>
        </w:rPr>
        <w:t xml:space="preserve"> </w:t>
      </w:r>
      <w:r w:rsidR="0097086E">
        <w:t xml:space="preserve">sepanjang </w:t>
      </w:r>
      <w:r w:rsidR="00DD3DE2" w:rsidRPr="00153598">
        <w:t>memuat informasi yang sesuai dengan objek kaj</w:t>
      </w:r>
      <w:r w:rsidR="0097086E">
        <w:t>ian penelitian</w:t>
      </w:r>
      <w:r w:rsidR="00DD3DE2" w:rsidRPr="00153598">
        <w:t xml:space="preserve"> ini.</w:t>
      </w:r>
    </w:p>
    <w:p w:rsidR="008922F5" w:rsidRDefault="008F7283" w:rsidP="009629A9">
      <w:pPr>
        <w:spacing w:line="276" w:lineRule="auto"/>
        <w:ind w:left="720" w:hanging="360"/>
        <w:jc w:val="both"/>
        <w:rPr>
          <w:lang w:val="en-US"/>
        </w:rPr>
      </w:pPr>
      <w:r w:rsidRPr="0097086E">
        <w:rPr>
          <w:lang w:val="en-US"/>
        </w:rPr>
        <w:t>2</w:t>
      </w:r>
      <w:r w:rsidR="0097086E">
        <w:t>.</w:t>
      </w:r>
      <w:r w:rsidR="0097086E">
        <w:rPr>
          <w:lang w:val="en-US"/>
        </w:rPr>
        <w:tab/>
      </w:r>
      <w:r w:rsidR="00DD3DE2" w:rsidRPr="0097086E">
        <w:t>Teknik Pengumpulan Bahan Hukum</w:t>
      </w:r>
      <w:r w:rsidR="009629A9">
        <w:rPr>
          <w:lang w:val="en-US"/>
        </w:rPr>
        <w:t xml:space="preserve">, dalam usaha </w:t>
      </w:r>
      <w:r w:rsidR="00DD3DE2" w:rsidRPr="0097086E">
        <w:t xml:space="preserve">pengumpulan bahan </w:t>
      </w:r>
      <w:r w:rsidR="00DD3DE2">
        <w:t xml:space="preserve">yang dipergunakan dalam penelitian ini yaitu dengan melakukan telaah pustaka yang kemudian bahan hukumnya disebut data pustaka. Data pustaka yang diperoleh dengan cara studi kepustakaan melalui literatur tentang lembaga-lembaga, khususnya Komisi Yudisial atau literatur yang berkaitan </w:t>
      </w:r>
      <w:r w:rsidR="002B06AE">
        <w:t xml:space="preserve">dengan </w:t>
      </w:r>
      <w:r w:rsidR="003B24C0">
        <w:t xml:space="preserve">judul </w:t>
      </w:r>
      <w:r w:rsidR="003B24C0">
        <w:rPr>
          <w:lang w:val="en-US"/>
        </w:rPr>
        <w:t>penelitian</w:t>
      </w:r>
      <w:r w:rsidR="00DD3DE2">
        <w:t>.</w:t>
      </w:r>
      <w:r w:rsidR="00025966">
        <w:rPr>
          <w:lang w:val="en-US"/>
        </w:rPr>
        <w:t xml:space="preserve"> </w:t>
      </w:r>
      <w:r w:rsidR="00DD3DE2" w:rsidRPr="00B7411B">
        <w:t xml:space="preserve">Data yang </w:t>
      </w:r>
      <w:r w:rsidR="00DD3DE2">
        <w:t>di</w:t>
      </w:r>
      <w:r w:rsidR="00DD3DE2" w:rsidRPr="00B7411B">
        <w:t xml:space="preserve"> peroleh dari hasil </w:t>
      </w:r>
      <w:r w:rsidR="00501210">
        <w:t>penelitian kepustakaan dan studi dokumen</w:t>
      </w:r>
      <w:r w:rsidR="00501210" w:rsidRPr="00B7411B">
        <w:t xml:space="preserve"> </w:t>
      </w:r>
      <w:r w:rsidR="00DD3DE2" w:rsidRPr="00B7411B">
        <w:t xml:space="preserve">kemudian akan diolah dan dianalisis dengan cara menghubungkan antara data yang </w:t>
      </w:r>
      <w:r w:rsidR="00D86923">
        <w:t>satu dengan data lainnya. Data-</w:t>
      </w:r>
      <w:r w:rsidR="00DD3DE2" w:rsidRPr="00B7411B">
        <w:t>data tersebut kemudian dianalisis secara Deskriptif Kua</w:t>
      </w:r>
      <w:r w:rsidR="00D86923">
        <w:t>litatif</w:t>
      </w:r>
      <w:r w:rsidR="00025966">
        <w:rPr>
          <w:lang w:val="en-US"/>
        </w:rPr>
        <w:t xml:space="preserve"> dan </w:t>
      </w:r>
      <w:r w:rsidR="0032446E" w:rsidRPr="00EE6FDB">
        <w:t xml:space="preserve">atas hasil dari analisa dan interprestasi data </w:t>
      </w:r>
      <w:r w:rsidR="0032446E">
        <w:t xml:space="preserve">secara sistematis </w:t>
      </w:r>
      <w:r w:rsidR="00025966">
        <w:t>dilakukan</w:t>
      </w:r>
      <w:r w:rsidR="00025966" w:rsidRPr="00EE6FDB">
        <w:t xml:space="preserve"> </w:t>
      </w:r>
      <w:r w:rsidR="00025966">
        <w:rPr>
          <w:lang w:val="en-US"/>
        </w:rPr>
        <w:t xml:space="preserve">penarikan kesimpulan </w:t>
      </w:r>
      <w:r w:rsidR="0032446E" w:rsidRPr="00EE6FDB">
        <w:t>yang dilengkapi dengan saran-saran</w:t>
      </w:r>
    </w:p>
    <w:p w:rsidR="008922F5" w:rsidRPr="00B87289" w:rsidRDefault="008922F5" w:rsidP="009629A9">
      <w:pPr>
        <w:spacing w:line="276" w:lineRule="auto"/>
        <w:jc w:val="center"/>
        <w:outlineLvl w:val="0"/>
        <w:rPr>
          <w:b/>
          <w:lang w:val="en-US"/>
        </w:rPr>
      </w:pPr>
    </w:p>
    <w:p w:rsidR="008922F5" w:rsidRDefault="008922F5" w:rsidP="009629A9">
      <w:pPr>
        <w:spacing w:line="276" w:lineRule="auto"/>
        <w:outlineLvl w:val="0"/>
        <w:rPr>
          <w:b/>
          <w:lang w:val="en-US"/>
        </w:rPr>
      </w:pPr>
      <w:r>
        <w:rPr>
          <w:b/>
        </w:rPr>
        <w:t>PEMBAHASAN</w:t>
      </w:r>
    </w:p>
    <w:p w:rsidR="009629A9" w:rsidRPr="009629A9" w:rsidRDefault="009629A9" w:rsidP="009629A9">
      <w:pPr>
        <w:spacing w:line="276" w:lineRule="auto"/>
        <w:outlineLvl w:val="0"/>
        <w:rPr>
          <w:b/>
          <w:lang w:val="en-US"/>
        </w:rPr>
      </w:pPr>
    </w:p>
    <w:p w:rsidR="009629A9" w:rsidRDefault="009629A9" w:rsidP="009629A9">
      <w:pPr>
        <w:spacing w:line="276" w:lineRule="auto"/>
        <w:ind w:left="720" w:hanging="270"/>
        <w:jc w:val="both"/>
        <w:outlineLvl w:val="0"/>
        <w:rPr>
          <w:b/>
          <w:lang w:val="en-US"/>
        </w:rPr>
      </w:pPr>
      <w:r>
        <w:rPr>
          <w:b/>
          <w:lang w:val="en-US"/>
        </w:rPr>
        <w:t>1.</w:t>
      </w:r>
      <w:r>
        <w:rPr>
          <w:b/>
          <w:lang w:val="en-US"/>
        </w:rPr>
        <w:tab/>
        <w:t>T</w:t>
      </w:r>
      <w:r w:rsidRPr="009629A9">
        <w:rPr>
          <w:b/>
          <w:lang w:val="en-US"/>
        </w:rPr>
        <w:t>ugas</w:t>
      </w:r>
      <w:r w:rsidRPr="009629A9">
        <w:rPr>
          <w:b/>
        </w:rPr>
        <w:t xml:space="preserve"> pengawasan Komisi Yudisial terhadap perilaku hakim </w:t>
      </w:r>
      <w:r w:rsidRPr="009629A9">
        <w:rPr>
          <w:b/>
          <w:lang w:val="en-US"/>
        </w:rPr>
        <w:t>pasca berlakunya Undang-Undang Nomor 18 Tahun 2011 tentang Perubahan atas Undang-Undang Nomor 22 Tahun 2004 tentang Komisi Yudisial</w:t>
      </w:r>
    </w:p>
    <w:p w:rsidR="009629A9" w:rsidRDefault="009629A9" w:rsidP="009629A9">
      <w:pPr>
        <w:spacing w:line="276" w:lineRule="auto"/>
        <w:ind w:left="720" w:hanging="270"/>
        <w:jc w:val="both"/>
        <w:outlineLvl w:val="0"/>
        <w:rPr>
          <w:b/>
          <w:lang w:val="en-US"/>
        </w:rPr>
      </w:pPr>
    </w:p>
    <w:p w:rsidR="008922F5" w:rsidRPr="00AA48F5" w:rsidRDefault="008922F5" w:rsidP="009629A9">
      <w:pPr>
        <w:spacing w:line="276" w:lineRule="auto"/>
        <w:ind w:firstLine="720"/>
        <w:jc w:val="both"/>
        <w:rPr>
          <w:lang w:val="en-US"/>
        </w:rPr>
      </w:pPr>
      <w:r>
        <w:t xml:space="preserve">Secara yuridis intitusional, keberadaan Komisi Yudisial diatur dalam Bab IX dengan judul Kekuasaan Kehakiman pasal 24A ayat (3) dan pasal 24B hasil amandemen ketiga UUD 1945 serta diatur lebih lanjut dalam Undang-Undang Nomor </w:t>
      </w:r>
      <w:r>
        <w:rPr>
          <w:lang w:val="en-US"/>
        </w:rPr>
        <w:t xml:space="preserve">18 Tahun 2011 tentang perubahan atas Undang-Undang Nomor </w:t>
      </w:r>
      <w:r>
        <w:t xml:space="preserve">22 Tahun 2004 </w:t>
      </w:r>
      <w:r>
        <w:lastRenderedPageBreak/>
        <w:t xml:space="preserve">tentang Komisi Yudisial. Selain </w:t>
      </w:r>
      <w:r>
        <w:rPr>
          <w:lang w:val="en-US"/>
        </w:rPr>
        <w:t xml:space="preserve">dua </w:t>
      </w:r>
      <w:r>
        <w:t xml:space="preserve">ketentuan dua tersebut, pengaturan tentang </w:t>
      </w:r>
      <w:r>
        <w:rPr>
          <w:lang w:val="en-US"/>
        </w:rPr>
        <w:t xml:space="preserve">tugas </w:t>
      </w:r>
      <w:r>
        <w:t xml:space="preserve"> pengawasan Komisi Yudisial terhadap perilaku hakim juga terdapat dalam </w:t>
      </w:r>
      <w:r>
        <w:rPr>
          <w:lang w:val="en-US"/>
        </w:rPr>
        <w:t xml:space="preserve">beberapa </w:t>
      </w:r>
      <w:r>
        <w:t xml:space="preserve">Undang-Undang </w:t>
      </w:r>
      <w:r>
        <w:rPr>
          <w:lang w:val="en-US"/>
        </w:rPr>
        <w:t>lain yang terkait</w:t>
      </w:r>
      <w:r>
        <w:t xml:space="preserve"> </w:t>
      </w:r>
      <w:r>
        <w:rPr>
          <w:lang w:val="en-US"/>
        </w:rPr>
        <w:t>dengan</w:t>
      </w:r>
      <w:r>
        <w:t xml:space="preserve"> kekuasaan kehakiman</w:t>
      </w:r>
      <w:r>
        <w:rPr>
          <w:lang w:val="en-US"/>
        </w:rPr>
        <w:t xml:space="preserve"> dan beberapa Peraturan Perundang-Undangan lainnya.</w:t>
      </w:r>
    </w:p>
    <w:p w:rsidR="008922F5" w:rsidRDefault="008922F5" w:rsidP="009629A9">
      <w:pPr>
        <w:spacing w:line="276" w:lineRule="auto"/>
        <w:jc w:val="both"/>
        <w:rPr>
          <w:lang w:val="en-US"/>
        </w:rPr>
      </w:pPr>
      <w:r>
        <w:tab/>
      </w:r>
      <w:r>
        <w:rPr>
          <w:lang w:val="en-US"/>
        </w:rPr>
        <w:t>Istilah ‘menjaga’ dan ‘menegakkan’ kehormatan, keluhuran martabat, serta perilaku hakim dalam wewenang Komisi Yudisial sebagaimana disebutkan pasal 24B ayat (1) UUD 1945 mengandung makna preventif dan refresif. ‘Menjaga’ berarti Komisi Yudisial melakukan serangkaian kegiatan yang dapat menjaga hakim agar tidak melakukan tindakan yang melanggar Kode Etik dan pedoman perilaku hakim. ‘Menegakkan’ bermakna Komisi Yudisial melakukan tindakan refresif terhadap hakim yang telah melanggar Kode Etik dan pedoman perilaku hakim (KEPPH). Tindakan itu dapat berbentuk pemberian sanksi.</w:t>
      </w:r>
      <w:r>
        <w:rPr>
          <w:rStyle w:val="FootnoteReference"/>
          <w:lang w:val="en-US"/>
        </w:rPr>
        <w:footnoteReference w:id="24"/>
      </w:r>
    </w:p>
    <w:p w:rsidR="009629A9" w:rsidRDefault="008922F5" w:rsidP="009629A9">
      <w:pPr>
        <w:spacing w:line="276" w:lineRule="auto"/>
        <w:ind w:firstLine="720"/>
        <w:jc w:val="both"/>
        <w:rPr>
          <w:lang w:val="en-US"/>
        </w:rPr>
      </w:pPr>
      <w:r>
        <w:t xml:space="preserve">Pada prinsipnya ketentuan Pasal 24B UUD 1945 tidak saja merupakan landasan hukum terhadap kehadiran Undang-Undang Nomor </w:t>
      </w:r>
      <w:r>
        <w:rPr>
          <w:lang w:val="en-US"/>
        </w:rPr>
        <w:t>18</w:t>
      </w:r>
      <w:r>
        <w:t xml:space="preserve"> Tahun 20</w:t>
      </w:r>
      <w:r>
        <w:rPr>
          <w:lang w:val="en-US"/>
        </w:rPr>
        <w:t xml:space="preserve">11 </w:t>
      </w:r>
      <w:r>
        <w:t xml:space="preserve">Undang-Undang Nomor 22 Tahun 2004 tentang Komisi Yudisial, tetapi juga menjadi landasan hukum yang kuat bagi reformasi bidang hukum dengan memberikan kewenangan kepada Komisi Yudisial untuk mewujudkan </w:t>
      </w:r>
      <w:r>
        <w:rPr>
          <w:i/>
        </w:rPr>
        <w:t>checks and balances</w:t>
      </w:r>
      <w:r>
        <w:t xml:space="preserve">, dalam arti walaupun Komisi Yudisial bukan pelaku Kekuasaan Kehakiman namun fungsinya berkaitan dengan Kekuasaan Kehakiman, yaitu ‘fungsi pengawasan’. Jadi jelaslah bahwa Komisi Yudisial adalah lembaga negara sebagaimana dimaksud dalam UUD 1945 yang salah satu </w:t>
      </w:r>
      <w:r>
        <w:rPr>
          <w:lang w:val="en-US"/>
        </w:rPr>
        <w:t>tugas</w:t>
      </w:r>
      <w:r>
        <w:t xml:space="preserve">nya adalah melakukan pengawasan terhadap </w:t>
      </w:r>
      <w:r>
        <w:rPr>
          <w:lang w:val="en-US"/>
        </w:rPr>
        <w:t xml:space="preserve">perilaku </w:t>
      </w:r>
      <w:r>
        <w:t>hakim</w:t>
      </w:r>
      <w:r>
        <w:rPr>
          <w:lang w:val="en-US"/>
        </w:rPr>
        <w:t>.</w:t>
      </w:r>
      <w:r w:rsidR="009629A9">
        <w:rPr>
          <w:lang w:val="en-US"/>
        </w:rPr>
        <w:t xml:space="preserve"> </w:t>
      </w:r>
      <w:r w:rsidR="009629A9">
        <w:t xml:space="preserve">Secara spesifik, Pasal 20 Undang-Undang Nomor </w:t>
      </w:r>
      <w:r w:rsidR="009629A9">
        <w:rPr>
          <w:lang w:val="en-US"/>
        </w:rPr>
        <w:t>18</w:t>
      </w:r>
      <w:r w:rsidR="009629A9">
        <w:t xml:space="preserve"> Tahun 20</w:t>
      </w:r>
      <w:r w:rsidR="009629A9">
        <w:rPr>
          <w:lang w:val="en-US"/>
        </w:rPr>
        <w:t xml:space="preserve">11 tentang Peubahan atas </w:t>
      </w:r>
      <w:r w:rsidR="009629A9">
        <w:t>Undang-Undang Nomor 22 Tahun 2004 tentang Komisi Yudisial menyatakan upaya menjaga dan menegakkan kehormatan, martabat, dan perilaku hakim dilakukan melalui</w:t>
      </w:r>
      <w:r w:rsidR="009629A9">
        <w:rPr>
          <w:lang w:val="en-US"/>
        </w:rPr>
        <w:t xml:space="preserve"> pemantauan dan</w:t>
      </w:r>
      <w:r w:rsidR="009629A9">
        <w:t xml:space="preserve"> pengawasan perilaku hakim.</w:t>
      </w:r>
      <w:r w:rsidR="009629A9">
        <w:rPr>
          <w:lang w:val="en-US"/>
        </w:rPr>
        <w:t xml:space="preserve"> </w:t>
      </w:r>
    </w:p>
    <w:p w:rsidR="008922F5" w:rsidRDefault="008922F5" w:rsidP="009629A9">
      <w:pPr>
        <w:spacing w:line="276" w:lineRule="auto"/>
        <w:jc w:val="both"/>
        <w:rPr>
          <w:lang w:val="en-US"/>
        </w:rPr>
      </w:pPr>
      <w:r>
        <w:tab/>
        <w:t xml:space="preserve">Pengawasan yang dilakukan oleh Komisi Yudisial seperti diatur dalam </w:t>
      </w:r>
      <w:r>
        <w:rPr>
          <w:lang w:val="en-US"/>
        </w:rPr>
        <w:t>U</w:t>
      </w:r>
      <w:r>
        <w:t>ndang</w:t>
      </w:r>
      <w:r>
        <w:rPr>
          <w:lang w:val="en-US"/>
        </w:rPr>
        <w:t>-U</w:t>
      </w:r>
      <w:r>
        <w:t>ndang revisi ini, merupakan upaya untuk mengatasi perilaku menyimpang hakim agar para hakim menjunjung tinggi kehormatan, keluhuran martabat, serta perilaku hakim. Oleh karena itu, apabila fungsi pengawasan oleh Komisi Yudisial itu berjalan efektif tentu dapat mendorong terbangunnya komitmen dan integritas para hakim untuk senantiasa menjalankan wewenang dan tugasnya sebagai pelaksana utama kekuasaan kehakiman sesuai dengan Undang-Undang serta kode etik dan pedoman perilaku hakim.</w:t>
      </w:r>
      <w:r>
        <w:rPr>
          <w:rStyle w:val="FootnoteReference"/>
        </w:rPr>
        <w:footnoteReference w:id="25"/>
      </w:r>
      <w:r>
        <w:rPr>
          <w:lang w:val="en-US"/>
        </w:rPr>
        <w:t xml:space="preserve"> </w:t>
      </w:r>
    </w:p>
    <w:p w:rsidR="008922F5" w:rsidRPr="009629A9" w:rsidRDefault="009629A9" w:rsidP="009629A9">
      <w:pPr>
        <w:autoSpaceDE w:val="0"/>
        <w:autoSpaceDN w:val="0"/>
        <w:adjustRightInd w:val="0"/>
        <w:spacing w:line="276" w:lineRule="auto"/>
        <w:ind w:firstLine="720"/>
        <w:jc w:val="both"/>
        <w:rPr>
          <w:bCs/>
          <w:lang w:val="en-US"/>
        </w:rPr>
      </w:pPr>
      <w:r>
        <w:rPr>
          <w:lang w:val="en-US"/>
        </w:rPr>
        <w:lastRenderedPageBreak/>
        <w:t>Kemudian berdasarkan P</w:t>
      </w:r>
      <w:r w:rsidR="008922F5">
        <w:rPr>
          <w:lang w:val="en-US"/>
        </w:rPr>
        <w:t xml:space="preserve">asal 40 ayat (1) </w:t>
      </w:r>
      <w:r w:rsidR="008922F5" w:rsidRPr="00B87289">
        <w:rPr>
          <w:lang w:val="en-US"/>
        </w:rPr>
        <w:t>Undang-Undang</w:t>
      </w:r>
      <w:r w:rsidR="008922F5" w:rsidRPr="00F26EE8">
        <w:rPr>
          <w:lang w:val="en-US"/>
        </w:rPr>
        <w:t xml:space="preserve"> Kekuasaan Kehakiman </w:t>
      </w:r>
      <w:r w:rsidR="008922F5">
        <w:rPr>
          <w:lang w:val="en-US"/>
        </w:rPr>
        <w:t xml:space="preserve">dan </w:t>
      </w:r>
      <w:r w:rsidR="008922F5">
        <w:rPr>
          <w:bCs/>
          <w:lang w:val="en-US"/>
        </w:rPr>
        <w:t>p</w:t>
      </w:r>
      <w:r w:rsidR="008922F5" w:rsidRPr="00550E3C">
        <w:rPr>
          <w:bCs/>
          <w:lang w:val="en-US"/>
        </w:rPr>
        <w:t>asal 32A</w:t>
      </w:r>
      <w:r w:rsidR="008922F5">
        <w:rPr>
          <w:bCs/>
          <w:lang w:val="en-US"/>
        </w:rPr>
        <w:t xml:space="preserve"> </w:t>
      </w:r>
      <w:r w:rsidR="008922F5">
        <w:rPr>
          <w:lang w:val="en-US"/>
        </w:rPr>
        <w:t xml:space="preserve">ayat (2)  Undang-Undang Mahkamah Agung, dapat diketahui bahwa yang </w:t>
      </w:r>
      <w:r w:rsidR="008922F5" w:rsidRPr="00F26EE8">
        <w:rPr>
          <w:lang w:val="en-US"/>
        </w:rPr>
        <w:t>dilakukan Komisi Yudisial dalam rangka pe</w:t>
      </w:r>
      <w:r w:rsidR="008922F5">
        <w:rPr>
          <w:lang w:val="en-US"/>
        </w:rPr>
        <w:t>ngawasan hakim adalah pengawasan eksternal (</w:t>
      </w:r>
      <w:r w:rsidR="008922F5" w:rsidRPr="00D96A49">
        <w:rPr>
          <w:i/>
          <w:lang w:val="en-US"/>
        </w:rPr>
        <w:t>external control</w:t>
      </w:r>
      <w:r>
        <w:rPr>
          <w:lang w:val="en-US"/>
        </w:rPr>
        <w:t xml:space="preserve">). </w:t>
      </w:r>
      <w:r w:rsidR="008922F5">
        <w:rPr>
          <w:color w:val="000000"/>
          <w:lang w:val="en-US"/>
        </w:rPr>
        <w:t xml:space="preserve">Sedangkan dalam </w:t>
      </w:r>
      <w:r w:rsidR="008922F5" w:rsidRPr="00FE1A7D">
        <w:rPr>
          <w:color w:val="000000"/>
          <w:lang w:val="en-US"/>
        </w:rPr>
        <w:t>Pasal 22</w:t>
      </w:r>
      <w:r w:rsidR="008922F5">
        <w:rPr>
          <w:color w:val="000000"/>
          <w:lang w:val="en-US"/>
        </w:rPr>
        <w:t xml:space="preserve"> ayat (1), menyebutkan “d</w:t>
      </w:r>
      <w:r w:rsidR="008922F5" w:rsidRPr="00FE1A7D">
        <w:rPr>
          <w:color w:val="000000"/>
          <w:lang w:val="en-US"/>
        </w:rPr>
        <w:t>alam melakukan pengawasan sebagaimana dimaksud dalam Pasal 20 ayat (1) huruf a, Komisi Yudisial menerima laporan masyarakat dan/atau informasi tentang dugaan pelanggaran Kode Etik dan/atau Pedoman Perilaku Hakim.</w:t>
      </w:r>
      <w:r w:rsidR="008922F5">
        <w:rPr>
          <w:color w:val="000000"/>
          <w:lang w:val="en-US"/>
        </w:rPr>
        <w:t xml:space="preserve">” Jika ditelaah dari ketentuan pasal ini, maka dapat dikatakan bahwa tugas pengawasan Komisi Yudisial terhadap perilaku hakim bersifat pasif, hal ini dikarenakan Komisi Yudisial baru memulai Tugas Pengawasannya setelah menerima </w:t>
      </w:r>
      <w:r w:rsidR="008922F5" w:rsidRPr="00FE1A7D">
        <w:rPr>
          <w:color w:val="000000"/>
          <w:lang w:val="en-US"/>
        </w:rPr>
        <w:t>laporan masyarakat dan/atau informasi tentang dugaan pelanggaran Kode Etik dan/atau Pedoman Perilaku Hakim</w:t>
      </w:r>
      <w:r w:rsidR="008922F5">
        <w:rPr>
          <w:color w:val="000000"/>
          <w:lang w:val="en-US"/>
        </w:rPr>
        <w:t>.</w:t>
      </w:r>
    </w:p>
    <w:p w:rsidR="008922F5" w:rsidRPr="00ED79F8" w:rsidRDefault="008922F5" w:rsidP="009629A9">
      <w:pPr>
        <w:tabs>
          <w:tab w:val="num" w:pos="360"/>
        </w:tabs>
        <w:spacing w:line="276" w:lineRule="auto"/>
        <w:jc w:val="both"/>
        <w:rPr>
          <w:lang w:val="en-US"/>
        </w:rPr>
      </w:pPr>
      <w:r>
        <w:tab/>
      </w:r>
      <w:r>
        <w:tab/>
      </w:r>
      <w:r w:rsidR="009629A9">
        <w:rPr>
          <w:lang w:val="en-US"/>
        </w:rPr>
        <w:t>Sedangkan r</w:t>
      </w:r>
      <w:r>
        <w:rPr>
          <w:lang w:val="en-US"/>
        </w:rPr>
        <w:t xml:space="preserve">uang lingkup kewenangan Komisi Yudisial, dalam rangka menjaga dan menegakkan kehormatan, keluhuran martabat, serta perilaku hakim, sesungguhnya merujuk kepada </w:t>
      </w:r>
      <w:r>
        <w:rPr>
          <w:i/>
          <w:lang w:val="en-US"/>
        </w:rPr>
        <w:t>code of ethics</w:t>
      </w:r>
      <w:r>
        <w:rPr>
          <w:lang w:val="en-US"/>
        </w:rPr>
        <w:t xml:space="preserve"> dan/atau </w:t>
      </w:r>
      <w:r>
        <w:rPr>
          <w:i/>
          <w:lang w:val="en-US"/>
        </w:rPr>
        <w:t xml:space="preserve">code of conduct. </w:t>
      </w:r>
      <w:r>
        <w:rPr>
          <w:lang w:val="en-US"/>
        </w:rPr>
        <w:t xml:space="preserve">Secara umum, dikatakan bahwa </w:t>
      </w:r>
      <w:r>
        <w:rPr>
          <w:i/>
          <w:lang w:val="en-US"/>
        </w:rPr>
        <w:t xml:space="preserve">code of conduct </w:t>
      </w:r>
      <w:r>
        <w:rPr>
          <w:lang w:val="en-US"/>
        </w:rPr>
        <w:t xml:space="preserve">menetapkan tingkah laku atau perilaku hakim yang bagaimana yang tidak dapat diterima dan mana yang dapat diterima. </w:t>
      </w:r>
      <w:r>
        <w:rPr>
          <w:i/>
          <w:lang w:val="en-US"/>
        </w:rPr>
        <w:t xml:space="preserve">Code of conduct </w:t>
      </w:r>
      <w:r>
        <w:rPr>
          <w:lang w:val="en-US"/>
        </w:rPr>
        <w:t xml:space="preserve">akan mengingatkan hakim mengenai perilaku apa yang dilarang dan bahwa tiap pelanggaran </w:t>
      </w:r>
      <w:r>
        <w:rPr>
          <w:i/>
          <w:lang w:val="en-US"/>
        </w:rPr>
        <w:t xml:space="preserve">code of conduct </w:t>
      </w:r>
      <w:r>
        <w:rPr>
          <w:lang w:val="en-US"/>
        </w:rPr>
        <w:t xml:space="preserve">mungkin akan menimbulkan sanksi. </w:t>
      </w:r>
      <w:r>
        <w:rPr>
          <w:i/>
          <w:lang w:val="en-US"/>
        </w:rPr>
        <w:t xml:space="preserve">Code of conduct </w:t>
      </w:r>
      <w:r>
        <w:rPr>
          <w:lang w:val="en-US"/>
        </w:rPr>
        <w:t xml:space="preserve">merupakan suatu standar. Setiap hakim harus mengetahui bahwa ia tidak dapat berperilaku di bawah standar yang ditetapkan. Oleh karena itu etik berbeda dari perilaku yang dilarang. Etik berkenaan dengan harapan atau cita-cita. Etik adalah tujuan ideal yang dicoba untuk dicapai, yaitu untuk sedapat mungkin menjadi hakim yang terbaik. Tetapi ada pertimbangan-pertimbangan etik yang mendorong tercapainya cita-cita tersebut. Dengan suatu </w:t>
      </w:r>
      <w:r>
        <w:rPr>
          <w:i/>
          <w:lang w:val="en-US"/>
        </w:rPr>
        <w:t>code of conduct,</w:t>
      </w:r>
      <w:r>
        <w:rPr>
          <w:lang w:val="en-US"/>
        </w:rPr>
        <w:t xml:space="preserve"> akan dimungkinkan bagi hakim maupun masyarakat untuk dapat mengatakan bahwa mereka mengetahuiapa yang boleh dan yang tidak boleh dialkukan hakim. Langkah berikutnya adalah mengembangkan suatu kode etik yang akan member motivasi bagi hakim meningkat ke jenjang yang lebih tinggi, lebih baik, lebih efektif dalam melayani masyarakat, maupun menegakkan hukum. Jadi, setelah dibentuk suatu </w:t>
      </w:r>
      <w:r>
        <w:rPr>
          <w:i/>
          <w:lang w:val="en-US"/>
        </w:rPr>
        <w:t>code of conduct,</w:t>
      </w:r>
      <w:r>
        <w:rPr>
          <w:lang w:val="en-US"/>
        </w:rPr>
        <w:t xml:space="preserve"> maka untuk mencapai tingkat yang lebih tinggi, dibentuklah </w:t>
      </w:r>
      <w:r>
        <w:rPr>
          <w:i/>
          <w:lang w:val="en-US"/>
        </w:rPr>
        <w:t>code of ethics.</w:t>
      </w:r>
      <w:r w:rsidRPr="00E27C6E">
        <w:rPr>
          <w:rStyle w:val="FootnoteReference"/>
          <w:lang w:val="en-US"/>
        </w:rPr>
        <w:footnoteReference w:id="26"/>
      </w:r>
      <w:r>
        <w:rPr>
          <w:lang w:val="en-US"/>
        </w:rPr>
        <w:t xml:space="preserve"> </w:t>
      </w:r>
      <w:r>
        <w:rPr>
          <w:i/>
          <w:lang w:val="en-US"/>
        </w:rPr>
        <w:t xml:space="preserve"> </w:t>
      </w:r>
    </w:p>
    <w:p w:rsidR="008922F5" w:rsidRDefault="009629A9" w:rsidP="009629A9">
      <w:pPr>
        <w:spacing w:line="276" w:lineRule="auto"/>
        <w:ind w:firstLine="720"/>
        <w:jc w:val="both"/>
        <w:rPr>
          <w:lang w:val="en-US"/>
        </w:rPr>
      </w:pPr>
      <w:r>
        <w:rPr>
          <w:lang w:val="en-US"/>
        </w:rPr>
        <w:t>Dalam k</w:t>
      </w:r>
      <w:r w:rsidR="008922F5">
        <w:t xml:space="preserve">etentuan Pasal 1 angka 5 Undang-Undang Nomor </w:t>
      </w:r>
      <w:r w:rsidR="008922F5">
        <w:rPr>
          <w:lang w:val="en-US"/>
        </w:rPr>
        <w:t>18</w:t>
      </w:r>
      <w:r w:rsidR="008922F5">
        <w:t xml:space="preserve"> Tahun 20</w:t>
      </w:r>
      <w:r w:rsidR="008922F5">
        <w:rPr>
          <w:lang w:val="en-US"/>
        </w:rPr>
        <w:t>11</w:t>
      </w:r>
      <w:r>
        <w:t xml:space="preserve"> </w:t>
      </w:r>
      <w:r w:rsidR="008922F5">
        <w:t>menjelaskan tentang objek pengawasan Komisi Yudisial. Dimana dalam ketentuan ini menjelaskan tent</w:t>
      </w:r>
      <w:r>
        <w:t>ang pengertian kata Hakim</w:t>
      </w:r>
      <w:r>
        <w:rPr>
          <w:lang w:val="en-US"/>
        </w:rPr>
        <w:t xml:space="preserve">. </w:t>
      </w:r>
      <w:r w:rsidR="008922F5">
        <w:rPr>
          <w:lang w:val="en-US"/>
        </w:rPr>
        <w:t xml:space="preserve">Ketentuan lebih lanjut dijelaskan dalam dalam Peraturan Bersama Ketua Mahkamah Agung Republik Indonesia dan Ketua </w:t>
      </w:r>
      <w:r w:rsidR="008922F5">
        <w:rPr>
          <w:lang w:val="en-US"/>
        </w:rPr>
        <w:lastRenderedPageBreak/>
        <w:t xml:space="preserve">Komisi Yudisial Republik Indonesia Nomor : 02/PB/MA/IX/2012 – 02/PB/P.KY/09/2012 tentang Panduan Penegakan Kode Etik dan Pedoman Perilaku Hakim, dalam Pasal 1 angka 2 menyebutkan “ Hakim adalah hakim Pada Mahkamah Agung dan hakim pada badan peradilan yang berada di bawahnya dalam lingkungan peradilan umum, lingkungan peradilan agama, lingkungan peradilan militer, dan lingkungan peradilan tata usaha negara, termasuk hakim </w:t>
      </w:r>
      <w:r w:rsidR="008922F5" w:rsidRPr="006F61D8">
        <w:rPr>
          <w:i/>
          <w:lang w:val="en-US"/>
        </w:rPr>
        <w:t>ad hoc</w:t>
      </w:r>
      <w:r w:rsidR="008922F5">
        <w:rPr>
          <w:lang w:val="en-US"/>
        </w:rPr>
        <w:t xml:space="preserve"> dan hakim pengadilan pajak. </w:t>
      </w:r>
    </w:p>
    <w:p w:rsidR="008922F5" w:rsidRDefault="008922F5" w:rsidP="009629A9">
      <w:pPr>
        <w:spacing w:line="276" w:lineRule="auto"/>
        <w:ind w:firstLine="720"/>
        <w:jc w:val="both"/>
        <w:rPr>
          <w:lang w:val="en-US"/>
        </w:rPr>
      </w:pPr>
      <w:r>
        <w:rPr>
          <w:lang w:val="en-US"/>
        </w:rPr>
        <w:t>Dari penjelasan ketentuan-kententuan tentang hakim tersebut diatas, Hakim Konstitusi bukan merupakan objek pengawasan Komisi Yudisial, padahal dalam ketentuan  Undang-Undang Nomor 22 Tahun 2004 tentang Komisi Yudisial, hakim konstitusi termasuk objek pengawasan Komisi yudisial. Hal ini tidak terlepas dari Putusan Mahkamah Konstitusi Republik Indonesia Nomor 005/PUU-IV/2006, yang menyatakan bahwa hakim Mahkamah Konstitusi pada pokoknya tidak berada di bawah pengawasan Komisi Yudisial, dengan alasan bahwa Mahhkamah Konstitusi memiliki tanggung jawab konstitusional untuk mengawasi UUD 1945.</w:t>
      </w:r>
      <w:r>
        <w:rPr>
          <w:rStyle w:val="FootnoteReference"/>
          <w:lang w:val="en-US"/>
        </w:rPr>
        <w:footnoteReference w:id="27"/>
      </w:r>
    </w:p>
    <w:p w:rsidR="009629A9" w:rsidRDefault="008922F5" w:rsidP="009629A9">
      <w:pPr>
        <w:spacing w:line="276" w:lineRule="auto"/>
        <w:ind w:firstLine="720"/>
        <w:jc w:val="both"/>
        <w:rPr>
          <w:lang w:val="en-US"/>
        </w:rPr>
      </w:pPr>
      <w:r w:rsidRPr="00A178F5">
        <w:rPr>
          <w:lang w:val="en-US"/>
        </w:rPr>
        <w:t>Jadi y</w:t>
      </w:r>
      <w:r w:rsidRPr="00A178F5">
        <w:t xml:space="preserve">ang dapat dilaporkan ke Komisi </w:t>
      </w:r>
      <w:r w:rsidR="009629A9">
        <w:t xml:space="preserve">Yudisial adalah hakim termasuk </w:t>
      </w:r>
      <w:r w:rsidR="009629A9">
        <w:rPr>
          <w:lang w:val="en-US"/>
        </w:rPr>
        <w:t>H</w:t>
      </w:r>
      <w:r w:rsidRPr="00A178F5">
        <w:t>akim</w:t>
      </w:r>
      <w:r>
        <w:rPr>
          <w:lang w:val="en-US"/>
        </w:rPr>
        <w:t xml:space="preserve"> </w:t>
      </w:r>
      <w:r w:rsidRPr="00A178F5">
        <w:rPr>
          <w:lang w:val="en-US"/>
        </w:rPr>
        <w:t>Agung dan</w:t>
      </w:r>
      <w:r w:rsidRPr="00A178F5">
        <w:t xml:space="preserve"> </w:t>
      </w:r>
      <w:r w:rsidRPr="00A178F5">
        <w:rPr>
          <w:i/>
          <w:iCs/>
        </w:rPr>
        <w:t xml:space="preserve">ad hoc </w:t>
      </w:r>
      <w:r w:rsidRPr="00A178F5">
        <w:rPr>
          <w:iCs/>
          <w:lang w:val="en-US"/>
        </w:rPr>
        <w:t>(</w:t>
      </w:r>
      <w:r w:rsidRPr="00A178F5">
        <w:rPr>
          <w:lang w:val="en-US"/>
        </w:rPr>
        <w:t xml:space="preserve">Hakim </w:t>
      </w:r>
      <w:r w:rsidRPr="00A178F5">
        <w:rPr>
          <w:i/>
          <w:iCs/>
          <w:lang w:val="en-US"/>
        </w:rPr>
        <w:t xml:space="preserve">ad hoc </w:t>
      </w:r>
      <w:r w:rsidRPr="00A178F5">
        <w:rPr>
          <w:lang w:val="en-US"/>
        </w:rPr>
        <w:t>adalah hakim yang bersifat sementara yang</w:t>
      </w:r>
      <w:r>
        <w:rPr>
          <w:lang w:val="en-US"/>
        </w:rPr>
        <w:t xml:space="preserve"> memiliki </w:t>
      </w:r>
      <w:r w:rsidRPr="00A178F5">
        <w:rPr>
          <w:lang w:val="en-US"/>
        </w:rPr>
        <w:t>keahlian dan pengalaman di bidang tertentu</w:t>
      </w:r>
      <w:r>
        <w:rPr>
          <w:lang w:val="en-US"/>
        </w:rPr>
        <w:t xml:space="preserve"> </w:t>
      </w:r>
      <w:r w:rsidRPr="00A178F5">
        <w:rPr>
          <w:lang w:val="en-US"/>
        </w:rPr>
        <w:t>untuk memeriksa, mengadili, dan memutus suatu</w:t>
      </w:r>
      <w:r>
        <w:rPr>
          <w:lang w:val="en-US"/>
        </w:rPr>
        <w:t xml:space="preserve"> </w:t>
      </w:r>
      <w:r w:rsidRPr="00A178F5">
        <w:rPr>
          <w:lang w:val="en-US"/>
        </w:rPr>
        <w:t>perkara yang pengangkat</w:t>
      </w:r>
      <w:r>
        <w:rPr>
          <w:lang w:val="en-US"/>
        </w:rPr>
        <w:t>annya diatur dalam undang-undang</w:t>
      </w:r>
      <w:r>
        <w:rPr>
          <w:rStyle w:val="FootnoteReference"/>
          <w:lang w:val="en-US"/>
        </w:rPr>
        <w:footnoteReference w:id="28"/>
      </w:r>
      <w:r w:rsidRPr="00A178F5">
        <w:rPr>
          <w:iCs/>
          <w:lang w:val="en-US"/>
        </w:rPr>
        <w:t>)</w:t>
      </w:r>
      <w:r>
        <w:rPr>
          <w:iCs/>
          <w:lang w:val="en-US"/>
        </w:rPr>
        <w:t xml:space="preserve"> </w:t>
      </w:r>
      <w:r w:rsidRPr="00A178F5">
        <w:t>pada Mahkamah Agung dan badan peradilan yang berada di bawah Mahkamah Agung.</w:t>
      </w:r>
      <w:r w:rsidRPr="00A178F5">
        <w:rPr>
          <w:lang w:val="en-US"/>
        </w:rPr>
        <w:t xml:space="preserve"> </w:t>
      </w:r>
      <w:r>
        <w:t xml:space="preserve">Laporan </w:t>
      </w:r>
      <w:r>
        <w:rPr>
          <w:lang w:val="en-US"/>
        </w:rPr>
        <w:t xml:space="preserve">adalah </w:t>
      </w:r>
      <w:r>
        <w:t xml:space="preserve">pengaduan </w:t>
      </w:r>
      <w:r>
        <w:rPr>
          <w:lang w:val="en-US"/>
        </w:rPr>
        <w:t>yang</w:t>
      </w:r>
      <w:r>
        <w:t xml:space="preserve"> disampaikan oleh </w:t>
      </w:r>
      <w:r>
        <w:rPr>
          <w:lang w:val="en-US"/>
        </w:rPr>
        <w:t>Pelapor</w:t>
      </w:r>
      <w:r>
        <w:t xml:space="preserve"> kepada Komisi Yudisial yang berisi tentang dugaan pelanggaran </w:t>
      </w:r>
      <w:r>
        <w:rPr>
          <w:lang w:val="en-US"/>
        </w:rPr>
        <w:t>Kode Etik dan/atau Pedoman Perilaku Hakim</w:t>
      </w:r>
      <w:r>
        <w:rPr>
          <w:rStyle w:val="FootnoteReference"/>
        </w:rPr>
        <w:footnoteReference w:id="29"/>
      </w:r>
      <w:r>
        <w:t xml:space="preserve"> </w:t>
      </w:r>
      <w:r w:rsidR="009629A9">
        <w:t xml:space="preserve">Selanjutnya mekanisme pelaksanaan fungsi pengawasan Komisi Yudisial diatur lebih rinci dalam Peraturan Komisi Yudisial </w:t>
      </w:r>
      <w:r w:rsidR="009629A9">
        <w:rPr>
          <w:lang w:val="en-US"/>
        </w:rPr>
        <w:t xml:space="preserve">Republik Indonesia </w:t>
      </w:r>
      <w:r w:rsidR="009629A9">
        <w:t xml:space="preserve">Nomor </w:t>
      </w:r>
      <w:r w:rsidR="009629A9">
        <w:rPr>
          <w:lang w:val="en-US"/>
        </w:rPr>
        <w:t>2</w:t>
      </w:r>
      <w:r w:rsidR="009629A9">
        <w:t xml:space="preserve"> Tahun 20</w:t>
      </w:r>
      <w:r w:rsidR="009629A9">
        <w:rPr>
          <w:lang w:val="en-US"/>
        </w:rPr>
        <w:t>15</w:t>
      </w:r>
      <w:r w:rsidR="009629A9">
        <w:t xml:space="preserve"> tentang </w:t>
      </w:r>
      <w:r w:rsidR="009629A9">
        <w:rPr>
          <w:lang w:val="en-US"/>
        </w:rPr>
        <w:t>Penanganan Laporan Mayarakat</w:t>
      </w:r>
      <w:r w:rsidR="009629A9">
        <w:t xml:space="preserve">. Hal ini sesuai dengan pasal 22 </w:t>
      </w:r>
      <w:r w:rsidR="009629A9" w:rsidRPr="00142DEC">
        <w:t>ayat (</w:t>
      </w:r>
      <w:r w:rsidR="009629A9" w:rsidRPr="00142DEC">
        <w:rPr>
          <w:lang w:val="en-US"/>
        </w:rPr>
        <w:t>7</w:t>
      </w:r>
      <w:r w:rsidR="009629A9" w:rsidRPr="00142DEC">
        <w:t xml:space="preserve">) Undang-Undang Nomor </w:t>
      </w:r>
      <w:r w:rsidR="009629A9" w:rsidRPr="00142DEC">
        <w:rPr>
          <w:lang w:val="en-US"/>
        </w:rPr>
        <w:t>18</w:t>
      </w:r>
      <w:r w:rsidR="009629A9" w:rsidRPr="00142DEC">
        <w:t xml:space="preserve"> Tahun 20</w:t>
      </w:r>
      <w:r w:rsidR="009629A9" w:rsidRPr="00142DEC">
        <w:rPr>
          <w:lang w:val="en-US"/>
        </w:rPr>
        <w:t>11</w:t>
      </w:r>
      <w:r w:rsidR="009629A9" w:rsidRPr="00142DEC">
        <w:t xml:space="preserve"> yang menyebutkan “Ketentuan lebih lanjut mengenai tata cara pelaksanaan tugas sebagaimana dimaksud pada ayat (1) diatur oleh Komisi Yudisial”.</w:t>
      </w:r>
    </w:p>
    <w:p w:rsidR="008922F5" w:rsidRDefault="008922F5" w:rsidP="009629A9">
      <w:pPr>
        <w:spacing w:line="276" w:lineRule="auto"/>
        <w:jc w:val="both"/>
      </w:pPr>
      <w:r>
        <w:rPr>
          <w:lang w:val="en-US"/>
        </w:rPr>
        <w:tab/>
      </w:r>
      <w:r w:rsidR="009629A9">
        <w:rPr>
          <w:lang w:val="en-US"/>
        </w:rPr>
        <w:t>Berdasarkan penjelasa terkait ketentuan-ketentuan tersebut di atas, jadi r</w:t>
      </w:r>
      <w:r>
        <w:t>uang</w:t>
      </w:r>
      <w:r>
        <w:rPr>
          <w:lang w:val="en-US"/>
        </w:rPr>
        <w:t xml:space="preserve"> </w:t>
      </w:r>
      <w:r>
        <w:t xml:space="preserve"> lingkup kewenangan Komisi Yudisial, dalam rangka menjaga dan menegakkan kehormatan, keluhuran martabat, serta perilaku hakim, sesungguhnya merujuk kepada </w:t>
      </w:r>
      <w:r>
        <w:rPr>
          <w:i/>
        </w:rPr>
        <w:t>code of ethics</w:t>
      </w:r>
      <w:r>
        <w:t xml:space="preserve"> dan/atau </w:t>
      </w:r>
      <w:r>
        <w:rPr>
          <w:i/>
        </w:rPr>
        <w:t>cose of conduct</w:t>
      </w:r>
      <w:r>
        <w:t xml:space="preserve">. Secara umum, dikatakan bahwa suatu </w:t>
      </w:r>
      <w:r>
        <w:rPr>
          <w:i/>
        </w:rPr>
        <w:t>code of conduct</w:t>
      </w:r>
      <w:r>
        <w:t xml:space="preserve"> menetapkan tingkah laku atau perilaku hakim yang bagaimana yang tidak </w:t>
      </w:r>
      <w:r>
        <w:lastRenderedPageBreak/>
        <w:t xml:space="preserve">dapat diterima dan mana yang dapat diterima. </w:t>
      </w:r>
      <w:r>
        <w:rPr>
          <w:i/>
        </w:rPr>
        <w:t>Code of conduct</w:t>
      </w:r>
      <w:r>
        <w:t xml:space="preserve"> merupakan suatu standar. Setiap hakim harus mengetahui bahwa ia tidak dapat berperilaku dibawah standar yang ditetapkan. Oleh sebab itu etik berbeda dari perilaku yang dilarang. Etik berkenaan dengan harapan atau cita-cita. Etik adalah tujuan ideal yang dicoba untuk dicapai, yaitu untuk sedapat mungkin menjadi hakim yang terbaik. Tetapi ada pertimbangan-pertimbangan etik yang mendorong tercapainya cita-cita tersebut. Dengan suatu </w:t>
      </w:r>
      <w:r>
        <w:rPr>
          <w:i/>
        </w:rPr>
        <w:t>code of conduct</w:t>
      </w:r>
      <w:r>
        <w:t xml:space="preserve">, akan dimungkinkan bagi hakim maupun masyarakat untuk dapat mengatakan bahwa mereka mengetahui apa yang boleh dan yang tidak boleh dilakukan hakim. Langkah berikutnya adalah mengembangkan suatu kode etik yang akan memberikan motivasi bagi hakim meningkat ke jenjang yang lebih tinggi, lebih baik, lebih efektif dalam melayani masyarakat, maupun menegakkan hukum. Jadi, setelah dibentuk suatu </w:t>
      </w:r>
      <w:r>
        <w:rPr>
          <w:i/>
        </w:rPr>
        <w:t>code of conduct</w:t>
      </w:r>
      <w:r>
        <w:t xml:space="preserve">, maka untuk mencapai tingkat yang lebih tinggi, dibentuklah </w:t>
      </w:r>
      <w:r>
        <w:rPr>
          <w:i/>
        </w:rPr>
        <w:t>code of ethics</w:t>
      </w:r>
      <w:r>
        <w:t>.</w:t>
      </w:r>
      <w:r>
        <w:rPr>
          <w:rStyle w:val="FootnoteReference"/>
        </w:rPr>
        <w:footnoteReference w:id="30"/>
      </w:r>
    </w:p>
    <w:p w:rsidR="008922F5" w:rsidRPr="00B7702E" w:rsidRDefault="009629A9" w:rsidP="009629A9">
      <w:pPr>
        <w:widowControl w:val="0"/>
        <w:tabs>
          <w:tab w:val="left" w:pos="660"/>
          <w:tab w:val="left" w:pos="720"/>
        </w:tabs>
        <w:autoSpaceDE w:val="0"/>
        <w:autoSpaceDN w:val="0"/>
        <w:adjustRightInd w:val="0"/>
        <w:spacing w:line="276" w:lineRule="auto"/>
        <w:ind w:right="-20"/>
        <w:jc w:val="both"/>
        <w:rPr>
          <w:color w:val="000000"/>
          <w:lang w:val="en-US"/>
        </w:rPr>
      </w:pPr>
      <w:r>
        <w:rPr>
          <w:lang w:val="en-US"/>
        </w:rPr>
        <w:tab/>
      </w:r>
      <w:r w:rsidR="008922F5">
        <w:t>Dalam sudut pandang yuridis-praktis, kewenangan Komisi Yudisial tidak akan tumpang tindih dengan kewenangan Mahkamah Agung. Karena kewenangan Mahkamah Agung bersifat teknis yuridis, sementara kewenangan Komisi Yudisial sebatas perilaku hakim. Lebih lagi pengawasan Mahkamah Agung berupa pengawasan internal yang sangat teknis – menyangkut administrasi, finansial, dan teknis yuridis. Sedangkan pengawasan Komisi Yudisial, lebih bersifat melihat kinerja hukum dan mengawasi perilaku para hakim.</w:t>
      </w:r>
      <w:r w:rsidR="008922F5">
        <w:rPr>
          <w:rStyle w:val="FootnoteReference"/>
        </w:rPr>
        <w:footnoteReference w:id="31"/>
      </w:r>
      <w:r>
        <w:rPr>
          <w:lang w:val="en-US"/>
        </w:rPr>
        <w:t xml:space="preserve"> </w:t>
      </w:r>
      <w:r>
        <w:rPr>
          <w:color w:val="000000"/>
          <w:lang w:val="en-US"/>
        </w:rPr>
        <w:t>Selanjutnya di</w:t>
      </w:r>
      <w:r w:rsidR="008922F5" w:rsidRPr="00EF316F">
        <w:rPr>
          <w:color w:val="000000"/>
          <w:lang w:val="en-US"/>
        </w:rPr>
        <w:t>buatlah Surat Keputusan Bersama Ketua Mahkamah Agung Republik Indonesia dan Ketua Komisi Yudisial Republik Indonesia Nomor: 047/KMA/SKB/IV/2009 - 02/SKB/P.KY/IV/2009 tanggal 8 April 2009 tentang Kode Etik dan Pedoman Perilaku Hakim</w:t>
      </w:r>
      <w:r w:rsidR="008922F5">
        <w:rPr>
          <w:color w:val="000000"/>
          <w:lang w:val="en-US"/>
        </w:rPr>
        <w:t xml:space="preserve"> yang menjadi</w:t>
      </w:r>
      <w:r w:rsidR="008922F5" w:rsidRPr="00EF316F">
        <w:rPr>
          <w:color w:val="000000"/>
          <w:lang w:val="en-US"/>
        </w:rPr>
        <w:t xml:space="preserve"> panduan keutamaan moral bagi setiap hakim, baik di dalam maupun di luar kedinasan.</w:t>
      </w:r>
      <w:r w:rsidR="008922F5">
        <w:rPr>
          <w:color w:val="000000"/>
          <w:lang w:val="en-US"/>
        </w:rPr>
        <w:t xml:space="preserve"> Dan untuk melaksanakan kententuan dalam Kode Etik dan Pedoman Perilaku Hakim sebagaimana dimaksud, diterbitkanlah Peraturan Bersama Ketua Mahkamah Agung Republik Indonesia dan Ketua Komisi Yudisial</w:t>
      </w:r>
      <w:r w:rsidR="008922F5" w:rsidRPr="00850353">
        <w:rPr>
          <w:lang w:val="en-US"/>
        </w:rPr>
        <w:t xml:space="preserve"> </w:t>
      </w:r>
      <w:r w:rsidR="008922F5">
        <w:rPr>
          <w:lang w:val="en-US"/>
        </w:rPr>
        <w:t xml:space="preserve">Nomor : 02/PB/MA/IX/2012 – 02/PB/P.KY/09/2012 tentang Panduan Penegakan Kode Etik dan Pedoman Perilaku Hakim, yang menjadi pedoman dan batasan Komisi Yudisial dalam melaksanakan tugas pengawasan. </w:t>
      </w:r>
      <w:r w:rsidR="008922F5" w:rsidRPr="00B7702E">
        <w:rPr>
          <w:color w:val="000000"/>
          <w:lang w:val="en-US"/>
        </w:rPr>
        <w:t xml:space="preserve">Peraturan Bersama </w:t>
      </w:r>
      <w:r w:rsidR="008922F5" w:rsidRPr="00B7702E">
        <w:rPr>
          <w:lang w:val="en-US"/>
        </w:rPr>
        <w:t xml:space="preserve">inilah yang menjadi pedoman dan batasan </w:t>
      </w:r>
      <w:r w:rsidR="008922F5">
        <w:rPr>
          <w:lang w:val="en-US"/>
        </w:rPr>
        <w:t xml:space="preserve">bagi </w:t>
      </w:r>
      <w:r w:rsidR="008922F5" w:rsidRPr="00B7702E">
        <w:rPr>
          <w:lang w:val="en-US"/>
        </w:rPr>
        <w:t>Komisi Yudisial dalam melaksanakan tugas pen</w:t>
      </w:r>
      <w:r w:rsidR="008922F5">
        <w:rPr>
          <w:lang w:val="en-US"/>
        </w:rPr>
        <w:t>gawasannya.</w:t>
      </w:r>
    </w:p>
    <w:p w:rsidR="008922F5" w:rsidRPr="009629A9" w:rsidRDefault="008922F5" w:rsidP="009629A9">
      <w:pPr>
        <w:tabs>
          <w:tab w:val="num" w:pos="360"/>
        </w:tabs>
        <w:spacing w:line="276" w:lineRule="auto"/>
        <w:jc w:val="both"/>
      </w:pPr>
      <w:r>
        <w:rPr>
          <w:lang w:val="en-US"/>
        </w:rPr>
        <w:tab/>
      </w:r>
      <w:r>
        <w:rPr>
          <w:lang w:val="en-US"/>
        </w:rPr>
        <w:tab/>
      </w:r>
      <w:r>
        <w:rPr>
          <w:bCs/>
        </w:rPr>
        <w:t>Banyaknya  laporan pengaduan yang diteri</w:t>
      </w:r>
      <w:r w:rsidR="009629A9">
        <w:rPr>
          <w:bCs/>
        </w:rPr>
        <w:t>ma oleh Komisi Yudisial</w:t>
      </w:r>
      <w:r w:rsidR="009629A9">
        <w:rPr>
          <w:bCs/>
          <w:lang w:val="en-US"/>
        </w:rPr>
        <w:t xml:space="preserve"> selama ini</w:t>
      </w:r>
      <w:r>
        <w:rPr>
          <w:bCs/>
        </w:rPr>
        <w:t xml:space="preserve"> merupakan indikasi bahwa penyalahgunaan wewenang dan perilaku yang melanggar kode etik, tidak profesional dan melanggar prinsip imparsialitas yang </w:t>
      </w:r>
      <w:r>
        <w:rPr>
          <w:bCs/>
        </w:rPr>
        <w:lastRenderedPageBreak/>
        <w:t xml:space="preserve">dilakukan oleh hakim cukup banyak. Lebih dari itu, kehadiran Komisi Yudisial sebagai akses bagi masyarakat dan pencari keadilan yang menuntut perlakuan secara adil dari badan peradilan makin memperkuat eksistensi dan peran Komisi Yudisial sebagai </w:t>
      </w:r>
      <w:r>
        <w:rPr>
          <w:bCs/>
          <w:i/>
          <w:iCs/>
        </w:rPr>
        <w:t>agent of change</w:t>
      </w:r>
      <w:r>
        <w:rPr>
          <w:bCs/>
        </w:rPr>
        <w:t xml:space="preserve"> dalam rangka mendorong reformasi peradilan.</w:t>
      </w:r>
      <w:r>
        <w:rPr>
          <w:rStyle w:val="FootnoteReference"/>
          <w:bCs/>
        </w:rPr>
        <w:footnoteReference w:id="32"/>
      </w:r>
      <w:r w:rsidR="009629A9">
        <w:rPr>
          <w:lang w:val="en-US"/>
        </w:rPr>
        <w:t xml:space="preserve"> Kendati demikian, t</w:t>
      </w:r>
      <w:r>
        <w:t>idak semua rekomendasi penjatuhan sanksi direspon oleh Mahkamah Agung. Terlebih ketika terjadi kekosongan hukum pasca keluarnya putusan ujimateril terhadap Undang-Undang Nomor 22 Tahun 2004. Selama periode tersebut tidak ada satu pun rekomendasi Komisi Yudisial yang dilaksanakan oleh Mahkamah Agung, sampai ketua Mahkamah Agung dijabat oleh Dr. Arifin A. Tumpa baru rekomendasi Komisi Yudisial mendapat respon dari Mahkamah Agung.</w:t>
      </w:r>
      <w:r>
        <w:rPr>
          <w:rStyle w:val="FootnoteReference"/>
        </w:rPr>
        <w:footnoteReference w:id="33"/>
      </w:r>
      <w:r w:rsidR="009629A9">
        <w:rPr>
          <w:lang w:val="en-US"/>
        </w:rPr>
        <w:t xml:space="preserve"> </w:t>
      </w:r>
      <w:r w:rsidRPr="003368CD">
        <w:t>Ada banyak</w:t>
      </w:r>
      <w:r>
        <w:rPr>
          <w:lang w:val="en-US"/>
        </w:rPr>
        <w:t>nya</w:t>
      </w:r>
      <w:r w:rsidRPr="003368CD">
        <w:t xml:space="preserve"> rekomendasi K</w:t>
      </w:r>
      <w:r>
        <w:rPr>
          <w:lang w:val="en-US"/>
        </w:rPr>
        <w:t xml:space="preserve">omisi Yudisial </w:t>
      </w:r>
      <w:r w:rsidRPr="003368CD">
        <w:t>yang tidak dilaksanakan oleh M</w:t>
      </w:r>
      <w:r>
        <w:rPr>
          <w:lang w:val="en-US"/>
        </w:rPr>
        <w:t xml:space="preserve">ahkamah </w:t>
      </w:r>
      <w:r w:rsidRPr="003368CD">
        <w:t>A</w:t>
      </w:r>
      <w:r>
        <w:rPr>
          <w:lang w:val="en-US"/>
        </w:rPr>
        <w:t>gung</w:t>
      </w:r>
      <w:r w:rsidRPr="003368CD">
        <w:t>. Hal tersebut jelas merupakan salah satu hambatan yang dihadapi K</w:t>
      </w:r>
      <w:r>
        <w:rPr>
          <w:lang w:val="en-US"/>
        </w:rPr>
        <w:t xml:space="preserve">omisi </w:t>
      </w:r>
      <w:r w:rsidRPr="003368CD">
        <w:t>Y</w:t>
      </w:r>
      <w:r>
        <w:rPr>
          <w:lang w:val="en-US"/>
        </w:rPr>
        <w:t>udisial</w:t>
      </w:r>
      <w:r w:rsidRPr="003368CD">
        <w:t xml:space="preserve"> dalam menjalankan tugasnya. Namun, dalam U</w:t>
      </w:r>
      <w:r>
        <w:rPr>
          <w:lang w:val="en-US"/>
        </w:rPr>
        <w:t>ndang-</w:t>
      </w:r>
      <w:r w:rsidRPr="003368CD">
        <w:t>U</w:t>
      </w:r>
      <w:r>
        <w:rPr>
          <w:lang w:val="en-US"/>
        </w:rPr>
        <w:t>ndang</w:t>
      </w:r>
      <w:r w:rsidRPr="003368CD">
        <w:t xml:space="preserve"> juga ditentukan K</w:t>
      </w:r>
      <w:r>
        <w:rPr>
          <w:lang w:val="en-US"/>
        </w:rPr>
        <w:t xml:space="preserve">omisi </w:t>
      </w:r>
      <w:r w:rsidRPr="003368CD">
        <w:t>Y</w:t>
      </w:r>
      <w:r>
        <w:rPr>
          <w:lang w:val="en-US"/>
        </w:rPr>
        <w:t>udisial</w:t>
      </w:r>
      <w:r w:rsidRPr="003368CD">
        <w:t xml:space="preserve"> hanya berwenang memberikan</w:t>
      </w:r>
      <w:r>
        <w:t xml:space="preserve"> rekomendasi, bukan eksekusi</w:t>
      </w:r>
      <w:r w:rsidRPr="003368CD">
        <w:t>.</w:t>
      </w:r>
      <w:r>
        <w:rPr>
          <w:rStyle w:val="FootnoteReference"/>
        </w:rPr>
        <w:footnoteReference w:id="34"/>
      </w:r>
    </w:p>
    <w:p w:rsidR="008922F5" w:rsidRPr="009629A9" w:rsidRDefault="008922F5" w:rsidP="009629A9">
      <w:pPr>
        <w:widowControl w:val="0"/>
        <w:tabs>
          <w:tab w:val="left" w:pos="660"/>
          <w:tab w:val="left" w:pos="720"/>
        </w:tabs>
        <w:autoSpaceDE w:val="0"/>
        <w:autoSpaceDN w:val="0"/>
        <w:adjustRightInd w:val="0"/>
        <w:spacing w:line="276" w:lineRule="auto"/>
        <w:ind w:right="-20"/>
        <w:jc w:val="both"/>
        <w:rPr>
          <w:bCs/>
          <w:lang w:val="en-US"/>
        </w:rPr>
      </w:pPr>
      <w:r>
        <w:rPr>
          <w:lang w:val="en-US"/>
        </w:rPr>
        <w:tab/>
      </w:r>
      <w:r>
        <w:rPr>
          <w:lang w:val="en-US"/>
        </w:rPr>
        <w:tab/>
      </w:r>
      <w:r w:rsidR="009629A9">
        <w:rPr>
          <w:bCs/>
          <w:lang w:val="en-US"/>
        </w:rPr>
        <w:t>Dalam segi w</w:t>
      </w:r>
      <w:r>
        <w:rPr>
          <w:bCs/>
          <w:lang w:val="en-US"/>
        </w:rPr>
        <w:t>ewenang Pengawasan</w:t>
      </w:r>
      <w:r w:rsidR="009629A9">
        <w:rPr>
          <w:bCs/>
          <w:lang w:val="en-US"/>
        </w:rPr>
        <w:t>,</w:t>
      </w:r>
      <w:r>
        <w:rPr>
          <w:bCs/>
          <w:lang w:val="en-US"/>
        </w:rPr>
        <w:t xml:space="preserve"> Komisi Yudisial relatif mendapat penguatan melalui Undang-Undang Nomor 18 Tahun 2011 tentang perubahan atas Undang-Undang Nomor 22 Tahun 2004 tentang Komisi Yudisial. Melalui undang-undang tersebut, terkait fungsi pengawasan hakim Komisi Yudisial diberi wewenang untuk melakukan pemanggilan paksa terhadap saksi.</w:t>
      </w:r>
      <w:r>
        <w:rPr>
          <w:rStyle w:val="FootnoteReference"/>
          <w:bCs/>
          <w:lang w:val="en-US"/>
        </w:rPr>
        <w:footnoteReference w:id="35"/>
      </w:r>
      <w:r>
        <w:rPr>
          <w:bCs/>
          <w:lang w:val="en-US"/>
        </w:rPr>
        <w:t xml:space="preserve"> Selain itu, Komisi Yudisial juga dapat bantuan instansi penegak hukum untuk melakukan penyadapan.</w:t>
      </w:r>
      <w:r>
        <w:rPr>
          <w:rStyle w:val="FootnoteReference"/>
          <w:bCs/>
          <w:lang w:val="en-US"/>
        </w:rPr>
        <w:footnoteReference w:id="36"/>
      </w:r>
      <w:r>
        <w:rPr>
          <w:bCs/>
          <w:lang w:val="en-US"/>
        </w:rPr>
        <w:t xml:space="preserve"> Undang-Undang tersebut juga mengamanahkan bahwa rekomendasi sanksi yang diberikan Komisi Yudisial bersifat mengikat.</w:t>
      </w:r>
      <w:r w:rsidR="009629A9">
        <w:rPr>
          <w:bCs/>
          <w:lang w:val="en-US"/>
        </w:rPr>
        <w:t xml:space="preserve"> </w:t>
      </w:r>
      <w:r w:rsidRPr="0003506C">
        <w:rPr>
          <w:lang w:val="en-US"/>
        </w:rPr>
        <w:t>Pasal 22D ayat (1) U</w:t>
      </w:r>
      <w:r>
        <w:rPr>
          <w:lang w:val="en-US"/>
        </w:rPr>
        <w:t>ndang-</w:t>
      </w:r>
      <w:r w:rsidRPr="0003506C">
        <w:rPr>
          <w:lang w:val="en-US"/>
        </w:rPr>
        <w:t>U</w:t>
      </w:r>
      <w:r>
        <w:rPr>
          <w:lang w:val="en-US"/>
        </w:rPr>
        <w:t>ndang</w:t>
      </w:r>
      <w:r w:rsidRPr="0003506C">
        <w:rPr>
          <w:lang w:val="en-US"/>
        </w:rPr>
        <w:t xml:space="preserve"> No</w:t>
      </w:r>
      <w:r>
        <w:rPr>
          <w:lang w:val="en-US"/>
        </w:rPr>
        <w:t>mor</w:t>
      </w:r>
      <w:r w:rsidRPr="0003506C">
        <w:rPr>
          <w:lang w:val="en-US"/>
        </w:rPr>
        <w:t xml:space="preserve"> 18 Tahun 2011 menyebutkan, Komisi</w:t>
      </w:r>
      <w:r>
        <w:rPr>
          <w:lang w:val="en-US"/>
        </w:rPr>
        <w:t xml:space="preserve"> </w:t>
      </w:r>
      <w:r w:rsidRPr="0003506C">
        <w:rPr>
          <w:lang w:val="en-US"/>
        </w:rPr>
        <w:t>Yudisial menyampaikan usul penjatuhan sanksi kepada Mahkamah Agung</w:t>
      </w:r>
      <w:r>
        <w:rPr>
          <w:lang w:val="en-US"/>
        </w:rPr>
        <w:t xml:space="preserve"> </w:t>
      </w:r>
      <w:r w:rsidRPr="0003506C">
        <w:rPr>
          <w:lang w:val="en-US"/>
        </w:rPr>
        <w:t>terhadap hakim terlapor yang melanggar K</w:t>
      </w:r>
      <w:r>
        <w:rPr>
          <w:lang w:val="en-US"/>
        </w:rPr>
        <w:t xml:space="preserve">ode </w:t>
      </w:r>
      <w:r w:rsidRPr="0003506C">
        <w:rPr>
          <w:lang w:val="en-US"/>
        </w:rPr>
        <w:t>E</w:t>
      </w:r>
      <w:r>
        <w:rPr>
          <w:lang w:val="en-US"/>
        </w:rPr>
        <w:t xml:space="preserve">tik dan </w:t>
      </w:r>
      <w:r w:rsidRPr="0003506C">
        <w:rPr>
          <w:lang w:val="en-US"/>
        </w:rPr>
        <w:t>P</w:t>
      </w:r>
      <w:r>
        <w:rPr>
          <w:lang w:val="en-US"/>
        </w:rPr>
        <w:t xml:space="preserve">edoman </w:t>
      </w:r>
      <w:r w:rsidRPr="0003506C">
        <w:rPr>
          <w:lang w:val="en-US"/>
        </w:rPr>
        <w:t>P</w:t>
      </w:r>
      <w:r>
        <w:rPr>
          <w:lang w:val="en-US"/>
        </w:rPr>
        <w:t xml:space="preserve">erilaku </w:t>
      </w:r>
      <w:r w:rsidRPr="0003506C">
        <w:rPr>
          <w:lang w:val="en-US"/>
        </w:rPr>
        <w:t>H</w:t>
      </w:r>
      <w:r>
        <w:rPr>
          <w:lang w:val="en-US"/>
        </w:rPr>
        <w:t>akim</w:t>
      </w:r>
      <w:r w:rsidRPr="0003506C">
        <w:rPr>
          <w:lang w:val="en-US"/>
        </w:rPr>
        <w:t>. Sanksi tersebut berupa</w:t>
      </w:r>
      <w:r>
        <w:rPr>
          <w:lang w:val="en-US"/>
        </w:rPr>
        <w:t xml:space="preserve"> </w:t>
      </w:r>
      <w:r w:rsidRPr="0003506C">
        <w:rPr>
          <w:lang w:val="en-US"/>
        </w:rPr>
        <w:t>:</w:t>
      </w:r>
    </w:p>
    <w:p w:rsidR="008922F5" w:rsidRPr="0003506C" w:rsidRDefault="008922F5" w:rsidP="009629A9">
      <w:pPr>
        <w:autoSpaceDE w:val="0"/>
        <w:autoSpaceDN w:val="0"/>
        <w:adjustRightInd w:val="0"/>
        <w:spacing w:line="276" w:lineRule="auto"/>
        <w:ind w:left="1080" w:hanging="360"/>
        <w:jc w:val="both"/>
        <w:rPr>
          <w:lang w:val="en-US"/>
        </w:rPr>
      </w:pPr>
      <w:r w:rsidRPr="0003506C">
        <w:rPr>
          <w:lang w:val="en-US"/>
        </w:rPr>
        <w:t xml:space="preserve">a. </w:t>
      </w:r>
      <w:r>
        <w:rPr>
          <w:lang w:val="en-US"/>
        </w:rPr>
        <w:tab/>
      </w:r>
      <w:r w:rsidRPr="0003506C">
        <w:rPr>
          <w:lang w:val="en-US"/>
        </w:rPr>
        <w:t>Sanksi ringan yang terdiri atas: teguran lisan; teguran tertulis;</w:t>
      </w:r>
      <w:r>
        <w:rPr>
          <w:lang w:val="en-US"/>
        </w:rPr>
        <w:t xml:space="preserve"> </w:t>
      </w:r>
      <w:r w:rsidRPr="0003506C">
        <w:rPr>
          <w:lang w:val="en-US"/>
        </w:rPr>
        <w:t>atau pernyataan tidak puas secara tertulis.</w:t>
      </w:r>
    </w:p>
    <w:p w:rsidR="008922F5" w:rsidRPr="0003506C" w:rsidRDefault="008922F5" w:rsidP="009629A9">
      <w:pPr>
        <w:autoSpaceDE w:val="0"/>
        <w:autoSpaceDN w:val="0"/>
        <w:adjustRightInd w:val="0"/>
        <w:spacing w:line="276" w:lineRule="auto"/>
        <w:ind w:left="1080" w:hanging="360"/>
        <w:jc w:val="both"/>
        <w:rPr>
          <w:lang w:val="en-US"/>
        </w:rPr>
      </w:pPr>
      <w:r w:rsidRPr="0003506C">
        <w:rPr>
          <w:lang w:val="en-US"/>
        </w:rPr>
        <w:lastRenderedPageBreak/>
        <w:t xml:space="preserve">b. </w:t>
      </w:r>
      <w:r>
        <w:rPr>
          <w:lang w:val="en-US"/>
        </w:rPr>
        <w:tab/>
      </w:r>
      <w:r w:rsidRPr="0003506C">
        <w:rPr>
          <w:lang w:val="en-US"/>
        </w:rPr>
        <w:t>Sanksi sedang yang terdiri atas: penundaan kenaikan gaji berkala</w:t>
      </w:r>
      <w:r>
        <w:rPr>
          <w:lang w:val="en-US"/>
        </w:rPr>
        <w:t xml:space="preserve"> </w:t>
      </w:r>
      <w:r w:rsidRPr="0003506C">
        <w:rPr>
          <w:lang w:val="en-US"/>
        </w:rPr>
        <w:t>paling lama 1 (satu) tahun; penurunan gaji sebesar 1 (satu) kali</w:t>
      </w:r>
      <w:r>
        <w:rPr>
          <w:lang w:val="en-US"/>
        </w:rPr>
        <w:t xml:space="preserve"> </w:t>
      </w:r>
      <w:r w:rsidRPr="0003506C">
        <w:rPr>
          <w:lang w:val="en-US"/>
        </w:rPr>
        <w:t>kenaikan gaji berkala paling lama 1 (satu tahun); penundaan</w:t>
      </w:r>
      <w:r>
        <w:rPr>
          <w:lang w:val="en-US"/>
        </w:rPr>
        <w:t xml:space="preserve"> </w:t>
      </w:r>
      <w:r w:rsidRPr="0003506C">
        <w:rPr>
          <w:lang w:val="en-US"/>
        </w:rPr>
        <w:t>kenaikan pangkat paling lama 1 (satu) tahun; atau hakim nonpalu</w:t>
      </w:r>
      <w:r>
        <w:rPr>
          <w:lang w:val="en-US"/>
        </w:rPr>
        <w:t xml:space="preserve"> </w:t>
      </w:r>
      <w:r w:rsidRPr="0003506C">
        <w:rPr>
          <w:lang w:val="en-US"/>
        </w:rPr>
        <w:t>paling lama 6 (enam) bulan.</w:t>
      </w:r>
    </w:p>
    <w:p w:rsidR="008922F5" w:rsidRDefault="008922F5" w:rsidP="009629A9">
      <w:pPr>
        <w:autoSpaceDE w:val="0"/>
        <w:autoSpaceDN w:val="0"/>
        <w:adjustRightInd w:val="0"/>
        <w:spacing w:line="276" w:lineRule="auto"/>
        <w:ind w:left="1080" w:hanging="360"/>
        <w:jc w:val="both"/>
        <w:rPr>
          <w:lang w:val="en-US"/>
        </w:rPr>
      </w:pPr>
      <w:r w:rsidRPr="0003506C">
        <w:rPr>
          <w:lang w:val="en-US"/>
        </w:rPr>
        <w:t xml:space="preserve">c. </w:t>
      </w:r>
      <w:r>
        <w:rPr>
          <w:lang w:val="en-US"/>
        </w:rPr>
        <w:tab/>
      </w:r>
      <w:r w:rsidRPr="0003506C">
        <w:rPr>
          <w:lang w:val="en-US"/>
        </w:rPr>
        <w:t>Sanksi berat terdiri atas: pembebasan dari jabatan struktural;</w:t>
      </w:r>
      <w:r>
        <w:rPr>
          <w:lang w:val="en-US"/>
        </w:rPr>
        <w:t xml:space="preserve"> </w:t>
      </w:r>
      <w:r w:rsidRPr="0003506C">
        <w:rPr>
          <w:lang w:val="en-US"/>
        </w:rPr>
        <w:t>hakim nonpalu lebih dari 6 (enam) bulan sampai dengan 2 (dua)</w:t>
      </w:r>
      <w:r>
        <w:rPr>
          <w:lang w:val="en-US"/>
        </w:rPr>
        <w:t xml:space="preserve"> </w:t>
      </w:r>
      <w:r w:rsidRPr="0003506C">
        <w:rPr>
          <w:lang w:val="en-US"/>
        </w:rPr>
        <w:t>tahun; pemberhentian sementara; pemberhentian tetap dengan</w:t>
      </w:r>
      <w:r>
        <w:rPr>
          <w:lang w:val="en-US"/>
        </w:rPr>
        <w:t xml:space="preserve"> </w:t>
      </w:r>
      <w:r w:rsidRPr="0003506C">
        <w:rPr>
          <w:lang w:val="en-US"/>
        </w:rPr>
        <w:t>hak pensiun; atau pemberhentian tetap tidak dengan hormat.</w:t>
      </w:r>
    </w:p>
    <w:p w:rsidR="008922F5" w:rsidRPr="0003506C" w:rsidRDefault="009629A9" w:rsidP="009629A9">
      <w:pPr>
        <w:autoSpaceDE w:val="0"/>
        <w:autoSpaceDN w:val="0"/>
        <w:adjustRightInd w:val="0"/>
        <w:spacing w:line="276" w:lineRule="auto"/>
        <w:ind w:firstLine="720"/>
        <w:jc w:val="both"/>
        <w:rPr>
          <w:lang w:val="en-US"/>
        </w:rPr>
      </w:pPr>
      <w:r>
        <w:rPr>
          <w:lang w:val="en-US"/>
        </w:rPr>
        <w:t>S</w:t>
      </w:r>
      <w:r w:rsidR="008922F5" w:rsidRPr="0003506C">
        <w:rPr>
          <w:lang w:val="en-US"/>
        </w:rPr>
        <w:t>anksi yang diberikan Komisi Yudisial memang</w:t>
      </w:r>
      <w:r w:rsidR="008922F5">
        <w:rPr>
          <w:lang w:val="en-US"/>
        </w:rPr>
        <w:t xml:space="preserve"> </w:t>
      </w:r>
      <w:r w:rsidR="008922F5" w:rsidRPr="0003506C">
        <w:rPr>
          <w:lang w:val="en-US"/>
        </w:rPr>
        <w:t>hanya sebatas rekomendasi. Komisi Yudisial tidak diberikan wewenang untuk</w:t>
      </w:r>
      <w:r w:rsidR="008922F5">
        <w:rPr>
          <w:lang w:val="en-US"/>
        </w:rPr>
        <w:t xml:space="preserve"> </w:t>
      </w:r>
      <w:r w:rsidR="008922F5" w:rsidRPr="0003506C">
        <w:rPr>
          <w:lang w:val="en-US"/>
        </w:rPr>
        <w:t>memberikan sanksi yang bersifat final dan mengikat, sehingga Mahkamah</w:t>
      </w:r>
      <w:r w:rsidR="008922F5">
        <w:rPr>
          <w:lang w:val="en-US"/>
        </w:rPr>
        <w:t xml:space="preserve"> </w:t>
      </w:r>
      <w:r w:rsidR="008922F5" w:rsidRPr="0003506C">
        <w:rPr>
          <w:lang w:val="en-US"/>
        </w:rPr>
        <w:t>Agung yang dapat menindaklanjuti rekomendasi tersebut. Mahkamah</w:t>
      </w:r>
      <w:r w:rsidR="008922F5">
        <w:rPr>
          <w:lang w:val="en-US"/>
        </w:rPr>
        <w:t xml:space="preserve"> </w:t>
      </w:r>
      <w:r w:rsidR="008922F5" w:rsidRPr="0003506C">
        <w:rPr>
          <w:lang w:val="en-US"/>
        </w:rPr>
        <w:t>Agung menjatuhkan sanksi terhadap hakim terlapor yang melakukan</w:t>
      </w:r>
      <w:r w:rsidR="008922F5">
        <w:rPr>
          <w:lang w:val="en-US"/>
        </w:rPr>
        <w:t xml:space="preserve"> </w:t>
      </w:r>
      <w:r w:rsidR="008922F5" w:rsidRPr="0003506C">
        <w:rPr>
          <w:lang w:val="en-US"/>
        </w:rPr>
        <w:t>pelanggaran K</w:t>
      </w:r>
      <w:r w:rsidR="008922F5">
        <w:rPr>
          <w:lang w:val="en-US"/>
        </w:rPr>
        <w:t xml:space="preserve">ode </w:t>
      </w:r>
      <w:r w:rsidR="008922F5" w:rsidRPr="0003506C">
        <w:rPr>
          <w:lang w:val="en-US"/>
        </w:rPr>
        <w:t>E</w:t>
      </w:r>
      <w:r w:rsidR="008922F5">
        <w:rPr>
          <w:lang w:val="en-US"/>
        </w:rPr>
        <w:t xml:space="preserve">tik dan </w:t>
      </w:r>
      <w:r w:rsidR="008922F5" w:rsidRPr="0003506C">
        <w:rPr>
          <w:lang w:val="en-US"/>
        </w:rPr>
        <w:t>P</w:t>
      </w:r>
      <w:r w:rsidR="008922F5">
        <w:rPr>
          <w:lang w:val="en-US"/>
        </w:rPr>
        <w:t xml:space="preserve">edoman </w:t>
      </w:r>
      <w:r w:rsidR="008922F5" w:rsidRPr="0003506C">
        <w:rPr>
          <w:lang w:val="en-US"/>
        </w:rPr>
        <w:t>P</w:t>
      </w:r>
      <w:r w:rsidR="008922F5">
        <w:rPr>
          <w:lang w:val="en-US"/>
        </w:rPr>
        <w:t xml:space="preserve">erilaku </w:t>
      </w:r>
      <w:r w:rsidR="008922F5" w:rsidRPr="0003506C">
        <w:rPr>
          <w:lang w:val="en-US"/>
        </w:rPr>
        <w:t>H</w:t>
      </w:r>
      <w:r w:rsidR="008922F5">
        <w:rPr>
          <w:lang w:val="en-US"/>
        </w:rPr>
        <w:t>akim</w:t>
      </w:r>
      <w:r w:rsidR="008922F5" w:rsidRPr="0003506C">
        <w:rPr>
          <w:lang w:val="en-US"/>
        </w:rPr>
        <w:t xml:space="preserve"> yang diusulkan oleh Komisi Yudisial dalam waktu</w:t>
      </w:r>
      <w:r w:rsidR="008922F5">
        <w:rPr>
          <w:lang w:val="en-US"/>
        </w:rPr>
        <w:t xml:space="preserve"> </w:t>
      </w:r>
      <w:r w:rsidR="008922F5" w:rsidRPr="0003506C">
        <w:rPr>
          <w:lang w:val="en-US"/>
        </w:rPr>
        <w:t>paling lama 60 (enam puluh) hari terhitung sejak tanggal usulan diterima.</w:t>
      </w:r>
      <w:r w:rsidR="008922F5">
        <w:rPr>
          <w:lang w:val="en-US"/>
        </w:rPr>
        <w:t xml:space="preserve"> </w:t>
      </w:r>
      <w:r w:rsidR="008922F5" w:rsidRPr="0003506C">
        <w:rPr>
          <w:lang w:val="en-US"/>
        </w:rPr>
        <w:t>Usulan penjatuhan sanksi tersebut berlaku secara otomatis dan wajib</w:t>
      </w:r>
      <w:r w:rsidR="008922F5">
        <w:rPr>
          <w:lang w:val="en-US"/>
        </w:rPr>
        <w:t xml:space="preserve"> </w:t>
      </w:r>
      <w:r w:rsidR="008922F5" w:rsidRPr="0003506C">
        <w:rPr>
          <w:lang w:val="en-US"/>
        </w:rPr>
        <w:t>dilaksanakan oleh Mahkamah Agung, dengan syarat, pertama jika tidak</w:t>
      </w:r>
      <w:r w:rsidR="008922F5">
        <w:rPr>
          <w:lang w:val="en-US"/>
        </w:rPr>
        <w:t xml:space="preserve"> </w:t>
      </w:r>
      <w:r w:rsidR="008922F5" w:rsidRPr="0003506C">
        <w:rPr>
          <w:lang w:val="en-US"/>
        </w:rPr>
        <w:t>terjadi perbedaan pendapat antara Komisi Yudisial dan Mahkamah Agung</w:t>
      </w:r>
      <w:r w:rsidR="008922F5">
        <w:rPr>
          <w:lang w:val="en-US"/>
        </w:rPr>
        <w:t xml:space="preserve"> </w:t>
      </w:r>
      <w:r w:rsidR="008922F5" w:rsidRPr="0003506C">
        <w:rPr>
          <w:lang w:val="en-US"/>
        </w:rPr>
        <w:t>mengenai usulan Komisi Yudisial tentang penjatuhan sanksi, dan kedua,</w:t>
      </w:r>
      <w:r w:rsidR="008922F5">
        <w:rPr>
          <w:lang w:val="en-US"/>
        </w:rPr>
        <w:t xml:space="preserve"> </w:t>
      </w:r>
      <w:r w:rsidR="008922F5" w:rsidRPr="0003506C">
        <w:rPr>
          <w:lang w:val="en-US"/>
        </w:rPr>
        <w:t>Mahkamah Agung belum menjatuhkan sanksi dalam jangka waktu 60</w:t>
      </w:r>
      <w:r w:rsidR="008922F5">
        <w:rPr>
          <w:lang w:val="en-US"/>
        </w:rPr>
        <w:t xml:space="preserve"> (enam puluh) hari</w:t>
      </w:r>
      <w:r w:rsidR="008922F5" w:rsidRPr="0003506C">
        <w:rPr>
          <w:lang w:val="en-US"/>
        </w:rPr>
        <w:t xml:space="preserve"> sesuai dengan Pasal 22D ayat (3) U</w:t>
      </w:r>
      <w:r w:rsidR="008922F5">
        <w:rPr>
          <w:lang w:val="en-US"/>
        </w:rPr>
        <w:t>ndang-</w:t>
      </w:r>
      <w:r w:rsidR="008922F5" w:rsidRPr="0003506C">
        <w:rPr>
          <w:lang w:val="en-US"/>
        </w:rPr>
        <w:t>U</w:t>
      </w:r>
      <w:r w:rsidR="008922F5">
        <w:rPr>
          <w:lang w:val="en-US"/>
        </w:rPr>
        <w:t>ndang</w:t>
      </w:r>
      <w:r w:rsidR="008922F5" w:rsidRPr="0003506C">
        <w:rPr>
          <w:lang w:val="en-US"/>
        </w:rPr>
        <w:t xml:space="preserve"> Komisi Yudisial.</w:t>
      </w:r>
    </w:p>
    <w:p w:rsidR="008922F5" w:rsidRDefault="008922F5" w:rsidP="009629A9">
      <w:pPr>
        <w:autoSpaceDE w:val="0"/>
        <w:autoSpaceDN w:val="0"/>
        <w:adjustRightInd w:val="0"/>
        <w:spacing w:line="276" w:lineRule="auto"/>
        <w:ind w:firstLine="720"/>
        <w:jc w:val="both"/>
        <w:rPr>
          <w:lang w:val="en-US"/>
        </w:rPr>
      </w:pPr>
      <w:r w:rsidRPr="0003506C">
        <w:rPr>
          <w:lang w:val="en-US"/>
        </w:rPr>
        <w:t>Sejak berdiri tahun 2005, Komisi Yudisial terus memperoleh</w:t>
      </w:r>
      <w:r>
        <w:rPr>
          <w:lang w:val="en-US"/>
        </w:rPr>
        <w:t xml:space="preserve"> </w:t>
      </w:r>
      <w:r w:rsidRPr="0003506C">
        <w:rPr>
          <w:lang w:val="en-US"/>
        </w:rPr>
        <w:t>kepercayaan masyarakat sebagai lembaga pengawasan hakim. Sepanjang</w:t>
      </w:r>
      <w:r>
        <w:rPr>
          <w:lang w:val="en-US"/>
        </w:rPr>
        <w:t xml:space="preserve"> </w:t>
      </w:r>
      <w:r w:rsidRPr="0003506C">
        <w:rPr>
          <w:lang w:val="en-US"/>
        </w:rPr>
        <w:t>tahun 2005 hingga Juni 2019, Komisi Yudisial telah menerima 18.565</w:t>
      </w:r>
      <w:r>
        <w:rPr>
          <w:lang w:val="en-US"/>
        </w:rPr>
        <w:t xml:space="preserve"> </w:t>
      </w:r>
      <w:r w:rsidRPr="0003506C">
        <w:rPr>
          <w:lang w:val="en-US"/>
        </w:rPr>
        <w:t>laporan masyarakat dan 19.903 surat tembusan.</w:t>
      </w:r>
    </w:p>
    <w:p w:rsidR="009629A9" w:rsidRDefault="009629A9" w:rsidP="009629A9">
      <w:pPr>
        <w:spacing w:line="276" w:lineRule="auto"/>
        <w:ind w:left="360"/>
        <w:jc w:val="both"/>
        <w:rPr>
          <w:b/>
          <w:lang w:val="en-US"/>
        </w:rPr>
      </w:pPr>
    </w:p>
    <w:p w:rsidR="00A80C33" w:rsidRDefault="00A80C33" w:rsidP="009629A9">
      <w:pPr>
        <w:spacing w:line="276" w:lineRule="auto"/>
        <w:ind w:left="360"/>
        <w:jc w:val="both"/>
        <w:rPr>
          <w:b/>
          <w:lang w:val="en-US"/>
        </w:rPr>
      </w:pPr>
      <w:r>
        <w:rPr>
          <w:b/>
          <w:lang w:val="en-US"/>
        </w:rPr>
        <w:t xml:space="preserve">2. </w:t>
      </w:r>
      <w:r>
        <w:rPr>
          <w:b/>
          <w:lang w:val="en-US"/>
        </w:rPr>
        <w:tab/>
        <w:t>Rumusan Tugas  Pengawasan Komisi Yudisial Yang Seharusnya</w:t>
      </w:r>
    </w:p>
    <w:p w:rsidR="009629A9" w:rsidRPr="00DA2E5A" w:rsidRDefault="009629A9" w:rsidP="009629A9">
      <w:pPr>
        <w:spacing w:line="276" w:lineRule="auto"/>
        <w:ind w:left="360"/>
        <w:jc w:val="both"/>
        <w:rPr>
          <w:b/>
        </w:rPr>
      </w:pPr>
    </w:p>
    <w:p w:rsidR="008922F5" w:rsidRPr="0032678F" w:rsidRDefault="008922F5" w:rsidP="009629A9">
      <w:pPr>
        <w:tabs>
          <w:tab w:val="num" w:pos="360"/>
        </w:tabs>
        <w:spacing w:line="276" w:lineRule="auto"/>
        <w:jc w:val="both"/>
        <w:rPr>
          <w:lang w:val="en-US"/>
        </w:rPr>
      </w:pPr>
      <w:r>
        <w:rPr>
          <w:lang w:val="en-US"/>
        </w:rPr>
        <w:tab/>
      </w:r>
      <w:r>
        <w:rPr>
          <w:lang w:val="en-US"/>
        </w:rPr>
        <w:tab/>
        <w:t xml:space="preserve"> </w:t>
      </w:r>
      <w:r w:rsidRPr="0032678F">
        <w:rPr>
          <w:lang w:val="en-US"/>
        </w:rPr>
        <w:t>Ketentuan Pasal 24B ayat (1) UUD 1945 menyebutkan,</w:t>
      </w:r>
      <w:r>
        <w:rPr>
          <w:lang w:val="en-US"/>
        </w:rPr>
        <w:t xml:space="preserve"> </w:t>
      </w:r>
      <w:r w:rsidRPr="0032678F">
        <w:rPr>
          <w:lang w:val="en-US"/>
        </w:rPr>
        <w:t>kewenangan Komisi Yudisial mencakup “mengusulkan</w:t>
      </w:r>
      <w:r>
        <w:rPr>
          <w:lang w:val="en-US"/>
        </w:rPr>
        <w:t xml:space="preserve"> </w:t>
      </w:r>
      <w:r w:rsidRPr="0032678F">
        <w:rPr>
          <w:lang w:val="en-US"/>
        </w:rPr>
        <w:t>pengang</w:t>
      </w:r>
      <w:r>
        <w:rPr>
          <w:lang w:val="en-US"/>
        </w:rPr>
        <w:t xml:space="preserve">katan hakim agung dan mempunyai </w:t>
      </w:r>
      <w:r w:rsidRPr="0032678F">
        <w:rPr>
          <w:lang w:val="en-US"/>
        </w:rPr>
        <w:t>wewenang lain</w:t>
      </w:r>
      <w:r>
        <w:rPr>
          <w:lang w:val="en-US"/>
        </w:rPr>
        <w:t xml:space="preserve"> </w:t>
      </w:r>
      <w:r w:rsidRPr="0032678F">
        <w:rPr>
          <w:lang w:val="en-US"/>
        </w:rPr>
        <w:t>dalam rangka menjaga dan menegakkan kehormatan, keluhuran</w:t>
      </w:r>
      <w:r>
        <w:rPr>
          <w:lang w:val="en-US"/>
        </w:rPr>
        <w:t xml:space="preserve"> </w:t>
      </w:r>
      <w:r w:rsidRPr="0032678F">
        <w:rPr>
          <w:lang w:val="en-US"/>
        </w:rPr>
        <w:t>martabat, serta perilaku hakim”. Secara gramatikal, ketentuan</w:t>
      </w:r>
      <w:r>
        <w:rPr>
          <w:lang w:val="en-US"/>
        </w:rPr>
        <w:t xml:space="preserve"> </w:t>
      </w:r>
      <w:r w:rsidRPr="0032678F">
        <w:rPr>
          <w:lang w:val="en-US"/>
        </w:rPr>
        <w:t>konstitusi tersebut mengandung pengertian bahwa kewenangan</w:t>
      </w:r>
      <w:r>
        <w:rPr>
          <w:lang w:val="en-US"/>
        </w:rPr>
        <w:t xml:space="preserve"> </w:t>
      </w:r>
      <w:r w:rsidRPr="0032678F">
        <w:rPr>
          <w:lang w:val="en-US"/>
        </w:rPr>
        <w:t xml:space="preserve">Komisi Yudisial </w:t>
      </w:r>
      <w:r>
        <w:rPr>
          <w:lang w:val="en-US"/>
        </w:rPr>
        <w:t xml:space="preserve">terdiri atas: </w:t>
      </w:r>
      <w:r w:rsidRPr="0032678F">
        <w:rPr>
          <w:lang w:val="en-US"/>
        </w:rPr>
        <w:t>a) mengusulkan pengangkatan</w:t>
      </w:r>
      <w:r>
        <w:rPr>
          <w:lang w:val="en-US"/>
        </w:rPr>
        <w:t xml:space="preserve"> </w:t>
      </w:r>
      <w:r w:rsidRPr="0032678F">
        <w:rPr>
          <w:lang w:val="en-US"/>
        </w:rPr>
        <w:t xml:space="preserve">hakim agung; dan </w:t>
      </w:r>
      <w:r>
        <w:rPr>
          <w:lang w:val="en-US"/>
        </w:rPr>
        <w:t xml:space="preserve"> </w:t>
      </w:r>
      <w:r w:rsidRPr="0032678F">
        <w:rPr>
          <w:lang w:val="en-US"/>
        </w:rPr>
        <w:t>b) mempunyai wewenang lain dalam rangka</w:t>
      </w:r>
      <w:r>
        <w:rPr>
          <w:lang w:val="en-US"/>
        </w:rPr>
        <w:t xml:space="preserve"> </w:t>
      </w:r>
      <w:r w:rsidRPr="0032678F">
        <w:rPr>
          <w:lang w:val="en-US"/>
        </w:rPr>
        <w:t>menjaga dan menegakkan kehormatan, keluhuran martabat, serta</w:t>
      </w:r>
      <w:r>
        <w:rPr>
          <w:lang w:val="en-US"/>
        </w:rPr>
        <w:t xml:space="preserve"> </w:t>
      </w:r>
      <w:r w:rsidRPr="0032678F">
        <w:rPr>
          <w:lang w:val="en-US"/>
        </w:rPr>
        <w:t>perilaku hakim. Frase “wewenang lain dalam rangka menjaga dan</w:t>
      </w:r>
      <w:r>
        <w:rPr>
          <w:lang w:val="en-US"/>
        </w:rPr>
        <w:t xml:space="preserve"> </w:t>
      </w:r>
      <w:r w:rsidRPr="0032678F">
        <w:rPr>
          <w:lang w:val="en-US"/>
        </w:rPr>
        <w:t>menegakkan” mengandung dua macam fungsi, yakni “menjaga”</w:t>
      </w:r>
      <w:r>
        <w:rPr>
          <w:lang w:val="en-US"/>
        </w:rPr>
        <w:t xml:space="preserve"> </w:t>
      </w:r>
      <w:r w:rsidRPr="0032678F">
        <w:rPr>
          <w:lang w:val="en-US"/>
        </w:rPr>
        <w:t>dan “menegakkan”.</w:t>
      </w:r>
    </w:p>
    <w:p w:rsidR="008922F5" w:rsidRDefault="008922F5" w:rsidP="009629A9">
      <w:pPr>
        <w:autoSpaceDE w:val="0"/>
        <w:autoSpaceDN w:val="0"/>
        <w:adjustRightInd w:val="0"/>
        <w:spacing w:line="276" w:lineRule="auto"/>
        <w:ind w:firstLine="720"/>
        <w:jc w:val="both"/>
        <w:rPr>
          <w:rFonts w:ascii="DINEngschriftStd" w:hAnsi="DINEngschriftStd" w:cs="DINEngschriftStd"/>
          <w:color w:val="FFFFFF"/>
          <w:sz w:val="20"/>
          <w:szCs w:val="20"/>
          <w:lang w:val="en-US"/>
        </w:rPr>
      </w:pPr>
      <w:r w:rsidRPr="000F632B">
        <w:rPr>
          <w:lang w:val="en-US"/>
        </w:rPr>
        <w:lastRenderedPageBreak/>
        <w:t>Kewenangan konstitusional Komisi Yudisial yang kedua</w:t>
      </w:r>
      <w:r>
        <w:rPr>
          <w:rFonts w:ascii="DINEngschriftStd" w:hAnsi="DINEngschriftStd" w:cs="DINEngschriftStd"/>
          <w:color w:val="FFFFFF"/>
          <w:sz w:val="20"/>
          <w:szCs w:val="20"/>
          <w:lang w:val="en-US"/>
        </w:rPr>
        <w:t xml:space="preserve"> </w:t>
      </w:r>
      <w:r w:rsidRPr="000F632B">
        <w:rPr>
          <w:lang w:val="en-US"/>
        </w:rPr>
        <w:t>adalah wewenang lain dalam rangka menjaga dan menegakkan</w:t>
      </w:r>
      <w:r>
        <w:rPr>
          <w:rFonts w:ascii="DINEngschriftStd" w:hAnsi="DINEngschriftStd" w:cs="DINEngschriftStd"/>
          <w:color w:val="FFFFFF"/>
          <w:sz w:val="20"/>
          <w:szCs w:val="20"/>
          <w:lang w:val="en-US"/>
        </w:rPr>
        <w:t xml:space="preserve"> </w:t>
      </w:r>
      <w:r w:rsidRPr="000F632B">
        <w:rPr>
          <w:lang w:val="en-US"/>
        </w:rPr>
        <w:t>kehormatan, keluhuran martabat, serta perilaku hakim.</w:t>
      </w:r>
      <w:r>
        <w:rPr>
          <w:rFonts w:ascii="DINEngschriftStd" w:hAnsi="DINEngschriftStd" w:cs="DINEngschriftStd"/>
          <w:color w:val="FFFFFF"/>
          <w:sz w:val="20"/>
          <w:szCs w:val="20"/>
          <w:lang w:val="en-US"/>
        </w:rPr>
        <w:t xml:space="preserve"> </w:t>
      </w:r>
      <w:r w:rsidRPr="000F632B">
        <w:rPr>
          <w:lang w:val="en-US"/>
        </w:rPr>
        <w:t>Kewenangan konstitusional pokok ini dijabarkan dalam Pasal 13</w:t>
      </w:r>
      <w:r>
        <w:rPr>
          <w:lang w:val="en-US"/>
        </w:rPr>
        <w:t xml:space="preserve"> </w:t>
      </w:r>
      <w:r w:rsidRPr="000F632B">
        <w:rPr>
          <w:lang w:val="en-US"/>
        </w:rPr>
        <w:t>UU Nomor 18 Tahun 2011 menjadi tiga kewenangan yakni:</w:t>
      </w:r>
      <w:r>
        <w:rPr>
          <w:rFonts w:ascii="DINEngschriftStd" w:hAnsi="DINEngschriftStd" w:cs="DINEngschriftStd"/>
          <w:color w:val="FFFFFF"/>
          <w:sz w:val="20"/>
          <w:szCs w:val="20"/>
          <w:lang w:val="en-US"/>
        </w:rPr>
        <w:t xml:space="preserve"> </w:t>
      </w:r>
    </w:p>
    <w:p w:rsidR="008922F5" w:rsidRDefault="008922F5" w:rsidP="009629A9">
      <w:pPr>
        <w:autoSpaceDE w:val="0"/>
        <w:autoSpaceDN w:val="0"/>
        <w:adjustRightInd w:val="0"/>
        <w:spacing w:line="276" w:lineRule="auto"/>
        <w:ind w:left="990" w:hanging="270"/>
        <w:jc w:val="both"/>
        <w:rPr>
          <w:rFonts w:ascii="DINEngschriftStd" w:hAnsi="DINEngschriftStd" w:cs="DINEngschriftStd"/>
          <w:color w:val="FFFFFF"/>
          <w:sz w:val="20"/>
          <w:szCs w:val="20"/>
          <w:lang w:val="en-US"/>
        </w:rPr>
      </w:pPr>
      <w:r>
        <w:rPr>
          <w:lang w:val="en-US"/>
        </w:rPr>
        <w:t xml:space="preserve">a. </w:t>
      </w:r>
      <w:r w:rsidR="009629A9">
        <w:rPr>
          <w:lang w:val="en-US"/>
        </w:rPr>
        <w:t>M</w:t>
      </w:r>
      <w:r w:rsidRPr="000F632B">
        <w:rPr>
          <w:lang w:val="en-US"/>
        </w:rPr>
        <w:t>enjaga dan menegakkan kehormatan, keluhuran</w:t>
      </w:r>
      <w:r>
        <w:rPr>
          <w:rFonts w:ascii="DINEngschriftStd" w:hAnsi="DINEngschriftStd" w:cs="DINEngschriftStd"/>
          <w:color w:val="FFFFFF"/>
          <w:sz w:val="20"/>
          <w:szCs w:val="20"/>
          <w:lang w:val="en-US"/>
        </w:rPr>
        <w:t xml:space="preserve"> </w:t>
      </w:r>
      <w:r w:rsidRPr="000F632B">
        <w:rPr>
          <w:lang w:val="en-US"/>
        </w:rPr>
        <w:t>martabat, serta perilaku hakim;</w:t>
      </w:r>
    </w:p>
    <w:p w:rsidR="008922F5" w:rsidRDefault="009629A9" w:rsidP="009629A9">
      <w:pPr>
        <w:autoSpaceDE w:val="0"/>
        <w:autoSpaceDN w:val="0"/>
        <w:adjustRightInd w:val="0"/>
        <w:spacing w:line="276" w:lineRule="auto"/>
        <w:ind w:left="990" w:hanging="270"/>
        <w:jc w:val="both"/>
        <w:rPr>
          <w:rFonts w:ascii="DINEngschriftStd" w:hAnsi="DINEngschriftStd" w:cs="DINEngschriftStd"/>
          <w:color w:val="FFFFFF"/>
          <w:sz w:val="20"/>
          <w:szCs w:val="20"/>
          <w:lang w:val="en-US"/>
        </w:rPr>
      </w:pPr>
      <w:r>
        <w:rPr>
          <w:lang w:val="en-US"/>
        </w:rPr>
        <w:t>b. M</w:t>
      </w:r>
      <w:r w:rsidR="008922F5" w:rsidRPr="000F632B">
        <w:rPr>
          <w:lang w:val="en-US"/>
        </w:rPr>
        <w:t>enetapkan Kode Etik dan/atau Pedoman Perilaku</w:t>
      </w:r>
      <w:r w:rsidR="008922F5">
        <w:rPr>
          <w:rFonts w:ascii="DINEngschriftStd" w:hAnsi="DINEngschriftStd" w:cs="DINEngschriftStd"/>
          <w:color w:val="FFFFFF"/>
          <w:sz w:val="20"/>
          <w:szCs w:val="20"/>
          <w:lang w:val="en-US"/>
        </w:rPr>
        <w:t xml:space="preserve"> </w:t>
      </w:r>
      <w:r w:rsidR="008922F5" w:rsidRPr="000F632B">
        <w:rPr>
          <w:lang w:val="en-US"/>
        </w:rPr>
        <w:t>Hakim bersama-sama dengan Mahkamah Agung; dan</w:t>
      </w:r>
    </w:p>
    <w:p w:rsidR="008922F5" w:rsidRDefault="009629A9" w:rsidP="009629A9">
      <w:pPr>
        <w:autoSpaceDE w:val="0"/>
        <w:autoSpaceDN w:val="0"/>
        <w:adjustRightInd w:val="0"/>
        <w:spacing w:line="276" w:lineRule="auto"/>
        <w:ind w:left="990" w:hanging="270"/>
        <w:jc w:val="both"/>
        <w:rPr>
          <w:rFonts w:ascii="DINEngschriftStd" w:hAnsi="DINEngschriftStd" w:cs="DINEngschriftStd"/>
          <w:color w:val="FFFFFF"/>
          <w:sz w:val="20"/>
          <w:szCs w:val="20"/>
          <w:lang w:val="en-US"/>
        </w:rPr>
      </w:pPr>
      <w:r>
        <w:rPr>
          <w:lang w:val="en-US"/>
        </w:rPr>
        <w:t>c.</w:t>
      </w:r>
      <w:r>
        <w:rPr>
          <w:lang w:val="en-US"/>
        </w:rPr>
        <w:tab/>
        <w:t>M</w:t>
      </w:r>
      <w:r w:rsidR="008922F5" w:rsidRPr="000F632B">
        <w:rPr>
          <w:lang w:val="en-US"/>
        </w:rPr>
        <w:t>enjaga dan menegakkan pelaksanaan Kode Etik dan/atau Pedoman Perilaku Hakim.</w:t>
      </w:r>
    </w:p>
    <w:p w:rsidR="008922F5" w:rsidRDefault="008922F5" w:rsidP="009629A9">
      <w:pPr>
        <w:autoSpaceDE w:val="0"/>
        <w:autoSpaceDN w:val="0"/>
        <w:adjustRightInd w:val="0"/>
        <w:spacing w:line="276" w:lineRule="auto"/>
        <w:ind w:firstLine="720"/>
        <w:jc w:val="both"/>
        <w:rPr>
          <w:rFonts w:ascii="DINEngschriftStd" w:hAnsi="DINEngschriftStd" w:cs="DINEngschriftStd"/>
          <w:color w:val="FFFFFF"/>
          <w:sz w:val="20"/>
          <w:szCs w:val="20"/>
          <w:lang w:val="en-US"/>
        </w:rPr>
      </w:pPr>
      <w:r w:rsidRPr="000F632B">
        <w:rPr>
          <w:lang w:val="en-US"/>
        </w:rPr>
        <w:t>Menurut Pasal 40 U</w:t>
      </w:r>
      <w:r w:rsidR="009629A9">
        <w:rPr>
          <w:lang w:val="en-US"/>
        </w:rPr>
        <w:t>ndang-</w:t>
      </w:r>
      <w:r w:rsidRPr="000F632B">
        <w:rPr>
          <w:lang w:val="en-US"/>
        </w:rPr>
        <w:t>U</w:t>
      </w:r>
      <w:r w:rsidR="009629A9">
        <w:rPr>
          <w:lang w:val="en-US"/>
        </w:rPr>
        <w:t>ndang</w:t>
      </w:r>
      <w:r w:rsidRPr="000F632B">
        <w:rPr>
          <w:lang w:val="en-US"/>
        </w:rPr>
        <w:t xml:space="preserve"> Nomor 48 Tahun 2009 tentang</w:t>
      </w:r>
      <w:r>
        <w:rPr>
          <w:rFonts w:ascii="DINEngschriftStd" w:hAnsi="DINEngschriftStd" w:cs="DINEngschriftStd"/>
          <w:color w:val="FFFFFF"/>
          <w:sz w:val="20"/>
          <w:szCs w:val="20"/>
          <w:lang w:val="en-US"/>
        </w:rPr>
        <w:t xml:space="preserve"> </w:t>
      </w:r>
      <w:r w:rsidRPr="000F632B">
        <w:rPr>
          <w:lang w:val="en-US"/>
        </w:rPr>
        <w:t>Kekuasaan Kehakiman, kewenangan Komisi Yudisial tersebut</w:t>
      </w:r>
      <w:r>
        <w:rPr>
          <w:rFonts w:ascii="DINEngschriftStd" w:hAnsi="DINEngschriftStd" w:cs="DINEngschriftStd"/>
          <w:color w:val="FFFFFF"/>
          <w:sz w:val="20"/>
          <w:szCs w:val="20"/>
          <w:lang w:val="en-US"/>
        </w:rPr>
        <w:t xml:space="preserve"> </w:t>
      </w:r>
      <w:r w:rsidRPr="000F632B">
        <w:rPr>
          <w:lang w:val="en-US"/>
        </w:rPr>
        <w:t>merupakan bentuk pengawasan eksternal terhadap perilaku hakim</w:t>
      </w:r>
      <w:r>
        <w:rPr>
          <w:rFonts w:ascii="DINEngschriftStd" w:hAnsi="DINEngschriftStd" w:cs="DINEngschriftStd"/>
          <w:color w:val="FFFFFF"/>
          <w:sz w:val="20"/>
          <w:szCs w:val="20"/>
          <w:lang w:val="en-US"/>
        </w:rPr>
        <w:t xml:space="preserve"> </w:t>
      </w:r>
      <w:r w:rsidRPr="000F632B">
        <w:rPr>
          <w:lang w:val="en-US"/>
        </w:rPr>
        <w:t>berdasarkan KEPPH. Secara kelembagaan, pengawasan tertinggi</w:t>
      </w:r>
      <w:r>
        <w:rPr>
          <w:rFonts w:ascii="DINEngschriftStd" w:hAnsi="DINEngschriftStd" w:cs="DINEngschriftStd"/>
          <w:color w:val="FFFFFF"/>
          <w:sz w:val="20"/>
          <w:szCs w:val="20"/>
          <w:lang w:val="en-US"/>
        </w:rPr>
        <w:t xml:space="preserve"> </w:t>
      </w:r>
      <w:r w:rsidRPr="000F632B">
        <w:rPr>
          <w:lang w:val="en-US"/>
        </w:rPr>
        <w:t>dipegang oleh Mahkamah Agung yang mengawasi semua badan</w:t>
      </w:r>
      <w:r>
        <w:rPr>
          <w:rFonts w:ascii="DINEngschriftStd" w:hAnsi="DINEngschriftStd" w:cs="DINEngschriftStd"/>
          <w:color w:val="FFFFFF"/>
          <w:sz w:val="20"/>
          <w:szCs w:val="20"/>
          <w:lang w:val="en-US"/>
        </w:rPr>
        <w:t xml:space="preserve"> </w:t>
      </w:r>
      <w:r w:rsidRPr="000F632B">
        <w:rPr>
          <w:lang w:val="en-US"/>
        </w:rPr>
        <w:t>peradilan di bawah Mahkamah Agung dalam menyelenggarakan</w:t>
      </w:r>
      <w:r>
        <w:rPr>
          <w:rFonts w:ascii="DINEngschriftStd" w:hAnsi="DINEngschriftStd" w:cs="DINEngschriftStd"/>
          <w:color w:val="FFFFFF"/>
          <w:sz w:val="20"/>
          <w:szCs w:val="20"/>
          <w:lang w:val="en-US"/>
        </w:rPr>
        <w:t xml:space="preserve"> </w:t>
      </w:r>
      <w:r w:rsidRPr="000F632B">
        <w:rPr>
          <w:lang w:val="en-US"/>
        </w:rPr>
        <w:t>kekuasaan kehakiman. Selain itu, Mahkamah Agung juga menjadi</w:t>
      </w:r>
      <w:r>
        <w:rPr>
          <w:rFonts w:ascii="DINEngschriftStd" w:hAnsi="DINEngschriftStd" w:cs="DINEngschriftStd"/>
          <w:color w:val="FFFFFF"/>
          <w:sz w:val="20"/>
          <w:szCs w:val="20"/>
          <w:lang w:val="en-US"/>
        </w:rPr>
        <w:t xml:space="preserve"> </w:t>
      </w:r>
      <w:r w:rsidRPr="000F632B">
        <w:rPr>
          <w:lang w:val="en-US"/>
        </w:rPr>
        <w:t>pengawas tertinggi terhadap pelaksanaan tugas administrasi dan</w:t>
      </w:r>
      <w:r>
        <w:rPr>
          <w:rFonts w:ascii="DINEngschriftStd" w:hAnsi="DINEngschriftStd" w:cs="DINEngschriftStd"/>
          <w:color w:val="FFFFFF"/>
          <w:sz w:val="20"/>
          <w:szCs w:val="20"/>
          <w:lang w:val="en-US"/>
        </w:rPr>
        <w:t xml:space="preserve"> </w:t>
      </w:r>
      <w:r w:rsidRPr="000F632B">
        <w:rPr>
          <w:lang w:val="en-US"/>
        </w:rPr>
        <w:t>keuangan serta melakukan pengawasan internal terhadap tingkah</w:t>
      </w:r>
      <w:r>
        <w:rPr>
          <w:rFonts w:ascii="DINEngschriftStd" w:hAnsi="DINEngschriftStd" w:cs="DINEngschriftStd"/>
          <w:color w:val="FFFFFF"/>
          <w:sz w:val="20"/>
          <w:szCs w:val="20"/>
          <w:lang w:val="en-US"/>
        </w:rPr>
        <w:t xml:space="preserve"> </w:t>
      </w:r>
      <w:r w:rsidRPr="000F632B">
        <w:rPr>
          <w:lang w:val="en-US"/>
        </w:rPr>
        <w:t>laku hakim. Seluruh bentuk pengawasan itu harus tetap dilakukan</w:t>
      </w:r>
      <w:r>
        <w:rPr>
          <w:rFonts w:ascii="DINEngschriftStd" w:hAnsi="DINEngschriftStd" w:cs="DINEngschriftStd"/>
          <w:color w:val="FFFFFF"/>
          <w:sz w:val="20"/>
          <w:szCs w:val="20"/>
          <w:lang w:val="en-US"/>
        </w:rPr>
        <w:t xml:space="preserve"> </w:t>
      </w:r>
      <w:r w:rsidRPr="000F632B">
        <w:rPr>
          <w:lang w:val="en-US"/>
        </w:rPr>
        <w:t>tanpa mengganggu kemerdekaan hakim dalam memeriksa,</w:t>
      </w:r>
      <w:r>
        <w:rPr>
          <w:rFonts w:ascii="DINEngschriftStd" w:hAnsi="DINEngschriftStd" w:cs="DINEngschriftStd"/>
          <w:color w:val="FFFFFF"/>
          <w:sz w:val="20"/>
          <w:szCs w:val="20"/>
          <w:lang w:val="en-US"/>
        </w:rPr>
        <w:t xml:space="preserve"> </w:t>
      </w:r>
      <w:r w:rsidRPr="000F632B">
        <w:rPr>
          <w:lang w:val="en-US"/>
        </w:rPr>
        <w:t>mengadili, dan memutus perkara (Pasal 39 U</w:t>
      </w:r>
      <w:r w:rsidR="009629A9">
        <w:rPr>
          <w:lang w:val="en-US"/>
        </w:rPr>
        <w:t>ndang-</w:t>
      </w:r>
      <w:r w:rsidRPr="000F632B">
        <w:rPr>
          <w:lang w:val="en-US"/>
        </w:rPr>
        <w:t>U</w:t>
      </w:r>
      <w:r w:rsidR="009629A9">
        <w:rPr>
          <w:lang w:val="en-US"/>
        </w:rPr>
        <w:t>ndang</w:t>
      </w:r>
      <w:r w:rsidRPr="000F632B">
        <w:rPr>
          <w:lang w:val="en-US"/>
        </w:rPr>
        <w:t xml:space="preserve"> Nomor 48 Tahun</w:t>
      </w:r>
      <w:r>
        <w:rPr>
          <w:rFonts w:ascii="DINEngschriftStd" w:hAnsi="DINEngschriftStd" w:cs="DINEngschriftStd"/>
          <w:color w:val="FFFFFF"/>
          <w:sz w:val="20"/>
          <w:szCs w:val="20"/>
          <w:lang w:val="en-US"/>
        </w:rPr>
        <w:t xml:space="preserve"> </w:t>
      </w:r>
      <w:r w:rsidRPr="000F632B">
        <w:rPr>
          <w:lang w:val="en-US"/>
        </w:rPr>
        <w:t>2009).</w:t>
      </w:r>
    </w:p>
    <w:p w:rsidR="008922F5" w:rsidRDefault="008922F5" w:rsidP="009629A9">
      <w:pPr>
        <w:autoSpaceDE w:val="0"/>
        <w:autoSpaceDN w:val="0"/>
        <w:adjustRightInd w:val="0"/>
        <w:spacing w:line="276" w:lineRule="auto"/>
        <w:ind w:firstLine="720"/>
        <w:jc w:val="both"/>
        <w:rPr>
          <w:rFonts w:ascii="DINEngschriftStd" w:hAnsi="DINEngschriftStd" w:cs="DINEngschriftStd"/>
          <w:color w:val="FFFFFF"/>
          <w:sz w:val="20"/>
          <w:szCs w:val="20"/>
          <w:lang w:val="en-US"/>
        </w:rPr>
      </w:pPr>
      <w:r w:rsidRPr="000F632B">
        <w:rPr>
          <w:lang w:val="en-US"/>
        </w:rPr>
        <w:t>Khusus berkenaan dengan kewenangan menjaga dan</w:t>
      </w:r>
      <w:r>
        <w:rPr>
          <w:rFonts w:ascii="DINEngschriftStd" w:hAnsi="DINEngschriftStd" w:cs="DINEngschriftStd"/>
          <w:color w:val="FFFFFF"/>
          <w:sz w:val="20"/>
          <w:szCs w:val="20"/>
          <w:lang w:val="en-US"/>
        </w:rPr>
        <w:t xml:space="preserve"> </w:t>
      </w:r>
      <w:r w:rsidRPr="000F632B">
        <w:rPr>
          <w:lang w:val="en-US"/>
        </w:rPr>
        <w:t>menegakkan kehormatan, keluhuran martabat, serta perilaku</w:t>
      </w:r>
      <w:r>
        <w:rPr>
          <w:rFonts w:ascii="DINEngschriftStd" w:hAnsi="DINEngschriftStd" w:cs="DINEngschriftStd"/>
          <w:color w:val="FFFFFF"/>
          <w:sz w:val="20"/>
          <w:szCs w:val="20"/>
          <w:lang w:val="en-US"/>
        </w:rPr>
        <w:t xml:space="preserve"> </w:t>
      </w:r>
      <w:r w:rsidRPr="000F632B">
        <w:rPr>
          <w:lang w:val="en-US"/>
        </w:rPr>
        <w:t>hakim, ketentuan Pasal 20 U</w:t>
      </w:r>
      <w:r w:rsidR="009629A9">
        <w:rPr>
          <w:lang w:val="en-US"/>
        </w:rPr>
        <w:t>ndang-</w:t>
      </w:r>
      <w:r w:rsidRPr="000F632B">
        <w:rPr>
          <w:lang w:val="en-US"/>
        </w:rPr>
        <w:t>U</w:t>
      </w:r>
      <w:r w:rsidR="009629A9">
        <w:rPr>
          <w:lang w:val="en-US"/>
        </w:rPr>
        <w:t>ndang</w:t>
      </w:r>
      <w:r w:rsidRPr="000F632B">
        <w:rPr>
          <w:lang w:val="en-US"/>
        </w:rPr>
        <w:t xml:space="preserve"> Nomor 18 Tahun 2011 jo. Pasal 42</w:t>
      </w:r>
      <w:r>
        <w:rPr>
          <w:rFonts w:ascii="DINEngschriftStd" w:hAnsi="DINEngschriftStd" w:cs="DINEngschriftStd"/>
          <w:color w:val="FFFFFF"/>
          <w:sz w:val="20"/>
          <w:szCs w:val="20"/>
          <w:lang w:val="en-US"/>
        </w:rPr>
        <w:t xml:space="preserve"> </w:t>
      </w:r>
      <w:r w:rsidRPr="000F632B">
        <w:rPr>
          <w:lang w:val="en-US"/>
        </w:rPr>
        <w:t>U</w:t>
      </w:r>
      <w:r w:rsidR="009629A9">
        <w:rPr>
          <w:lang w:val="en-US"/>
        </w:rPr>
        <w:t>ndang-</w:t>
      </w:r>
      <w:r w:rsidRPr="000F632B">
        <w:rPr>
          <w:lang w:val="en-US"/>
        </w:rPr>
        <w:t>U</w:t>
      </w:r>
      <w:r w:rsidR="009629A9">
        <w:rPr>
          <w:lang w:val="en-US"/>
        </w:rPr>
        <w:t>ndang</w:t>
      </w:r>
      <w:r w:rsidRPr="000F632B">
        <w:rPr>
          <w:lang w:val="en-US"/>
        </w:rPr>
        <w:t xml:space="preserve"> Nomor 48 Tahun 2009 menjabarkan kewenangan itu menjadi</w:t>
      </w:r>
      <w:r>
        <w:rPr>
          <w:rFonts w:ascii="DINEngschriftStd" w:hAnsi="DINEngschriftStd" w:cs="DINEngschriftStd"/>
          <w:color w:val="FFFFFF"/>
          <w:sz w:val="20"/>
          <w:szCs w:val="20"/>
          <w:lang w:val="en-US"/>
        </w:rPr>
        <w:t xml:space="preserve"> </w:t>
      </w:r>
      <w:r w:rsidRPr="000F632B">
        <w:rPr>
          <w:lang w:val="en-US"/>
        </w:rPr>
        <w:t>tugas sebagai berikut :</w:t>
      </w:r>
    </w:p>
    <w:p w:rsidR="008922F5" w:rsidRDefault="008922F5" w:rsidP="009629A9">
      <w:pPr>
        <w:autoSpaceDE w:val="0"/>
        <w:autoSpaceDN w:val="0"/>
        <w:adjustRightInd w:val="0"/>
        <w:spacing w:line="276" w:lineRule="auto"/>
        <w:ind w:firstLine="720"/>
        <w:jc w:val="both"/>
        <w:rPr>
          <w:rFonts w:ascii="DINEngschriftStd" w:hAnsi="DINEngschriftStd" w:cs="DINEngschriftStd"/>
          <w:color w:val="FFFFFF"/>
          <w:sz w:val="20"/>
          <w:szCs w:val="20"/>
          <w:lang w:val="en-US"/>
        </w:rPr>
      </w:pPr>
      <w:r w:rsidRPr="000F632B">
        <w:rPr>
          <w:lang w:val="en-US"/>
        </w:rPr>
        <w:t>a. melakukan pemantauan dan pengawasan terhadap</w:t>
      </w:r>
      <w:r>
        <w:rPr>
          <w:rFonts w:ascii="DINEngschriftStd" w:hAnsi="DINEngschriftStd" w:cs="DINEngschriftStd"/>
          <w:color w:val="FFFFFF"/>
          <w:sz w:val="20"/>
          <w:szCs w:val="20"/>
          <w:lang w:val="en-US"/>
        </w:rPr>
        <w:t xml:space="preserve"> </w:t>
      </w:r>
      <w:r w:rsidRPr="000F632B">
        <w:rPr>
          <w:lang w:val="en-US"/>
        </w:rPr>
        <w:t>perilaku hakim;</w:t>
      </w:r>
    </w:p>
    <w:p w:rsidR="008922F5" w:rsidRDefault="008922F5" w:rsidP="009629A9">
      <w:pPr>
        <w:autoSpaceDE w:val="0"/>
        <w:autoSpaceDN w:val="0"/>
        <w:adjustRightInd w:val="0"/>
        <w:spacing w:line="276" w:lineRule="auto"/>
        <w:ind w:left="990" w:hanging="270"/>
        <w:jc w:val="both"/>
        <w:rPr>
          <w:rFonts w:ascii="DINEngschriftStd" w:hAnsi="DINEngschriftStd" w:cs="DINEngschriftStd"/>
          <w:color w:val="FFFFFF"/>
          <w:sz w:val="20"/>
          <w:szCs w:val="20"/>
          <w:lang w:val="en-US"/>
        </w:rPr>
      </w:pPr>
      <w:r w:rsidRPr="000F632B">
        <w:rPr>
          <w:lang w:val="en-US"/>
        </w:rPr>
        <w:t>b. menerima laporan dari masyarakat berkaitan dengan</w:t>
      </w:r>
      <w:r>
        <w:rPr>
          <w:rFonts w:ascii="DINEngschriftStd" w:hAnsi="DINEngschriftStd" w:cs="DINEngschriftStd"/>
          <w:color w:val="FFFFFF"/>
          <w:sz w:val="20"/>
          <w:szCs w:val="20"/>
          <w:lang w:val="en-US"/>
        </w:rPr>
        <w:t xml:space="preserve"> </w:t>
      </w:r>
      <w:r w:rsidRPr="000F632B">
        <w:rPr>
          <w:lang w:val="en-US"/>
        </w:rPr>
        <w:t>pelanggaran Kode Etik dan/atau Pedoman Perilaku</w:t>
      </w:r>
      <w:r>
        <w:rPr>
          <w:rFonts w:ascii="DINEngschriftStd" w:hAnsi="DINEngschriftStd" w:cs="DINEngschriftStd"/>
          <w:color w:val="FFFFFF"/>
          <w:sz w:val="20"/>
          <w:szCs w:val="20"/>
          <w:lang w:val="en-US"/>
        </w:rPr>
        <w:t xml:space="preserve"> </w:t>
      </w:r>
      <w:r w:rsidRPr="000F632B">
        <w:rPr>
          <w:lang w:val="en-US"/>
        </w:rPr>
        <w:t>Hakim;</w:t>
      </w:r>
    </w:p>
    <w:p w:rsidR="008922F5" w:rsidRDefault="008922F5" w:rsidP="009629A9">
      <w:pPr>
        <w:autoSpaceDE w:val="0"/>
        <w:autoSpaceDN w:val="0"/>
        <w:adjustRightInd w:val="0"/>
        <w:spacing w:line="276" w:lineRule="auto"/>
        <w:ind w:left="990" w:hanging="270"/>
        <w:jc w:val="both"/>
        <w:rPr>
          <w:rFonts w:ascii="DINEngschriftStd" w:hAnsi="DINEngschriftStd" w:cs="DINEngschriftStd"/>
          <w:color w:val="FFFFFF"/>
          <w:sz w:val="20"/>
          <w:szCs w:val="20"/>
          <w:lang w:val="en-US"/>
        </w:rPr>
      </w:pPr>
      <w:r w:rsidRPr="000F632B">
        <w:rPr>
          <w:lang w:val="en-US"/>
        </w:rPr>
        <w:t>c. melakukan verifikasi, klarifikasi, dan investigasi</w:t>
      </w:r>
      <w:r>
        <w:rPr>
          <w:rFonts w:ascii="DINEngschriftStd" w:hAnsi="DINEngschriftStd" w:cs="DINEngschriftStd"/>
          <w:color w:val="FFFFFF"/>
          <w:sz w:val="20"/>
          <w:szCs w:val="20"/>
          <w:lang w:val="en-US"/>
        </w:rPr>
        <w:t xml:space="preserve"> </w:t>
      </w:r>
      <w:r w:rsidRPr="000F632B">
        <w:rPr>
          <w:lang w:val="en-US"/>
        </w:rPr>
        <w:t>terhadap laporan dugaan pelanggaran Kode Etik dan/atau Pedoman Perilaku Hakim secara tertutup;</w:t>
      </w:r>
    </w:p>
    <w:p w:rsidR="008922F5" w:rsidRDefault="008922F5" w:rsidP="009629A9">
      <w:pPr>
        <w:autoSpaceDE w:val="0"/>
        <w:autoSpaceDN w:val="0"/>
        <w:adjustRightInd w:val="0"/>
        <w:spacing w:line="276" w:lineRule="auto"/>
        <w:ind w:left="990" w:hanging="270"/>
        <w:jc w:val="both"/>
        <w:rPr>
          <w:rFonts w:ascii="DINEngschriftStd" w:hAnsi="DINEngschriftStd" w:cs="DINEngschriftStd"/>
          <w:color w:val="FFFFFF"/>
          <w:sz w:val="20"/>
          <w:szCs w:val="20"/>
          <w:lang w:val="en-US"/>
        </w:rPr>
      </w:pPr>
      <w:r w:rsidRPr="000F632B">
        <w:rPr>
          <w:lang w:val="en-US"/>
        </w:rPr>
        <w:t>d. memutuskan benar tidaknya laporan dugaan</w:t>
      </w:r>
      <w:r>
        <w:rPr>
          <w:rFonts w:ascii="DINEngschriftStd" w:hAnsi="DINEngschriftStd" w:cs="DINEngschriftStd"/>
          <w:color w:val="FFFFFF"/>
          <w:sz w:val="20"/>
          <w:szCs w:val="20"/>
          <w:lang w:val="en-US"/>
        </w:rPr>
        <w:t xml:space="preserve"> </w:t>
      </w:r>
      <w:r w:rsidRPr="000F632B">
        <w:rPr>
          <w:lang w:val="en-US"/>
        </w:rPr>
        <w:t>pelanggaran Kode Etik dan/atau Pedoman Perilaku</w:t>
      </w:r>
      <w:r>
        <w:rPr>
          <w:rFonts w:ascii="DINEngschriftStd" w:hAnsi="DINEngschriftStd" w:cs="DINEngschriftStd"/>
          <w:color w:val="FFFFFF"/>
          <w:sz w:val="20"/>
          <w:szCs w:val="20"/>
          <w:lang w:val="en-US"/>
        </w:rPr>
        <w:t xml:space="preserve"> </w:t>
      </w:r>
      <w:r w:rsidRPr="000F632B">
        <w:rPr>
          <w:lang w:val="en-US"/>
        </w:rPr>
        <w:t>Hakim;</w:t>
      </w:r>
    </w:p>
    <w:p w:rsidR="008922F5" w:rsidRDefault="008922F5" w:rsidP="009629A9">
      <w:pPr>
        <w:autoSpaceDE w:val="0"/>
        <w:autoSpaceDN w:val="0"/>
        <w:adjustRightInd w:val="0"/>
        <w:spacing w:line="276" w:lineRule="auto"/>
        <w:ind w:left="990" w:hanging="270"/>
        <w:jc w:val="both"/>
        <w:rPr>
          <w:rFonts w:ascii="DINEngschriftStd" w:hAnsi="DINEngschriftStd" w:cs="DINEngschriftStd"/>
          <w:color w:val="FFFFFF"/>
          <w:sz w:val="20"/>
          <w:szCs w:val="20"/>
          <w:lang w:val="en-US"/>
        </w:rPr>
      </w:pPr>
      <w:r w:rsidRPr="000F632B">
        <w:rPr>
          <w:lang w:val="en-US"/>
        </w:rPr>
        <w:t>e. mengambil langkah hukum dan/atau langkah lain</w:t>
      </w:r>
      <w:r>
        <w:rPr>
          <w:rFonts w:ascii="DINEngschriftStd" w:hAnsi="DINEngschriftStd" w:cs="DINEngschriftStd"/>
          <w:color w:val="FFFFFF"/>
          <w:sz w:val="20"/>
          <w:szCs w:val="20"/>
          <w:lang w:val="en-US"/>
        </w:rPr>
        <w:t xml:space="preserve"> </w:t>
      </w:r>
      <w:r w:rsidRPr="000F632B">
        <w:rPr>
          <w:lang w:val="en-US"/>
        </w:rPr>
        <w:t>terhadap orang perseorangan, kelompok orang, atau</w:t>
      </w:r>
      <w:r>
        <w:rPr>
          <w:rFonts w:ascii="DINEngschriftStd" w:hAnsi="DINEngschriftStd" w:cs="DINEngschriftStd"/>
          <w:color w:val="FFFFFF"/>
          <w:sz w:val="20"/>
          <w:szCs w:val="20"/>
          <w:lang w:val="en-US"/>
        </w:rPr>
        <w:t xml:space="preserve"> </w:t>
      </w:r>
      <w:r w:rsidRPr="000F632B">
        <w:rPr>
          <w:lang w:val="en-US"/>
        </w:rPr>
        <w:t>badan hukum yang merendahkan kehormatan dan</w:t>
      </w:r>
      <w:r>
        <w:rPr>
          <w:rFonts w:ascii="DINEngschriftStd" w:hAnsi="DINEngschriftStd" w:cs="DINEngschriftStd"/>
          <w:color w:val="FFFFFF"/>
          <w:sz w:val="20"/>
          <w:szCs w:val="20"/>
          <w:lang w:val="en-US"/>
        </w:rPr>
        <w:t xml:space="preserve"> </w:t>
      </w:r>
      <w:r w:rsidRPr="000F632B">
        <w:rPr>
          <w:lang w:val="en-US"/>
        </w:rPr>
        <w:t>keluhuran martabat hakim;</w:t>
      </w:r>
    </w:p>
    <w:p w:rsidR="008922F5" w:rsidRDefault="008922F5" w:rsidP="009629A9">
      <w:pPr>
        <w:autoSpaceDE w:val="0"/>
        <w:autoSpaceDN w:val="0"/>
        <w:adjustRightInd w:val="0"/>
        <w:spacing w:line="276" w:lineRule="auto"/>
        <w:ind w:left="990" w:hanging="270"/>
        <w:jc w:val="both"/>
        <w:rPr>
          <w:rFonts w:ascii="DINEngschriftStd" w:hAnsi="DINEngschriftStd" w:cs="DINEngschriftStd"/>
          <w:color w:val="FFFFFF"/>
          <w:sz w:val="20"/>
          <w:szCs w:val="20"/>
          <w:lang w:val="en-US"/>
        </w:rPr>
      </w:pPr>
      <w:r w:rsidRPr="000F632B">
        <w:rPr>
          <w:lang w:val="en-US"/>
        </w:rPr>
        <w:t>f. mengupayakan peningkatan kapasitas dan</w:t>
      </w:r>
      <w:r>
        <w:rPr>
          <w:rFonts w:ascii="DINEngschriftStd" w:hAnsi="DINEngschriftStd" w:cs="DINEngschriftStd"/>
          <w:color w:val="FFFFFF"/>
          <w:sz w:val="20"/>
          <w:szCs w:val="20"/>
          <w:lang w:val="en-US"/>
        </w:rPr>
        <w:t xml:space="preserve"> </w:t>
      </w:r>
      <w:r w:rsidRPr="000F632B">
        <w:rPr>
          <w:lang w:val="en-US"/>
        </w:rPr>
        <w:t>kesejahteraan hakim;</w:t>
      </w:r>
    </w:p>
    <w:p w:rsidR="008922F5" w:rsidRDefault="008922F5" w:rsidP="009629A9">
      <w:pPr>
        <w:autoSpaceDE w:val="0"/>
        <w:autoSpaceDN w:val="0"/>
        <w:adjustRightInd w:val="0"/>
        <w:spacing w:line="276" w:lineRule="auto"/>
        <w:ind w:left="990" w:hanging="270"/>
        <w:jc w:val="both"/>
        <w:rPr>
          <w:rFonts w:ascii="DINEngschriftStd" w:hAnsi="DINEngschriftStd" w:cs="DINEngschriftStd"/>
          <w:color w:val="FFFFFF"/>
          <w:sz w:val="20"/>
          <w:szCs w:val="20"/>
          <w:lang w:val="en-US"/>
        </w:rPr>
      </w:pPr>
      <w:r w:rsidRPr="000F632B">
        <w:rPr>
          <w:lang w:val="en-US"/>
        </w:rPr>
        <w:lastRenderedPageBreak/>
        <w:t>g. dapat meminta bantuan kepada aparat penegak</w:t>
      </w:r>
      <w:r>
        <w:rPr>
          <w:rFonts w:ascii="DINEngschriftStd" w:hAnsi="DINEngschriftStd" w:cs="DINEngschriftStd"/>
          <w:color w:val="FFFFFF"/>
          <w:sz w:val="20"/>
          <w:szCs w:val="20"/>
          <w:lang w:val="en-US"/>
        </w:rPr>
        <w:t xml:space="preserve"> </w:t>
      </w:r>
      <w:r w:rsidRPr="000F632B">
        <w:rPr>
          <w:lang w:val="en-US"/>
        </w:rPr>
        <w:t>hukum untuk melakukan penyadapan dan merekam</w:t>
      </w:r>
      <w:r>
        <w:rPr>
          <w:rFonts w:ascii="DINEngschriftStd" w:hAnsi="DINEngschriftStd" w:cs="DINEngschriftStd"/>
          <w:color w:val="FFFFFF"/>
          <w:sz w:val="20"/>
          <w:szCs w:val="20"/>
          <w:lang w:val="en-US"/>
        </w:rPr>
        <w:t xml:space="preserve"> </w:t>
      </w:r>
      <w:r w:rsidRPr="000F632B">
        <w:rPr>
          <w:lang w:val="en-US"/>
        </w:rPr>
        <w:t>pembicaraan dalam hal adanya dugaan pelanggaran</w:t>
      </w:r>
      <w:r>
        <w:rPr>
          <w:rFonts w:ascii="DINEngschriftStd" w:hAnsi="DINEngschriftStd" w:cs="DINEngschriftStd"/>
          <w:color w:val="FFFFFF"/>
          <w:sz w:val="20"/>
          <w:szCs w:val="20"/>
          <w:lang w:val="en-US"/>
        </w:rPr>
        <w:t xml:space="preserve"> </w:t>
      </w:r>
      <w:r w:rsidRPr="000F632B">
        <w:rPr>
          <w:lang w:val="en-US"/>
        </w:rPr>
        <w:t>Kode Etik dan/atau Pedoman Perilaku Hakim oleh</w:t>
      </w:r>
      <w:r>
        <w:rPr>
          <w:rFonts w:ascii="DINEngschriftStd" w:hAnsi="DINEngschriftStd" w:cs="DINEngschriftStd"/>
          <w:color w:val="FFFFFF"/>
          <w:sz w:val="20"/>
          <w:szCs w:val="20"/>
          <w:lang w:val="en-US"/>
        </w:rPr>
        <w:t xml:space="preserve"> </w:t>
      </w:r>
      <w:r w:rsidRPr="000F632B">
        <w:rPr>
          <w:lang w:val="en-US"/>
        </w:rPr>
        <w:t>hakim; dan</w:t>
      </w:r>
    </w:p>
    <w:p w:rsidR="008922F5" w:rsidRDefault="008922F5" w:rsidP="009629A9">
      <w:pPr>
        <w:autoSpaceDE w:val="0"/>
        <w:autoSpaceDN w:val="0"/>
        <w:adjustRightInd w:val="0"/>
        <w:spacing w:line="276" w:lineRule="auto"/>
        <w:ind w:left="990" w:hanging="270"/>
        <w:jc w:val="both"/>
        <w:rPr>
          <w:rFonts w:ascii="DINEngschriftStd" w:hAnsi="DINEngschriftStd" w:cs="DINEngschriftStd"/>
          <w:color w:val="FFFFFF"/>
          <w:sz w:val="20"/>
          <w:szCs w:val="20"/>
          <w:lang w:val="en-US"/>
        </w:rPr>
      </w:pPr>
      <w:r w:rsidRPr="000F632B">
        <w:rPr>
          <w:lang w:val="en-US"/>
        </w:rPr>
        <w:t>h. dapat menganalisis putusan pengadilan yang telah</w:t>
      </w:r>
      <w:r>
        <w:rPr>
          <w:rFonts w:ascii="DINEngschriftStd" w:hAnsi="DINEngschriftStd" w:cs="DINEngschriftStd"/>
          <w:color w:val="FFFFFF"/>
          <w:sz w:val="20"/>
          <w:szCs w:val="20"/>
          <w:lang w:val="en-US"/>
        </w:rPr>
        <w:t xml:space="preserve"> </w:t>
      </w:r>
      <w:r w:rsidRPr="000F632B">
        <w:rPr>
          <w:lang w:val="en-US"/>
        </w:rPr>
        <w:t>memperoleh kekuatan hukum tetap sebagai dasar</w:t>
      </w:r>
      <w:r>
        <w:rPr>
          <w:rFonts w:ascii="DINEngschriftStd" w:hAnsi="DINEngschriftStd" w:cs="DINEngschriftStd"/>
          <w:color w:val="FFFFFF"/>
          <w:sz w:val="20"/>
          <w:szCs w:val="20"/>
          <w:lang w:val="en-US"/>
        </w:rPr>
        <w:t xml:space="preserve"> </w:t>
      </w:r>
      <w:r w:rsidRPr="000F632B">
        <w:rPr>
          <w:lang w:val="en-US"/>
        </w:rPr>
        <w:t>rekomendasi untuk melakukan mutasi hakim.</w:t>
      </w:r>
    </w:p>
    <w:p w:rsidR="008922F5" w:rsidRDefault="008922F5" w:rsidP="009629A9">
      <w:pPr>
        <w:autoSpaceDE w:val="0"/>
        <w:autoSpaceDN w:val="0"/>
        <w:adjustRightInd w:val="0"/>
        <w:spacing w:line="276" w:lineRule="auto"/>
        <w:ind w:firstLine="720"/>
        <w:jc w:val="both"/>
        <w:rPr>
          <w:lang w:val="en-US"/>
        </w:rPr>
      </w:pPr>
    </w:p>
    <w:p w:rsidR="008922F5" w:rsidRDefault="008922F5" w:rsidP="009629A9">
      <w:pPr>
        <w:autoSpaceDE w:val="0"/>
        <w:autoSpaceDN w:val="0"/>
        <w:adjustRightInd w:val="0"/>
        <w:spacing w:line="276" w:lineRule="auto"/>
        <w:ind w:firstLine="720"/>
        <w:jc w:val="both"/>
        <w:rPr>
          <w:rFonts w:ascii="DINEngschriftStd" w:hAnsi="DINEngschriftStd" w:cs="DINEngschriftStd"/>
          <w:color w:val="FFFFFF"/>
          <w:sz w:val="20"/>
          <w:szCs w:val="20"/>
          <w:lang w:val="en-US"/>
        </w:rPr>
      </w:pPr>
      <w:r w:rsidRPr="000F632B">
        <w:rPr>
          <w:lang w:val="en-US"/>
        </w:rPr>
        <w:t>Sementara itu terka</w:t>
      </w:r>
      <w:r>
        <w:rPr>
          <w:lang w:val="en-US"/>
        </w:rPr>
        <w:t xml:space="preserve">it dengan kewenangan menetapkan </w:t>
      </w:r>
      <w:r w:rsidRPr="000F632B">
        <w:rPr>
          <w:lang w:val="en-US"/>
        </w:rPr>
        <w:t>Kode Etik dan/atau Pedoman Perilaku Hakim bersama-sama</w:t>
      </w:r>
      <w:r>
        <w:rPr>
          <w:rFonts w:ascii="DINEngschriftStd" w:hAnsi="DINEngschriftStd" w:cs="DINEngschriftStd"/>
          <w:color w:val="FFFFFF"/>
          <w:sz w:val="20"/>
          <w:szCs w:val="20"/>
          <w:lang w:val="en-US"/>
        </w:rPr>
        <w:t xml:space="preserve"> </w:t>
      </w:r>
      <w:r w:rsidRPr="000F632B">
        <w:rPr>
          <w:lang w:val="en-US"/>
        </w:rPr>
        <w:t>dengan Mahkamah Agung, Komisi Yudisial bersama-sama</w:t>
      </w:r>
      <w:r>
        <w:rPr>
          <w:rFonts w:ascii="DINEngschriftStd" w:hAnsi="DINEngschriftStd" w:cs="DINEngschriftStd"/>
          <w:color w:val="FFFFFF"/>
          <w:sz w:val="20"/>
          <w:szCs w:val="20"/>
          <w:lang w:val="en-US"/>
        </w:rPr>
        <w:t xml:space="preserve"> </w:t>
      </w:r>
      <w:r w:rsidRPr="000F632B">
        <w:rPr>
          <w:lang w:val="en-US"/>
        </w:rPr>
        <w:t xml:space="preserve">Mahkamah Agung </w:t>
      </w:r>
      <w:r w:rsidR="009629A9">
        <w:rPr>
          <w:lang w:val="en-US"/>
        </w:rPr>
        <w:t xml:space="preserve">telah </w:t>
      </w:r>
      <w:r w:rsidRPr="000F632B">
        <w:rPr>
          <w:lang w:val="en-US"/>
        </w:rPr>
        <w:t>menerbitkan Peraturan Bersama Mahkamah</w:t>
      </w:r>
      <w:r>
        <w:rPr>
          <w:rFonts w:ascii="DINEngschriftStd" w:hAnsi="DINEngschriftStd" w:cs="DINEngschriftStd"/>
          <w:color w:val="FFFFFF"/>
          <w:sz w:val="20"/>
          <w:szCs w:val="20"/>
          <w:lang w:val="en-US"/>
        </w:rPr>
        <w:t xml:space="preserve"> </w:t>
      </w:r>
      <w:r w:rsidRPr="000F632B">
        <w:rPr>
          <w:lang w:val="en-US"/>
        </w:rPr>
        <w:t>Agung dan Komisi Yudisial Nomor 02/PB/MA/IX/2012 – 02/</w:t>
      </w:r>
      <w:r>
        <w:rPr>
          <w:rFonts w:ascii="DINEngschriftStd" w:hAnsi="DINEngschriftStd" w:cs="DINEngschriftStd"/>
          <w:color w:val="FFFFFF"/>
          <w:sz w:val="20"/>
          <w:szCs w:val="20"/>
          <w:lang w:val="en-US"/>
        </w:rPr>
        <w:t xml:space="preserve"> </w:t>
      </w:r>
      <w:r w:rsidRPr="000F632B">
        <w:rPr>
          <w:lang w:val="en-US"/>
        </w:rPr>
        <w:t>PB/P.KY/09/2012 tentang Panduan Penegakan Kode Etik dan</w:t>
      </w:r>
      <w:r>
        <w:rPr>
          <w:rFonts w:ascii="DINEngschriftStd" w:hAnsi="DINEngschriftStd" w:cs="DINEngschriftStd"/>
          <w:color w:val="FFFFFF"/>
          <w:sz w:val="20"/>
          <w:szCs w:val="20"/>
          <w:lang w:val="en-US"/>
        </w:rPr>
        <w:t xml:space="preserve"> </w:t>
      </w:r>
      <w:r w:rsidRPr="000F632B">
        <w:rPr>
          <w:lang w:val="en-US"/>
        </w:rPr>
        <w:t>Pedoman Perilaku Hakim (KEPPH).</w:t>
      </w:r>
      <w:r>
        <w:rPr>
          <w:rFonts w:ascii="DINEngschriftStd" w:hAnsi="DINEngschriftStd" w:cs="DINEngschriftStd"/>
          <w:color w:val="FFFFFF"/>
          <w:sz w:val="20"/>
          <w:szCs w:val="20"/>
          <w:lang w:val="en-US"/>
        </w:rPr>
        <w:t xml:space="preserve"> </w:t>
      </w:r>
    </w:p>
    <w:p w:rsidR="009629A9" w:rsidRDefault="008922F5" w:rsidP="009629A9">
      <w:pPr>
        <w:autoSpaceDE w:val="0"/>
        <w:autoSpaceDN w:val="0"/>
        <w:adjustRightInd w:val="0"/>
        <w:spacing w:line="276" w:lineRule="auto"/>
        <w:ind w:firstLine="720"/>
        <w:jc w:val="both"/>
        <w:rPr>
          <w:lang w:val="en-US"/>
        </w:rPr>
      </w:pPr>
      <w:r w:rsidRPr="000F632B">
        <w:rPr>
          <w:lang w:val="en-US"/>
        </w:rPr>
        <w:t>Selain sepuluh prinsip KEPPH itu, pada Pasal 15 Panduan</w:t>
      </w:r>
      <w:r>
        <w:rPr>
          <w:rFonts w:ascii="DINEngschriftStd" w:hAnsi="DINEngschriftStd" w:cs="DINEngschriftStd"/>
          <w:color w:val="FFFFFF"/>
          <w:sz w:val="20"/>
          <w:szCs w:val="20"/>
          <w:lang w:val="en-US"/>
        </w:rPr>
        <w:t xml:space="preserve"> </w:t>
      </w:r>
      <w:r w:rsidRPr="000F632B">
        <w:rPr>
          <w:lang w:val="en-US"/>
        </w:rPr>
        <w:t>Penegakan KEPPH menyebutkan juga yurisdiksi penegakan</w:t>
      </w:r>
      <w:r>
        <w:rPr>
          <w:rFonts w:ascii="DINEngschriftStd" w:hAnsi="DINEngschriftStd" w:cs="DINEngschriftStd"/>
          <w:color w:val="FFFFFF"/>
          <w:sz w:val="20"/>
          <w:szCs w:val="20"/>
          <w:lang w:val="en-US"/>
        </w:rPr>
        <w:t xml:space="preserve"> </w:t>
      </w:r>
      <w:r w:rsidRPr="000F632B">
        <w:rPr>
          <w:lang w:val="en-US"/>
        </w:rPr>
        <w:t>KEPPH, yakni dalam melakukan pengawasan Mahkamah Agung</w:t>
      </w:r>
      <w:r>
        <w:rPr>
          <w:rFonts w:ascii="DINEngschriftStd" w:hAnsi="DINEngschriftStd" w:cs="DINEngschriftStd"/>
          <w:color w:val="FFFFFF"/>
          <w:sz w:val="20"/>
          <w:szCs w:val="20"/>
          <w:lang w:val="en-US"/>
        </w:rPr>
        <w:t xml:space="preserve"> </w:t>
      </w:r>
      <w:r w:rsidRPr="000F632B">
        <w:rPr>
          <w:lang w:val="en-US"/>
        </w:rPr>
        <w:t>dan Komisi Yudisial tidak dapat menyatakan benar atau salahnya</w:t>
      </w:r>
      <w:r>
        <w:rPr>
          <w:rFonts w:ascii="DINEngschriftStd" w:hAnsi="DINEngschriftStd" w:cs="DINEngschriftStd"/>
          <w:color w:val="FFFFFF"/>
          <w:sz w:val="20"/>
          <w:szCs w:val="20"/>
          <w:lang w:val="en-US"/>
        </w:rPr>
        <w:t xml:space="preserve"> </w:t>
      </w:r>
      <w:r w:rsidRPr="000F632B">
        <w:rPr>
          <w:lang w:val="en-US"/>
        </w:rPr>
        <w:t>pertimbangan yuridis dan substansi putusan hakim. Ketentuan</w:t>
      </w:r>
      <w:r>
        <w:rPr>
          <w:rFonts w:ascii="DINEngschriftStd" w:hAnsi="DINEngschriftStd" w:cs="DINEngschriftStd"/>
          <w:color w:val="FFFFFF"/>
          <w:sz w:val="20"/>
          <w:szCs w:val="20"/>
          <w:lang w:val="en-US"/>
        </w:rPr>
        <w:t xml:space="preserve"> </w:t>
      </w:r>
      <w:r w:rsidRPr="000F632B">
        <w:rPr>
          <w:lang w:val="en-US"/>
        </w:rPr>
        <w:t>ini sejalan dengan Putusan Mahkamah Konstitusi Nomor 005/PUU-IV/2006 yang membatasi kewenangan pengawasan oleh</w:t>
      </w:r>
      <w:r>
        <w:rPr>
          <w:rFonts w:ascii="DINEngschriftStd" w:hAnsi="DINEngschriftStd" w:cs="DINEngschriftStd"/>
          <w:color w:val="FFFFFF"/>
          <w:sz w:val="20"/>
          <w:szCs w:val="20"/>
          <w:lang w:val="en-US"/>
        </w:rPr>
        <w:t xml:space="preserve"> </w:t>
      </w:r>
      <w:r w:rsidRPr="000F632B">
        <w:rPr>
          <w:lang w:val="en-US"/>
        </w:rPr>
        <w:t>Komisi Yudisial dalam bidang KEPPH dan tidak dapat melakukan</w:t>
      </w:r>
      <w:r>
        <w:rPr>
          <w:rFonts w:ascii="DINEngschriftStd" w:hAnsi="DINEngschriftStd" w:cs="DINEngschriftStd"/>
          <w:color w:val="FFFFFF"/>
          <w:sz w:val="20"/>
          <w:szCs w:val="20"/>
          <w:lang w:val="en-US"/>
        </w:rPr>
        <w:t xml:space="preserve"> </w:t>
      </w:r>
      <w:r w:rsidRPr="000F632B">
        <w:rPr>
          <w:lang w:val="en-US"/>
        </w:rPr>
        <w:t>pengawasan terhadap teknis yustisial yang dalam Peraturan</w:t>
      </w:r>
      <w:r>
        <w:rPr>
          <w:rFonts w:ascii="DINEngschriftStd" w:hAnsi="DINEngschriftStd" w:cs="DINEngschriftStd"/>
          <w:color w:val="FFFFFF"/>
          <w:sz w:val="20"/>
          <w:szCs w:val="20"/>
          <w:lang w:val="en-US"/>
        </w:rPr>
        <w:t xml:space="preserve"> </w:t>
      </w:r>
      <w:r w:rsidRPr="000F632B">
        <w:rPr>
          <w:lang w:val="en-US"/>
        </w:rPr>
        <w:t>Bersama Mahkamah Agung-Komisi Yudisial dirumuskan sebagai</w:t>
      </w:r>
      <w:r>
        <w:rPr>
          <w:rFonts w:ascii="DINEngschriftStd" w:hAnsi="DINEngschriftStd" w:cs="DINEngschriftStd"/>
          <w:color w:val="FFFFFF"/>
          <w:sz w:val="20"/>
          <w:szCs w:val="20"/>
          <w:lang w:val="en-US"/>
        </w:rPr>
        <w:t xml:space="preserve"> </w:t>
      </w:r>
      <w:r w:rsidRPr="000F632B">
        <w:rPr>
          <w:lang w:val="en-US"/>
        </w:rPr>
        <w:t>“pertimbangan yuridis dan substansi putusan hakim”.</w:t>
      </w:r>
      <w:r>
        <w:rPr>
          <w:rFonts w:ascii="DINEngschriftStd" w:hAnsi="DINEngschriftStd" w:cs="DINEngschriftStd"/>
          <w:color w:val="FFFFFF"/>
          <w:sz w:val="20"/>
          <w:szCs w:val="20"/>
          <w:lang w:val="en-US"/>
        </w:rPr>
        <w:t xml:space="preserve"> </w:t>
      </w:r>
      <w:r w:rsidRPr="000F632B">
        <w:rPr>
          <w:lang w:val="en-US"/>
        </w:rPr>
        <w:t>Selain itu, apabila terdapat dugaan pelanggaran yang</w:t>
      </w:r>
      <w:r>
        <w:rPr>
          <w:rFonts w:ascii="DINEngschriftStd" w:hAnsi="DINEngschriftStd" w:cs="DINEngschriftStd"/>
          <w:color w:val="FFFFFF"/>
          <w:sz w:val="20"/>
          <w:szCs w:val="20"/>
          <w:lang w:val="en-US"/>
        </w:rPr>
        <w:t xml:space="preserve"> </w:t>
      </w:r>
      <w:r w:rsidRPr="000F632B">
        <w:rPr>
          <w:lang w:val="en-US"/>
        </w:rPr>
        <w:t>berkenaan dengan implementasi dari prinsip berdisiplin tinggi</w:t>
      </w:r>
      <w:r>
        <w:rPr>
          <w:rFonts w:ascii="DINEngschriftStd" w:hAnsi="DINEngschriftStd" w:cs="DINEngschriftStd"/>
          <w:color w:val="FFFFFF"/>
          <w:sz w:val="20"/>
          <w:szCs w:val="20"/>
          <w:lang w:val="en-US"/>
        </w:rPr>
        <w:t xml:space="preserve"> </w:t>
      </w:r>
      <w:r w:rsidRPr="000F632B">
        <w:rPr>
          <w:lang w:val="en-US"/>
        </w:rPr>
        <w:t>dan prinsip bersikap profesional, maka pemeriksaan dilakukan</w:t>
      </w:r>
      <w:r>
        <w:rPr>
          <w:rFonts w:ascii="DINEngschriftStd" w:hAnsi="DINEngschriftStd" w:cs="DINEngschriftStd"/>
          <w:color w:val="FFFFFF"/>
          <w:sz w:val="20"/>
          <w:szCs w:val="20"/>
          <w:lang w:val="en-US"/>
        </w:rPr>
        <w:t xml:space="preserve"> </w:t>
      </w:r>
      <w:r w:rsidRPr="000F632B">
        <w:rPr>
          <w:lang w:val="en-US"/>
        </w:rPr>
        <w:t>oleh Mahkamah Agung atau oleh Mahkamah Agung bersama</w:t>
      </w:r>
      <w:r>
        <w:rPr>
          <w:rFonts w:ascii="DINEngschriftStd" w:hAnsi="DINEngschriftStd" w:cs="DINEngschriftStd"/>
          <w:color w:val="FFFFFF"/>
          <w:sz w:val="20"/>
          <w:szCs w:val="20"/>
          <w:lang w:val="en-US"/>
        </w:rPr>
        <w:t xml:space="preserve"> </w:t>
      </w:r>
      <w:r w:rsidRPr="000F632B">
        <w:rPr>
          <w:lang w:val="en-US"/>
        </w:rPr>
        <w:t>Komisi Yudisial dalam hal ada usulan dari Komisi Yudisial untuk</w:t>
      </w:r>
      <w:r>
        <w:rPr>
          <w:rFonts w:ascii="DINEngschriftStd" w:hAnsi="DINEngschriftStd" w:cs="DINEngschriftStd"/>
          <w:color w:val="FFFFFF"/>
          <w:sz w:val="20"/>
          <w:szCs w:val="20"/>
          <w:lang w:val="en-US"/>
        </w:rPr>
        <w:t xml:space="preserve"> </w:t>
      </w:r>
      <w:r w:rsidRPr="000F632B">
        <w:rPr>
          <w:lang w:val="en-US"/>
        </w:rPr>
        <w:t>melakukan pemeriksaan bersama (Pasal 16). Dalam hal terdapat</w:t>
      </w:r>
      <w:r>
        <w:rPr>
          <w:rFonts w:ascii="DINEngschriftStd" w:hAnsi="DINEngschriftStd" w:cs="DINEngschriftStd"/>
          <w:color w:val="FFFFFF"/>
          <w:sz w:val="20"/>
          <w:szCs w:val="20"/>
          <w:lang w:val="en-US"/>
        </w:rPr>
        <w:t xml:space="preserve"> </w:t>
      </w:r>
      <w:r w:rsidRPr="000F632B">
        <w:rPr>
          <w:lang w:val="en-US"/>
        </w:rPr>
        <w:t>laporan adanya dugaan pelanggaran Hukum Acara, maka Komisi</w:t>
      </w:r>
      <w:r>
        <w:rPr>
          <w:rFonts w:ascii="DINEngschriftStd" w:hAnsi="DINEngschriftStd" w:cs="DINEngschriftStd"/>
          <w:color w:val="FFFFFF"/>
          <w:sz w:val="20"/>
          <w:szCs w:val="20"/>
          <w:lang w:val="en-US"/>
        </w:rPr>
        <w:t xml:space="preserve"> </w:t>
      </w:r>
      <w:r w:rsidRPr="000F632B">
        <w:rPr>
          <w:lang w:val="en-US"/>
        </w:rPr>
        <w:t>Yudisial dapat mengusulkan kepada Mahkamah Agung untuk</w:t>
      </w:r>
      <w:r>
        <w:rPr>
          <w:rFonts w:ascii="DINEngschriftStd" w:hAnsi="DINEngschriftStd" w:cs="DINEngschriftStd"/>
          <w:color w:val="FFFFFF"/>
          <w:sz w:val="20"/>
          <w:szCs w:val="20"/>
          <w:lang w:val="en-US"/>
        </w:rPr>
        <w:t xml:space="preserve"> </w:t>
      </w:r>
      <w:r w:rsidRPr="000F632B">
        <w:rPr>
          <w:lang w:val="en-US"/>
        </w:rPr>
        <w:t>ditindaklanjuti. Apabila Mahkamah Agung menilai laporan</w:t>
      </w:r>
      <w:r>
        <w:rPr>
          <w:rFonts w:ascii="DINEngschriftStd" w:hAnsi="DINEngschriftStd" w:cs="DINEngschriftStd"/>
          <w:color w:val="FFFFFF"/>
          <w:sz w:val="20"/>
          <w:szCs w:val="20"/>
          <w:lang w:val="en-US"/>
        </w:rPr>
        <w:t xml:space="preserve"> </w:t>
      </w:r>
      <w:r w:rsidRPr="000F632B">
        <w:rPr>
          <w:lang w:val="en-US"/>
        </w:rPr>
        <w:t>dugaan pelanggaran hukum acara tidak dapat ditindaklanjuti,</w:t>
      </w:r>
      <w:r>
        <w:rPr>
          <w:rFonts w:ascii="DINEngschriftStd" w:hAnsi="DINEngschriftStd" w:cs="DINEngschriftStd"/>
          <w:color w:val="FFFFFF"/>
          <w:sz w:val="20"/>
          <w:szCs w:val="20"/>
          <w:lang w:val="en-US"/>
        </w:rPr>
        <w:t xml:space="preserve"> </w:t>
      </w:r>
      <w:r w:rsidRPr="000F632B">
        <w:rPr>
          <w:lang w:val="en-US"/>
        </w:rPr>
        <w:t>maka Mahkamah Agung harus memberitahukan kepada Komisi</w:t>
      </w:r>
      <w:r>
        <w:rPr>
          <w:rFonts w:ascii="DINEngschriftStd" w:hAnsi="DINEngschriftStd" w:cs="DINEngschriftStd"/>
          <w:color w:val="FFFFFF"/>
          <w:sz w:val="20"/>
          <w:szCs w:val="20"/>
          <w:lang w:val="en-US"/>
        </w:rPr>
        <w:t xml:space="preserve"> </w:t>
      </w:r>
      <w:r w:rsidRPr="000F632B">
        <w:rPr>
          <w:lang w:val="en-US"/>
        </w:rPr>
        <w:t>Yudisial dalam waktu paling lama 30 hari sejak hasil telaahan dari</w:t>
      </w:r>
      <w:r>
        <w:rPr>
          <w:rFonts w:ascii="DINEngschriftStd" w:hAnsi="DINEngschriftStd" w:cs="DINEngschriftStd"/>
          <w:color w:val="FFFFFF"/>
          <w:sz w:val="20"/>
          <w:szCs w:val="20"/>
          <w:lang w:val="en-US"/>
        </w:rPr>
        <w:t xml:space="preserve"> </w:t>
      </w:r>
      <w:r w:rsidRPr="000F632B">
        <w:rPr>
          <w:lang w:val="en-US"/>
        </w:rPr>
        <w:t>Komisi Yudisial diterima oleh Mahkamah Agung. Sebaliknya,</w:t>
      </w:r>
      <w:r>
        <w:rPr>
          <w:rFonts w:ascii="DINEngschriftStd" w:hAnsi="DINEngschriftStd" w:cs="DINEngschriftStd"/>
          <w:color w:val="FFFFFF"/>
          <w:sz w:val="20"/>
          <w:szCs w:val="20"/>
          <w:lang w:val="en-US"/>
        </w:rPr>
        <w:t xml:space="preserve"> </w:t>
      </w:r>
      <w:r w:rsidRPr="000F632B">
        <w:rPr>
          <w:lang w:val="en-US"/>
        </w:rPr>
        <w:t>apabila Mahkamah Agung menilai laporan dugaan tersebut dapat</w:t>
      </w:r>
      <w:r>
        <w:rPr>
          <w:rFonts w:ascii="DINEngschriftStd" w:hAnsi="DINEngschriftStd" w:cs="DINEngschriftStd"/>
          <w:color w:val="FFFFFF"/>
          <w:sz w:val="20"/>
          <w:szCs w:val="20"/>
          <w:lang w:val="en-US"/>
        </w:rPr>
        <w:t xml:space="preserve"> </w:t>
      </w:r>
      <w:r w:rsidRPr="000F632B">
        <w:rPr>
          <w:lang w:val="en-US"/>
        </w:rPr>
        <w:t>ditindaklanjuti, maka Mahkamah Agung harus memberitahukan</w:t>
      </w:r>
      <w:r>
        <w:rPr>
          <w:rFonts w:ascii="DINEngschriftStd" w:hAnsi="DINEngschriftStd" w:cs="DINEngschriftStd"/>
          <w:color w:val="FFFFFF"/>
          <w:sz w:val="20"/>
          <w:szCs w:val="20"/>
          <w:lang w:val="en-US"/>
        </w:rPr>
        <w:t xml:space="preserve"> </w:t>
      </w:r>
      <w:r w:rsidRPr="000F632B">
        <w:rPr>
          <w:lang w:val="en-US"/>
        </w:rPr>
        <w:t>hasil tindak lanjut tersebut kepada Komisi Yudisial dalam waktu</w:t>
      </w:r>
      <w:r>
        <w:rPr>
          <w:rFonts w:ascii="DINEngschriftStd" w:hAnsi="DINEngschriftStd" w:cs="DINEngschriftStd"/>
          <w:color w:val="FFFFFF"/>
          <w:sz w:val="20"/>
          <w:szCs w:val="20"/>
          <w:lang w:val="en-US"/>
        </w:rPr>
        <w:t xml:space="preserve"> </w:t>
      </w:r>
      <w:r w:rsidRPr="000F632B">
        <w:rPr>
          <w:lang w:val="en-US"/>
        </w:rPr>
        <w:t>paling lama 60 hari sejak hasil telaahan diterima oleh Mahkamah</w:t>
      </w:r>
      <w:r>
        <w:rPr>
          <w:rFonts w:ascii="DINEngschriftStd" w:hAnsi="DINEngschriftStd" w:cs="DINEngschriftStd"/>
          <w:color w:val="FFFFFF"/>
          <w:sz w:val="20"/>
          <w:szCs w:val="20"/>
          <w:lang w:val="en-US"/>
        </w:rPr>
        <w:t xml:space="preserve"> </w:t>
      </w:r>
      <w:r w:rsidRPr="000F632B">
        <w:rPr>
          <w:lang w:val="en-US"/>
        </w:rPr>
        <w:t>Agung (Pasal 17).</w:t>
      </w:r>
    </w:p>
    <w:p w:rsidR="008922F5" w:rsidRDefault="008922F5" w:rsidP="009629A9">
      <w:pPr>
        <w:spacing w:line="276" w:lineRule="auto"/>
        <w:ind w:firstLine="720"/>
        <w:jc w:val="both"/>
        <w:rPr>
          <w:lang w:val="en-US"/>
        </w:rPr>
      </w:pPr>
      <w:r>
        <w:t xml:space="preserve">Penguatan kewenangan pengawasan perilaku hakim dalam Undang-Undang dijabarkan dalam Pasal 20 Undang-Undang Nomor 18 Tahun 2011 yang menyebutkan bahwa untuk menjaga dan menegakkan kehormatan, keluhuran martabat, serta perilaku hakim dijabarkan beberapa tugas Komisi Yudisial. </w:t>
      </w:r>
    </w:p>
    <w:p w:rsidR="008922F5" w:rsidRPr="00774CE7" w:rsidRDefault="008922F5" w:rsidP="009629A9">
      <w:pPr>
        <w:spacing w:line="276" w:lineRule="auto"/>
        <w:ind w:firstLine="720"/>
        <w:jc w:val="both"/>
        <w:rPr>
          <w:lang w:val="en-US"/>
        </w:rPr>
      </w:pPr>
      <w:r>
        <w:lastRenderedPageBreak/>
        <w:t xml:space="preserve">Undang-Undang Nomor 48 Tahun 2009 tentang Kekuasaan Kehakiman, Pasal 42 menegaskan bahwa: </w:t>
      </w:r>
      <w:r w:rsidRPr="00547819">
        <w:t>“...Komisi Yudisial dapat menganalisis putusan pengadilan yang telah memperoleh kekuatan hukum tetap sebagai dasar rekomendasi untuk melakukan mutasi hakim”.</w:t>
      </w:r>
      <w:r>
        <w:t xml:space="preserve"> Selain itu, U</w:t>
      </w:r>
      <w:r>
        <w:rPr>
          <w:lang w:val="en-US"/>
        </w:rPr>
        <w:t>ndang-</w:t>
      </w:r>
      <w:r>
        <w:t>U</w:t>
      </w:r>
      <w:r>
        <w:rPr>
          <w:lang w:val="en-US"/>
        </w:rPr>
        <w:t>ndang</w:t>
      </w:r>
      <w:r>
        <w:t xml:space="preserve"> Kekuasaan Kehakiman ini, juga memberikan wewenang dan tugas kepada K</w:t>
      </w:r>
      <w:r>
        <w:rPr>
          <w:lang w:val="en-US"/>
        </w:rPr>
        <w:t xml:space="preserve">omisi </w:t>
      </w:r>
      <w:r>
        <w:t>Y</w:t>
      </w:r>
      <w:r>
        <w:rPr>
          <w:lang w:val="en-US"/>
        </w:rPr>
        <w:t>udisial</w:t>
      </w:r>
      <w:r>
        <w:t xml:space="preserve"> untuk mengawasi perilaku hakim berdasarkan Kode Etik dan Pedoman Perilaku Hakim yang ditetapkan Bersama oleh M</w:t>
      </w:r>
      <w:r>
        <w:rPr>
          <w:lang w:val="en-US"/>
        </w:rPr>
        <w:t xml:space="preserve">ahkamah </w:t>
      </w:r>
      <w:r>
        <w:t>A</w:t>
      </w:r>
      <w:r>
        <w:rPr>
          <w:lang w:val="en-US"/>
        </w:rPr>
        <w:t>gung</w:t>
      </w:r>
      <w:r>
        <w:t xml:space="preserve"> dan K</w:t>
      </w:r>
      <w:r>
        <w:rPr>
          <w:lang w:val="en-US"/>
        </w:rPr>
        <w:t xml:space="preserve">omisi </w:t>
      </w:r>
      <w:r>
        <w:t>Y</w:t>
      </w:r>
      <w:r>
        <w:rPr>
          <w:lang w:val="en-US"/>
        </w:rPr>
        <w:t>udisial</w:t>
      </w:r>
      <w:r>
        <w:t>.</w:t>
      </w:r>
      <w:r>
        <w:rPr>
          <w:rStyle w:val="FootnoteReference"/>
        </w:rPr>
        <w:footnoteReference w:id="37"/>
      </w:r>
    </w:p>
    <w:p w:rsidR="008922F5" w:rsidRPr="009629A9" w:rsidRDefault="008922F5" w:rsidP="009629A9">
      <w:pPr>
        <w:spacing w:line="276" w:lineRule="auto"/>
        <w:ind w:firstLine="720"/>
        <w:jc w:val="both"/>
        <w:rPr>
          <w:lang w:val="en-US"/>
        </w:rPr>
      </w:pPr>
      <w:r>
        <w:rPr>
          <w:lang w:val="en-US"/>
        </w:rPr>
        <w:t xml:space="preserve">Seperti pernyataan mantan hakim Agung Gayus Lumbun bahwa Mahkamah Agung dan Komisi Yudisial pun harus bekerja sama dalam mengawasi hakim sebagai mitra dalam mewujudkan peradilan bersih. </w:t>
      </w:r>
      <w:r w:rsidRPr="002479A1">
        <w:rPr>
          <w:sz w:val="23"/>
          <w:szCs w:val="23"/>
          <w:shd w:val="clear" w:color="auto" w:fill="FFFFFF"/>
        </w:rPr>
        <w:t>M</w:t>
      </w:r>
      <w:r>
        <w:rPr>
          <w:sz w:val="23"/>
          <w:szCs w:val="23"/>
          <w:shd w:val="clear" w:color="auto" w:fill="FFFFFF"/>
          <w:lang w:val="en-US"/>
        </w:rPr>
        <w:t xml:space="preserve">ahkamah </w:t>
      </w:r>
      <w:r w:rsidRPr="002479A1">
        <w:rPr>
          <w:sz w:val="23"/>
          <w:szCs w:val="23"/>
          <w:shd w:val="clear" w:color="auto" w:fill="FFFFFF"/>
        </w:rPr>
        <w:t>A</w:t>
      </w:r>
      <w:r>
        <w:rPr>
          <w:sz w:val="23"/>
          <w:szCs w:val="23"/>
          <w:shd w:val="clear" w:color="auto" w:fill="FFFFFF"/>
          <w:lang w:val="en-US"/>
        </w:rPr>
        <w:t>gung</w:t>
      </w:r>
      <w:r w:rsidRPr="002479A1">
        <w:rPr>
          <w:sz w:val="23"/>
          <w:szCs w:val="23"/>
          <w:shd w:val="clear" w:color="auto" w:fill="FFFFFF"/>
        </w:rPr>
        <w:t xml:space="preserve"> yang harus introspeksi karena K</w:t>
      </w:r>
      <w:r>
        <w:rPr>
          <w:sz w:val="23"/>
          <w:szCs w:val="23"/>
          <w:shd w:val="clear" w:color="auto" w:fill="FFFFFF"/>
          <w:lang w:val="en-US"/>
        </w:rPr>
        <w:t xml:space="preserve">omisi </w:t>
      </w:r>
      <w:r w:rsidRPr="002479A1">
        <w:rPr>
          <w:sz w:val="23"/>
          <w:szCs w:val="23"/>
          <w:shd w:val="clear" w:color="auto" w:fill="FFFFFF"/>
        </w:rPr>
        <w:t>Y</w:t>
      </w:r>
      <w:r>
        <w:rPr>
          <w:sz w:val="23"/>
          <w:szCs w:val="23"/>
          <w:shd w:val="clear" w:color="auto" w:fill="FFFFFF"/>
          <w:lang w:val="en-US"/>
        </w:rPr>
        <w:t>udisial</w:t>
      </w:r>
      <w:r w:rsidRPr="002479A1">
        <w:rPr>
          <w:sz w:val="23"/>
          <w:szCs w:val="23"/>
          <w:shd w:val="clear" w:color="auto" w:fill="FFFFFF"/>
        </w:rPr>
        <w:t xml:space="preserve"> adalah mitra menjaga kehormatan hakim</w:t>
      </w:r>
      <w:r w:rsidRPr="002479A1">
        <w:rPr>
          <w:sz w:val="23"/>
          <w:szCs w:val="23"/>
          <w:shd w:val="clear" w:color="auto" w:fill="FFFFFF"/>
          <w:lang w:val="en-US"/>
        </w:rPr>
        <w:t>,</w:t>
      </w:r>
      <w:r w:rsidRPr="002479A1">
        <w:rPr>
          <w:sz w:val="23"/>
          <w:szCs w:val="23"/>
          <w:shd w:val="clear" w:color="auto" w:fill="FFFFFF"/>
        </w:rPr>
        <w:t xml:space="preserve"> M</w:t>
      </w:r>
      <w:r>
        <w:rPr>
          <w:sz w:val="23"/>
          <w:szCs w:val="23"/>
          <w:shd w:val="clear" w:color="auto" w:fill="FFFFFF"/>
          <w:lang w:val="en-US"/>
        </w:rPr>
        <w:t xml:space="preserve">ahkamah </w:t>
      </w:r>
      <w:r w:rsidRPr="002479A1">
        <w:rPr>
          <w:sz w:val="23"/>
          <w:szCs w:val="23"/>
          <w:shd w:val="clear" w:color="auto" w:fill="FFFFFF"/>
        </w:rPr>
        <w:t>A</w:t>
      </w:r>
      <w:r>
        <w:rPr>
          <w:sz w:val="23"/>
          <w:szCs w:val="23"/>
          <w:shd w:val="clear" w:color="auto" w:fill="FFFFFF"/>
          <w:lang w:val="en-US"/>
        </w:rPr>
        <w:t>gung</w:t>
      </w:r>
      <w:r w:rsidRPr="002479A1">
        <w:rPr>
          <w:sz w:val="23"/>
          <w:szCs w:val="23"/>
          <w:shd w:val="clear" w:color="auto" w:fill="FFFFFF"/>
        </w:rPr>
        <w:t xml:space="preserve"> selama ini merasa dicampuri dengan tindakan K</w:t>
      </w:r>
      <w:r>
        <w:rPr>
          <w:sz w:val="23"/>
          <w:szCs w:val="23"/>
          <w:shd w:val="clear" w:color="auto" w:fill="FFFFFF"/>
          <w:lang w:val="en-US"/>
        </w:rPr>
        <w:t xml:space="preserve">omisi </w:t>
      </w:r>
      <w:r w:rsidRPr="002479A1">
        <w:rPr>
          <w:sz w:val="23"/>
          <w:szCs w:val="23"/>
          <w:shd w:val="clear" w:color="auto" w:fill="FFFFFF"/>
        </w:rPr>
        <w:t>Y</w:t>
      </w:r>
      <w:r>
        <w:rPr>
          <w:sz w:val="23"/>
          <w:szCs w:val="23"/>
          <w:shd w:val="clear" w:color="auto" w:fill="FFFFFF"/>
          <w:lang w:val="en-US"/>
        </w:rPr>
        <w:t>udisial</w:t>
      </w:r>
      <w:r w:rsidRPr="002479A1">
        <w:rPr>
          <w:sz w:val="23"/>
          <w:szCs w:val="23"/>
          <w:shd w:val="clear" w:color="auto" w:fill="FFFFFF"/>
        </w:rPr>
        <w:t xml:space="preserve"> Padahal, semestinya harus sering duduk bersama dan membahas evaluasi bersama-sama termasuk dalam merekrut hakim</w:t>
      </w:r>
      <w:r>
        <w:rPr>
          <w:sz w:val="23"/>
          <w:szCs w:val="23"/>
          <w:shd w:val="clear" w:color="auto" w:fill="FFFFFF"/>
          <w:lang w:val="en-US"/>
        </w:rPr>
        <w:t>.</w:t>
      </w:r>
      <w:r w:rsidRPr="002479A1">
        <w:rPr>
          <w:rStyle w:val="FootnoteReference"/>
          <w:sz w:val="23"/>
          <w:szCs w:val="23"/>
          <w:shd w:val="clear" w:color="auto" w:fill="FFFFFF"/>
        </w:rPr>
        <w:footnoteReference w:id="38"/>
      </w:r>
    </w:p>
    <w:p w:rsidR="009629A9" w:rsidRDefault="009629A9" w:rsidP="009629A9">
      <w:pPr>
        <w:spacing w:line="276" w:lineRule="auto"/>
        <w:rPr>
          <w:b/>
          <w:sz w:val="28"/>
          <w:szCs w:val="28"/>
          <w:lang w:val="en-US"/>
        </w:rPr>
      </w:pPr>
    </w:p>
    <w:p w:rsidR="008922F5" w:rsidRDefault="009629A9" w:rsidP="009629A9">
      <w:pPr>
        <w:spacing w:line="276" w:lineRule="auto"/>
        <w:rPr>
          <w:b/>
          <w:sz w:val="28"/>
          <w:szCs w:val="28"/>
          <w:lang w:val="en-US"/>
        </w:rPr>
      </w:pPr>
      <w:r>
        <w:rPr>
          <w:b/>
          <w:sz w:val="28"/>
          <w:szCs w:val="28"/>
          <w:lang w:val="en-US"/>
        </w:rPr>
        <w:t>KESIMPULAN DAN SARAN</w:t>
      </w:r>
    </w:p>
    <w:p w:rsidR="009629A9" w:rsidRPr="009629A9" w:rsidRDefault="009629A9" w:rsidP="009629A9">
      <w:pPr>
        <w:spacing w:line="276" w:lineRule="auto"/>
        <w:rPr>
          <w:b/>
          <w:sz w:val="28"/>
          <w:szCs w:val="28"/>
          <w:lang w:val="en-US"/>
        </w:rPr>
      </w:pPr>
    </w:p>
    <w:p w:rsidR="008922F5" w:rsidRDefault="008922F5" w:rsidP="009629A9">
      <w:pPr>
        <w:pStyle w:val="ListParagraph"/>
        <w:numPr>
          <w:ilvl w:val="0"/>
          <w:numId w:val="98"/>
        </w:numPr>
        <w:spacing w:after="200" w:line="276" w:lineRule="auto"/>
        <w:rPr>
          <w:b/>
        </w:rPr>
      </w:pPr>
      <w:r>
        <w:rPr>
          <w:b/>
        </w:rPr>
        <w:t>Kesimpulan</w:t>
      </w:r>
    </w:p>
    <w:p w:rsidR="008922F5" w:rsidRDefault="008922F5" w:rsidP="009629A9">
      <w:pPr>
        <w:spacing w:after="200" w:line="276" w:lineRule="auto"/>
        <w:ind w:firstLine="720"/>
        <w:jc w:val="both"/>
      </w:pPr>
      <w:r>
        <w:t xml:space="preserve">Berdasarkan analisis </w:t>
      </w:r>
      <w:r w:rsidR="009629A9">
        <w:rPr>
          <w:lang w:val="en-US"/>
        </w:rPr>
        <w:t>hasil penelitian dan pembahasan,</w:t>
      </w:r>
      <w:r>
        <w:t xml:space="preserve"> maka </w:t>
      </w:r>
      <w:r w:rsidR="009629A9">
        <w:rPr>
          <w:lang w:val="en-US"/>
        </w:rPr>
        <w:t xml:space="preserve">penulis </w:t>
      </w:r>
      <w:r>
        <w:t xml:space="preserve">dapat disimpulkan hal-hal sebagai berikut: </w:t>
      </w:r>
    </w:p>
    <w:p w:rsidR="009629A9" w:rsidRPr="009629A9" w:rsidRDefault="009629A9" w:rsidP="009629A9">
      <w:pPr>
        <w:pStyle w:val="ListParagraph"/>
        <w:numPr>
          <w:ilvl w:val="0"/>
          <w:numId w:val="104"/>
        </w:numPr>
        <w:spacing w:after="200" w:line="276" w:lineRule="auto"/>
        <w:jc w:val="both"/>
      </w:pPr>
      <w:r>
        <w:t>Komisi Yudisial adalah lembaga negara yang kewenangannya diberikan langsung oleh Konstitusi (</w:t>
      </w:r>
      <w:r w:rsidRPr="00AC78B6">
        <w:rPr>
          <w:i/>
        </w:rPr>
        <w:t>constitutionally based power</w:t>
      </w:r>
      <w:r>
        <w:t>)</w:t>
      </w:r>
      <w:r>
        <w:rPr>
          <w:lang w:val="en-US"/>
        </w:rPr>
        <w:t xml:space="preserve"> dan </w:t>
      </w:r>
      <w:r w:rsidR="008922F5" w:rsidRPr="009629A9">
        <w:rPr>
          <w:bCs/>
          <w:lang w:val="en-US"/>
        </w:rPr>
        <w:t>Tugas Pengawasan Komisi Yudisial relatif mendapat penguatan melalui Undang-Undang Nomor 18 Tahun 2011 tentang perubahan atas Undang-Undang Nomor 22 Tahun 2004 tentang Komisi Yudisial. Melalui undang-undang tersebut, terkait fungsi pengawasan hakim Komisi Yudisial diberi wewenang untuk melakukan pemanggilan paksa terhadap saksi.</w:t>
      </w:r>
      <w:r>
        <w:rPr>
          <w:bCs/>
          <w:lang w:val="en-US"/>
        </w:rPr>
        <w:t xml:space="preserve"> Serta </w:t>
      </w:r>
      <w:r>
        <w:rPr>
          <w:lang w:val="en-US"/>
        </w:rPr>
        <w:t>r</w:t>
      </w:r>
      <w:r w:rsidR="008922F5">
        <w:t>uang lingkup pengawasan perilaku hakim telah diatur secara tegas dan rinci, mengenai prosedur pengawasan, subyek dan obyek yang diawasi serta instrumen yang digunakan sebagai standar pengawasan yang didasarkan pada Kode Etik dan Pedoman Perilaku Hakim.</w:t>
      </w:r>
      <w:r>
        <w:rPr>
          <w:lang w:val="en-US"/>
        </w:rPr>
        <w:t xml:space="preserve"> </w:t>
      </w:r>
      <w:r w:rsidR="008922F5">
        <w:t>Salah satu wewenang strategis K</w:t>
      </w:r>
      <w:r w:rsidR="008922F5" w:rsidRPr="009629A9">
        <w:rPr>
          <w:lang w:val="en-US"/>
        </w:rPr>
        <w:t xml:space="preserve">omisi </w:t>
      </w:r>
      <w:r w:rsidR="008922F5">
        <w:t>Y</w:t>
      </w:r>
      <w:r w:rsidR="008922F5" w:rsidRPr="009629A9">
        <w:rPr>
          <w:lang w:val="en-US"/>
        </w:rPr>
        <w:t>udisial</w:t>
      </w:r>
      <w:r w:rsidR="008922F5">
        <w:t xml:space="preserve"> dapat menganalisis putusan pengadilan yang telah mempunyai kekuatan </w:t>
      </w:r>
      <w:r w:rsidR="008922F5">
        <w:lastRenderedPageBreak/>
        <w:t>hukum tetap sebagai dasar untuk melakukan mutasi hakim, baik dalam bentuk promosi maupun demosi hakim, sebab putusan hakim merupakan wujud paling kongret dari kinerja profesionalisme hakim.</w:t>
      </w:r>
    </w:p>
    <w:p w:rsidR="009629A9" w:rsidRPr="009629A9" w:rsidRDefault="008922F5" w:rsidP="009629A9">
      <w:pPr>
        <w:pStyle w:val="ListParagraph"/>
        <w:numPr>
          <w:ilvl w:val="0"/>
          <w:numId w:val="104"/>
        </w:numPr>
        <w:spacing w:after="200" w:line="276" w:lineRule="auto"/>
        <w:jc w:val="both"/>
      </w:pPr>
      <w:r w:rsidRPr="009629A9">
        <w:rPr>
          <w:lang w:val="en-US"/>
        </w:rPr>
        <w:t xml:space="preserve">Sanksi yang </w:t>
      </w:r>
      <w:r w:rsidR="009629A9">
        <w:rPr>
          <w:lang w:val="en-US"/>
        </w:rPr>
        <w:t>diberikan Komisi Yudisial</w:t>
      </w:r>
      <w:r w:rsidRPr="009629A9">
        <w:rPr>
          <w:lang w:val="en-US"/>
        </w:rPr>
        <w:t xml:space="preserve"> hanya sebatas rekomendasi. Komisi Yudisial tidak diberikan wewenang untuk memberikan sanksi yang bersifat final dan mengikat, sehingga Mahkamah Agung yang dapat menindaklanjuti rekomendasi tersebut</w:t>
      </w:r>
      <w:r w:rsidR="009629A9">
        <w:rPr>
          <w:lang w:val="en-US"/>
        </w:rPr>
        <w:t xml:space="preserve">. </w:t>
      </w:r>
      <w:r w:rsidRPr="009629A9">
        <w:rPr>
          <w:lang w:val="en-US"/>
        </w:rPr>
        <w:t>Usulan penjatuhan sanksi tersebut berlaku secara otomatis dan wajib dilaksanakan oleh Mahkamah Agung, dengan syarat, pertama jika tidak terjadi perbedaan pendapat antara Komisi Yudisial dan Mahkamah Agung mengenai usulan</w:t>
      </w:r>
      <w:r w:rsidR="009629A9">
        <w:rPr>
          <w:lang w:val="en-US"/>
        </w:rPr>
        <w:t xml:space="preserve"> </w:t>
      </w:r>
      <w:r w:rsidRPr="009629A9">
        <w:rPr>
          <w:lang w:val="en-US"/>
        </w:rPr>
        <w:t>sanksi tersebut.</w:t>
      </w:r>
      <w:r w:rsidR="009629A9">
        <w:rPr>
          <w:sz w:val="23"/>
          <w:szCs w:val="23"/>
          <w:shd w:val="clear" w:color="auto" w:fill="FFFFFF"/>
          <w:lang w:val="en-US"/>
        </w:rPr>
        <w:t xml:space="preserve"> Jadi </w:t>
      </w:r>
      <w:r w:rsidR="009629A9" w:rsidRPr="002479A1">
        <w:rPr>
          <w:sz w:val="23"/>
          <w:szCs w:val="23"/>
          <w:shd w:val="clear" w:color="auto" w:fill="FFFFFF"/>
        </w:rPr>
        <w:t>K</w:t>
      </w:r>
      <w:r w:rsidR="009629A9">
        <w:rPr>
          <w:sz w:val="23"/>
          <w:szCs w:val="23"/>
          <w:shd w:val="clear" w:color="auto" w:fill="FFFFFF"/>
          <w:lang w:val="en-US"/>
        </w:rPr>
        <w:t xml:space="preserve">omisi </w:t>
      </w:r>
      <w:r w:rsidR="009629A9" w:rsidRPr="002479A1">
        <w:rPr>
          <w:sz w:val="23"/>
          <w:szCs w:val="23"/>
          <w:shd w:val="clear" w:color="auto" w:fill="FFFFFF"/>
        </w:rPr>
        <w:t>Y</w:t>
      </w:r>
      <w:r w:rsidR="009629A9">
        <w:rPr>
          <w:sz w:val="23"/>
          <w:szCs w:val="23"/>
          <w:shd w:val="clear" w:color="auto" w:fill="FFFFFF"/>
          <w:lang w:val="en-US"/>
        </w:rPr>
        <w:t>udisial</w:t>
      </w:r>
      <w:r w:rsidR="009629A9">
        <w:rPr>
          <w:sz w:val="23"/>
          <w:szCs w:val="23"/>
          <w:shd w:val="clear" w:color="auto" w:fill="FFFFFF"/>
        </w:rPr>
        <w:t xml:space="preserve"> adalah mitra</w:t>
      </w:r>
      <w:r w:rsidR="009629A9">
        <w:rPr>
          <w:sz w:val="23"/>
          <w:szCs w:val="23"/>
          <w:shd w:val="clear" w:color="auto" w:fill="FFFFFF"/>
          <w:lang w:val="en-US"/>
        </w:rPr>
        <w:t xml:space="preserve"> Mahkamah Agung dalam </w:t>
      </w:r>
      <w:r w:rsidR="009629A9" w:rsidRPr="002479A1">
        <w:rPr>
          <w:sz w:val="23"/>
          <w:szCs w:val="23"/>
          <w:shd w:val="clear" w:color="auto" w:fill="FFFFFF"/>
        </w:rPr>
        <w:t>menjaga kehormatan hakim</w:t>
      </w:r>
      <w:r w:rsidR="009629A9" w:rsidRPr="002479A1">
        <w:rPr>
          <w:sz w:val="23"/>
          <w:szCs w:val="23"/>
          <w:shd w:val="clear" w:color="auto" w:fill="FFFFFF"/>
          <w:lang w:val="en-US"/>
        </w:rPr>
        <w:t>,</w:t>
      </w:r>
      <w:r w:rsidR="009629A9" w:rsidRPr="002479A1">
        <w:rPr>
          <w:sz w:val="23"/>
          <w:szCs w:val="23"/>
          <w:shd w:val="clear" w:color="auto" w:fill="FFFFFF"/>
        </w:rPr>
        <w:t xml:space="preserve"> semestinya harus sering duduk bersama dan membahas evaluasi bersama-sama</w:t>
      </w:r>
      <w:r w:rsidR="009629A9">
        <w:rPr>
          <w:sz w:val="23"/>
          <w:szCs w:val="23"/>
          <w:shd w:val="clear" w:color="auto" w:fill="FFFFFF"/>
          <w:lang w:val="en-US"/>
        </w:rPr>
        <w:t>.</w:t>
      </w:r>
    </w:p>
    <w:p w:rsidR="009629A9" w:rsidRPr="009629A9" w:rsidRDefault="009629A9" w:rsidP="009629A9">
      <w:pPr>
        <w:pStyle w:val="ListParagraph"/>
        <w:spacing w:after="200" w:line="276" w:lineRule="auto"/>
        <w:ind w:left="1080"/>
        <w:jc w:val="both"/>
        <w:rPr>
          <w:lang w:val="en-US"/>
        </w:rPr>
      </w:pPr>
    </w:p>
    <w:p w:rsidR="008922F5" w:rsidRDefault="009629A9" w:rsidP="009629A9">
      <w:pPr>
        <w:pStyle w:val="ListParagraph"/>
        <w:numPr>
          <w:ilvl w:val="0"/>
          <w:numId w:val="98"/>
        </w:numPr>
        <w:spacing w:line="276" w:lineRule="auto"/>
        <w:rPr>
          <w:b/>
        </w:rPr>
      </w:pPr>
      <w:r>
        <w:rPr>
          <w:b/>
        </w:rPr>
        <w:t>Saran</w:t>
      </w:r>
    </w:p>
    <w:p w:rsidR="008922F5" w:rsidRDefault="008922F5" w:rsidP="009629A9">
      <w:pPr>
        <w:spacing w:line="276" w:lineRule="auto"/>
        <w:ind w:left="360" w:firstLine="720"/>
        <w:jc w:val="both"/>
      </w:pPr>
      <w:r>
        <w:t>Sebagai rangkaian akhir dari penulisan ini, maka diajukan beberapa saran</w:t>
      </w:r>
      <w:r>
        <w:rPr>
          <w:lang w:val="en-US"/>
        </w:rPr>
        <w:t xml:space="preserve"> </w:t>
      </w:r>
      <w:r>
        <w:t xml:space="preserve">yang dapat dijadikan sebagai konstribusi, yaitu meliputi: </w:t>
      </w:r>
    </w:p>
    <w:p w:rsidR="008922F5" w:rsidRDefault="008922F5" w:rsidP="009629A9">
      <w:pPr>
        <w:pStyle w:val="ListParagraph"/>
        <w:numPr>
          <w:ilvl w:val="0"/>
          <w:numId w:val="101"/>
        </w:numPr>
        <w:spacing w:after="200" w:line="276" w:lineRule="auto"/>
        <w:jc w:val="both"/>
        <w:rPr>
          <w:lang w:val="en-US"/>
        </w:rPr>
      </w:pPr>
      <w:r>
        <w:rPr>
          <w:lang w:val="en-US"/>
        </w:rPr>
        <w:t>P</w:t>
      </w:r>
      <w:r>
        <w:t>enguatan peran dan fungsi K</w:t>
      </w:r>
      <w:r w:rsidRPr="008C12EE">
        <w:rPr>
          <w:lang w:val="en-US"/>
        </w:rPr>
        <w:t xml:space="preserve">omisi </w:t>
      </w:r>
      <w:r>
        <w:t>Y</w:t>
      </w:r>
      <w:r w:rsidRPr="008C12EE">
        <w:rPr>
          <w:lang w:val="en-US"/>
        </w:rPr>
        <w:t>udisial</w:t>
      </w:r>
      <w:r>
        <w:t xml:space="preserve"> tidak sebanding dengan luasnya jangkauan pemantauan peradilan dan banyaknya jumlah hakim di seluruh Indonesia serta lemahnya sarana dan prasarana yang dimiliki oleh K</w:t>
      </w:r>
      <w:r w:rsidRPr="008C12EE">
        <w:rPr>
          <w:lang w:val="en-US"/>
        </w:rPr>
        <w:t xml:space="preserve">omisi </w:t>
      </w:r>
      <w:r>
        <w:t>Y</w:t>
      </w:r>
      <w:r w:rsidRPr="008C12EE">
        <w:rPr>
          <w:lang w:val="en-US"/>
        </w:rPr>
        <w:t>udisal</w:t>
      </w:r>
      <w:r>
        <w:t>. Oleh karena itu, perlu dilakukan penguatan peran dan fungsi Penghubung K</w:t>
      </w:r>
      <w:r w:rsidRPr="008C12EE">
        <w:rPr>
          <w:lang w:val="en-US"/>
        </w:rPr>
        <w:t xml:space="preserve">omisi </w:t>
      </w:r>
      <w:r>
        <w:t>Y</w:t>
      </w:r>
      <w:r w:rsidRPr="008C12EE">
        <w:rPr>
          <w:lang w:val="en-US"/>
        </w:rPr>
        <w:t>udisial</w:t>
      </w:r>
      <w:r>
        <w:t xml:space="preserve"> di </w:t>
      </w:r>
      <w:r>
        <w:rPr>
          <w:lang w:val="en-US"/>
        </w:rPr>
        <w:t>d</w:t>
      </w:r>
      <w:r>
        <w:t>aerah, sebagai unit pembantu pelaksana tugas di daerah yang dibentuk oleh K</w:t>
      </w:r>
      <w:r w:rsidRPr="008C12EE">
        <w:rPr>
          <w:lang w:val="en-US"/>
        </w:rPr>
        <w:t xml:space="preserve">omisi </w:t>
      </w:r>
      <w:r>
        <w:t>Y</w:t>
      </w:r>
      <w:r w:rsidRPr="008C12EE">
        <w:rPr>
          <w:lang w:val="en-US"/>
        </w:rPr>
        <w:t>udisial</w:t>
      </w:r>
      <w:r>
        <w:rPr>
          <w:lang w:val="en-US"/>
        </w:rPr>
        <w:t>.</w:t>
      </w:r>
    </w:p>
    <w:p w:rsidR="008922F5" w:rsidRDefault="008922F5" w:rsidP="009629A9">
      <w:pPr>
        <w:pStyle w:val="ListParagraph"/>
        <w:numPr>
          <w:ilvl w:val="0"/>
          <w:numId w:val="101"/>
        </w:numPr>
        <w:spacing w:after="200" w:line="276" w:lineRule="auto"/>
        <w:jc w:val="both"/>
      </w:pPr>
      <w:r w:rsidRPr="00D31C57">
        <w:rPr>
          <w:lang w:val="en-US"/>
        </w:rPr>
        <w:t>Mahkam</w:t>
      </w:r>
      <w:r w:rsidR="009629A9">
        <w:rPr>
          <w:lang w:val="en-US"/>
        </w:rPr>
        <w:t>ah Agung dan Komisi Yudisial</w:t>
      </w:r>
      <w:r w:rsidRPr="00D31C57">
        <w:rPr>
          <w:lang w:val="en-US"/>
        </w:rPr>
        <w:t xml:space="preserve"> harus bekerja sama dalam mengawasi hakim sebagai mitra dalam mewujudkan peradilan bersih. </w:t>
      </w:r>
      <w:r w:rsidRPr="00D31C57">
        <w:rPr>
          <w:sz w:val="23"/>
          <w:szCs w:val="23"/>
          <w:shd w:val="clear" w:color="auto" w:fill="FFFFFF"/>
        </w:rPr>
        <w:t>M</w:t>
      </w:r>
      <w:r w:rsidRPr="00D31C57">
        <w:rPr>
          <w:sz w:val="23"/>
          <w:szCs w:val="23"/>
          <w:shd w:val="clear" w:color="auto" w:fill="FFFFFF"/>
          <w:lang w:val="en-US"/>
        </w:rPr>
        <w:t xml:space="preserve">ahkamah </w:t>
      </w:r>
      <w:r w:rsidRPr="00D31C57">
        <w:rPr>
          <w:sz w:val="23"/>
          <w:szCs w:val="23"/>
          <w:shd w:val="clear" w:color="auto" w:fill="FFFFFF"/>
        </w:rPr>
        <w:t>A</w:t>
      </w:r>
      <w:r w:rsidRPr="00D31C57">
        <w:rPr>
          <w:sz w:val="23"/>
          <w:szCs w:val="23"/>
          <w:shd w:val="clear" w:color="auto" w:fill="FFFFFF"/>
          <w:lang w:val="en-US"/>
        </w:rPr>
        <w:t>gung</w:t>
      </w:r>
      <w:r w:rsidR="009629A9">
        <w:rPr>
          <w:sz w:val="23"/>
          <w:szCs w:val="23"/>
          <w:shd w:val="clear" w:color="auto" w:fill="FFFFFF"/>
        </w:rPr>
        <w:t xml:space="preserve"> </w:t>
      </w:r>
      <w:r w:rsidRPr="00D31C57">
        <w:rPr>
          <w:sz w:val="23"/>
          <w:szCs w:val="23"/>
          <w:shd w:val="clear" w:color="auto" w:fill="FFFFFF"/>
        </w:rPr>
        <w:t xml:space="preserve"> harus</w:t>
      </w:r>
      <w:r w:rsidR="009629A9">
        <w:rPr>
          <w:sz w:val="23"/>
          <w:szCs w:val="23"/>
          <w:shd w:val="clear" w:color="auto" w:fill="FFFFFF"/>
          <w:lang w:val="en-US"/>
        </w:rPr>
        <w:t xml:space="preserve"> selalu siap</w:t>
      </w:r>
      <w:r w:rsidRPr="00D31C57">
        <w:rPr>
          <w:sz w:val="23"/>
          <w:szCs w:val="23"/>
          <w:shd w:val="clear" w:color="auto" w:fill="FFFFFF"/>
        </w:rPr>
        <w:t xml:space="preserve"> introspeksi</w:t>
      </w:r>
      <w:r w:rsidR="009629A9">
        <w:rPr>
          <w:sz w:val="23"/>
          <w:szCs w:val="23"/>
          <w:shd w:val="clear" w:color="auto" w:fill="FFFFFF"/>
          <w:lang w:val="en-US"/>
        </w:rPr>
        <w:t xml:space="preserve"> dan terbuka</w:t>
      </w:r>
      <w:r w:rsidRPr="00D31C57">
        <w:rPr>
          <w:sz w:val="23"/>
          <w:szCs w:val="23"/>
          <w:shd w:val="clear" w:color="auto" w:fill="FFFFFF"/>
        </w:rPr>
        <w:t xml:space="preserve"> karena K</w:t>
      </w:r>
      <w:r w:rsidRPr="00D31C57">
        <w:rPr>
          <w:sz w:val="23"/>
          <w:szCs w:val="23"/>
          <w:shd w:val="clear" w:color="auto" w:fill="FFFFFF"/>
          <w:lang w:val="en-US"/>
        </w:rPr>
        <w:t xml:space="preserve">omisi </w:t>
      </w:r>
      <w:r w:rsidRPr="00D31C57">
        <w:rPr>
          <w:sz w:val="23"/>
          <w:szCs w:val="23"/>
          <w:shd w:val="clear" w:color="auto" w:fill="FFFFFF"/>
        </w:rPr>
        <w:t>Y</w:t>
      </w:r>
      <w:r w:rsidRPr="00D31C57">
        <w:rPr>
          <w:sz w:val="23"/>
          <w:szCs w:val="23"/>
          <w:shd w:val="clear" w:color="auto" w:fill="FFFFFF"/>
          <w:lang w:val="en-US"/>
        </w:rPr>
        <w:t>udisial</w:t>
      </w:r>
      <w:r w:rsidRPr="00D31C57">
        <w:rPr>
          <w:sz w:val="23"/>
          <w:szCs w:val="23"/>
          <w:shd w:val="clear" w:color="auto" w:fill="FFFFFF"/>
        </w:rPr>
        <w:t xml:space="preserve"> adalah mitra </w:t>
      </w:r>
      <w:r w:rsidRPr="00D31C57">
        <w:rPr>
          <w:sz w:val="23"/>
          <w:szCs w:val="23"/>
          <w:shd w:val="clear" w:color="auto" w:fill="FFFFFF"/>
          <w:lang w:val="en-US"/>
        </w:rPr>
        <w:t xml:space="preserve">dalam </w:t>
      </w:r>
      <w:r w:rsidRPr="00D31C57">
        <w:rPr>
          <w:sz w:val="23"/>
          <w:szCs w:val="23"/>
          <w:shd w:val="clear" w:color="auto" w:fill="FFFFFF"/>
        </w:rPr>
        <w:t>menjaga kehormatan hakim, semestinya harus sering duduk bersama dan membahas evaluasi bersama-sama termasuk dalam merekrut hakim</w:t>
      </w:r>
      <w:r w:rsidRPr="00D31C57">
        <w:rPr>
          <w:lang w:val="en-US"/>
        </w:rPr>
        <w:t>.</w:t>
      </w:r>
    </w:p>
    <w:p w:rsidR="008922F5" w:rsidRDefault="008922F5" w:rsidP="009629A9">
      <w:pPr>
        <w:spacing w:line="276" w:lineRule="auto"/>
        <w:ind w:left="1800" w:hanging="1080"/>
        <w:jc w:val="both"/>
        <w:rPr>
          <w:lang w:val="en-US"/>
        </w:rPr>
      </w:pPr>
    </w:p>
    <w:p w:rsidR="008922F5" w:rsidRPr="005F5211" w:rsidRDefault="008922F5" w:rsidP="009629A9">
      <w:pPr>
        <w:pStyle w:val="FootnoteText"/>
        <w:spacing w:line="276" w:lineRule="auto"/>
        <w:rPr>
          <w:b/>
          <w:sz w:val="24"/>
          <w:szCs w:val="24"/>
          <w:lang w:val="fi-FI"/>
        </w:rPr>
      </w:pPr>
      <w:r w:rsidRPr="005F5211">
        <w:rPr>
          <w:b/>
          <w:sz w:val="24"/>
          <w:szCs w:val="24"/>
          <w:lang w:val="fi-FI"/>
        </w:rPr>
        <w:t>DAFTAR PUSTAKA</w:t>
      </w:r>
    </w:p>
    <w:p w:rsidR="008922F5" w:rsidRPr="005F5211" w:rsidRDefault="008922F5" w:rsidP="009629A9">
      <w:pPr>
        <w:pStyle w:val="FootnoteText"/>
        <w:spacing w:line="276" w:lineRule="auto"/>
        <w:jc w:val="both"/>
        <w:rPr>
          <w:sz w:val="24"/>
          <w:szCs w:val="24"/>
          <w:lang w:val="fi-FI"/>
        </w:rPr>
      </w:pPr>
    </w:p>
    <w:p w:rsidR="008922F5" w:rsidRPr="005F5211" w:rsidRDefault="008922F5" w:rsidP="009629A9">
      <w:pPr>
        <w:pStyle w:val="FootnoteText"/>
        <w:spacing w:line="276" w:lineRule="auto"/>
        <w:jc w:val="both"/>
        <w:rPr>
          <w:b/>
          <w:sz w:val="24"/>
          <w:szCs w:val="24"/>
          <w:lang w:val="sv-SE"/>
        </w:rPr>
      </w:pPr>
      <w:r w:rsidRPr="005F5211">
        <w:rPr>
          <w:b/>
          <w:sz w:val="24"/>
          <w:szCs w:val="24"/>
          <w:lang w:val="sv-SE"/>
        </w:rPr>
        <w:t>Buku</w:t>
      </w:r>
      <w:r w:rsidR="009629A9">
        <w:rPr>
          <w:b/>
          <w:sz w:val="24"/>
          <w:szCs w:val="24"/>
          <w:lang w:val="sv-SE"/>
        </w:rPr>
        <w:t>-buku</w:t>
      </w:r>
      <w:r w:rsidRPr="005F5211">
        <w:rPr>
          <w:b/>
          <w:sz w:val="24"/>
          <w:szCs w:val="24"/>
          <w:lang w:val="sv-SE"/>
        </w:rPr>
        <w:t xml:space="preserve"> :</w:t>
      </w:r>
    </w:p>
    <w:p w:rsidR="008922F5" w:rsidRPr="005F5211" w:rsidRDefault="008922F5" w:rsidP="009629A9">
      <w:pPr>
        <w:pStyle w:val="FootnoteText"/>
        <w:spacing w:line="276" w:lineRule="auto"/>
        <w:ind w:left="360"/>
        <w:jc w:val="both"/>
        <w:rPr>
          <w:b/>
          <w:sz w:val="24"/>
          <w:szCs w:val="24"/>
          <w:lang w:val="sv-SE"/>
        </w:rPr>
      </w:pPr>
    </w:p>
    <w:p w:rsidR="008922F5" w:rsidRPr="005F5211" w:rsidRDefault="008922F5" w:rsidP="009629A9">
      <w:pPr>
        <w:pStyle w:val="FootnoteText"/>
        <w:spacing w:line="276" w:lineRule="auto"/>
        <w:ind w:left="1260" w:hanging="1260"/>
        <w:jc w:val="both"/>
        <w:rPr>
          <w:sz w:val="24"/>
          <w:szCs w:val="24"/>
          <w:lang w:val="en-US"/>
        </w:rPr>
      </w:pPr>
      <w:r w:rsidRPr="005F5211">
        <w:rPr>
          <w:sz w:val="24"/>
          <w:szCs w:val="24"/>
          <w:lang w:val="sv-SE"/>
        </w:rPr>
        <w:t xml:space="preserve">Jimly Asshiddiqie, </w:t>
      </w:r>
      <w:r w:rsidRPr="005F5211">
        <w:rPr>
          <w:i/>
          <w:sz w:val="24"/>
          <w:szCs w:val="24"/>
        </w:rPr>
        <w:t>Perkembangan dan Konsolidasi Lembaga Negara Pasca Reformasi</w:t>
      </w:r>
      <w:r w:rsidRPr="005F5211">
        <w:rPr>
          <w:sz w:val="24"/>
          <w:szCs w:val="24"/>
        </w:rPr>
        <w:t>. Jakarta: Sekretariat Jendral dan Kepaniteraan MK RI. 2006.</w:t>
      </w:r>
    </w:p>
    <w:p w:rsidR="008922F5" w:rsidRPr="005F5211" w:rsidRDefault="008922F5" w:rsidP="009629A9">
      <w:pPr>
        <w:pStyle w:val="FootnoteText"/>
        <w:spacing w:line="276" w:lineRule="auto"/>
        <w:ind w:left="1260" w:hanging="1260"/>
        <w:jc w:val="both"/>
        <w:rPr>
          <w:i/>
          <w:sz w:val="24"/>
          <w:szCs w:val="24"/>
        </w:rPr>
      </w:pPr>
      <w:r w:rsidRPr="005F5211">
        <w:rPr>
          <w:sz w:val="24"/>
          <w:szCs w:val="24"/>
        </w:rPr>
        <w:t xml:space="preserve"> </w:t>
      </w:r>
    </w:p>
    <w:p w:rsidR="008922F5" w:rsidRPr="005F5211" w:rsidRDefault="008922F5" w:rsidP="009629A9">
      <w:pPr>
        <w:spacing w:line="276" w:lineRule="auto"/>
        <w:ind w:left="1260" w:hanging="1260"/>
        <w:jc w:val="both"/>
        <w:rPr>
          <w:lang w:val="sv-SE"/>
        </w:rPr>
      </w:pPr>
      <w:r w:rsidRPr="005F5211">
        <w:t xml:space="preserve">Titik Triwulan Tutik, </w:t>
      </w:r>
      <w:r w:rsidRPr="005F5211">
        <w:rPr>
          <w:i/>
        </w:rPr>
        <w:t>Eksistensi, Kedudukan dan Wewenang Komisi Yudisial</w:t>
      </w:r>
      <w:r w:rsidRPr="005F5211">
        <w:t xml:space="preserve">. Jakarta: Prestasi Pustaka. </w:t>
      </w:r>
      <w:r w:rsidRPr="005F5211">
        <w:rPr>
          <w:lang w:val="sv-SE"/>
        </w:rPr>
        <w:t xml:space="preserve">2007. </w:t>
      </w:r>
    </w:p>
    <w:p w:rsidR="008922F5" w:rsidRDefault="008922F5" w:rsidP="009629A9">
      <w:pPr>
        <w:spacing w:line="276" w:lineRule="auto"/>
        <w:jc w:val="both"/>
        <w:rPr>
          <w:lang w:val="en-US"/>
        </w:rPr>
      </w:pPr>
    </w:p>
    <w:p w:rsidR="008922F5" w:rsidRPr="005F5211" w:rsidRDefault="008922F5" w:rsidP="009629A9">
      <w:pPr>
        <w:pStyle w:val="FootnoteText"/>
        <w:spacing w:line="276" w:lineRule="auto"/>
        <w:jc w:val="both"/>
        <w:rPr>
          <w:b/>
          <w:sz w:val="24"/>
          <w:szCs w:val="24"/>
          <w:lang w:val="sv-SE"/>
        </w:rPr>
      </w:pPr>
      <w:r w:rsidRPr="005F5211">
        <w:rPr>
          <w:b/>
          <w:sz w:val="24"/>
          <w:szCs w:val="24"/>
          <w:lang w:val="sv-SE"/>
        </w:rPr>
        <w:t>Peraturan Perundang-Undangan :</w:t>
      </w:r>
    </w:p>
    <w:p w:rsidR="008922F5" w:rsidRPr="005F5211" w:rsidRDefault="008922F5" w:rsidP="009629A9">
      <w:pPr>
        <w:pStyle w:val="FootnoteText"/>
        <w:spacing w:line="276" w:lineRule="auto"/>
        <w:ind w:left="360"/>
        <w:jc w:val="both"/>
        <w:rPr>
          <w:b/>
          <w:sz w:val="24"/>
          <w:szCs w:val="24"/>
          <w:lang w:val="sv-SE"/>
        </w:rPr>
      </w:pPr>
    </w:p>
    <w:p w:rsidR="008922F5" w:rsidRPr="005F5211" w:rsidRDefault="008922F5" w:rsidP="009629A9">
      <w:pPr>
        <w:pStyle w:val="FootnoteText"/>
        <w:spacing w:line="276" w:lineRule="auto"/>
        <w:jc w:val="both"/>
        <w:rPr>
          <w:sz w:val="24"/>
          <w:szCs w:val="24"/>
          <w:lang w:val="sv-SE"/>
        </w:rPr>
      </w:pPr>
      <w:r w:rsidRPr="005F5211">
        <w:rPr>
          <w:sz w:val="24"/>
          <w:szCs w:val="24"/>
          <w:lang w:val="sv-SE"/>
        </w:rPr>
        <w:t>Undang-Undang Dasar Negara Republik Indonesia 1945 Pasca Amandemen.</w:t>
      </w:r>
    </w:p>
    <w:p w:rsidR="008922F5" w:rsidRDefault="008922F5" w:rsidP="009629A9">
      <w:pPr>
        <w:pStyle w:val="FootnoteText"/>
        <w:spacing w:line="276" w:lineRule="auto"/>
        <w:jc w:val="both"/>
        <w:rPr>
          <w:sz w:val="24"/>
          <w:szCs w:val="24"/>
          <w:lang w:val="en-US"/>
        </w:rPr>
      </w:pPr>
    </w:p>
    <w:p w:rsidR="008922F5" w:rsidRPr="005F5211" w:rsidRDefault="008922F5" w:rsidP="009629A9">
      <w:pPr>
        <w:pStyle w:val="FootnoteText"/>
        <w:spacing w:line="276" w:lineRule="auto"/>
        <w:ind w:left="1260" w:hanging="1260"/>
        <w:jc w:val="both"/>
        <w:rPr>
          <w:sz w:val="24"/>
          <w:szCs w:val="24"/>
          <w:lang w:val="en-US"/>
        </w:rPr>
      </w:pPr>
      <w:r w:rsidRPr="005F5211">
        <w:rPr>
          <w:sz w:val="24"/>
          <w:szCs w:val="24"/>
          <w:lang w:val="nb-NO"/>
        </w:rPr>
        <w:t>Undang-Undang Nomor 22 Tahun 2004 tentang Komisi Yudisial.</w:t>
      </w:r>
      <w:r w:rsidRPr="005F5211">
        <w:rPr>
          <w:sz w:val="24"/>
          <w:szCs w:val="24"/>
          <w:lang w:val="en-US"/>
        </w:rPr>
        <w:t xml:space="preserve"> (Lembaran Negara Republik Indonesia Tahun 2004 Nomor 89, Tambahan Lembaran Negara Republik Indonesia Nomor 4415).</w:t>
      </w:r>
    </w:p>
    <w:p w:rsidR="008922F5" w:rsidRPr="005F5211" w:rsidRDefault="008922F5" w:rsidP="009629A9">
      <w:pPr>
        <w:pStyle w:val="FootnoteText"/>
        <w:spacing w:line="276" w:lineRule="auto"/>
        <w:ind w:left="1260" w:hanging="1260"/>
        <w:jc w:val="both"/>
        <w:rPr>
          <w:sz w:val="24"/>
          <w:szCs w:val="24"/>
          <w:lang w:val="nb-NO"/>
        </w:rPr>
      </w:pPr>
    </w:p>
    <w:p w:rsidR="008922F5" w:rsidRPr="005F5211" w:rsidRDefault="008922F5" w:rsidP="009629A9">
      <w:pPr>
        <w:pStyle w:val="FootnoteText"/>
        <w:spacing w:line="276" w:lineRule="auto"/>
        <w:ind w:left="1260" w:hanging="1260"/>
        <w:jc w:val="both"/>
        <w:rPr>
          <w:sz w:val="24"/>
          <w:szCs w:val="24"/>
          <w:lang w:val="fi-FI"/>
        </w:rPr>
      </w:pPr>
      <w:r w:rsidRPr="005F5211">
        <w:rPr>
          <w:sz w:val="24"/>
          <w:szCs w:val="24"/>
          <w:lang w:val="nb-NO"/>
        </w:rPr>
        <w:t xml:space="preserve">Undang-Undang Nomor </w:t>
      </w:r>
      <w:r w:rsidRPr="005F5211">
        <w:rPr>
          <w:sz w:val="24"/>
          <w:szCs w:val="24"/>
          <w:lang w:val="fi-FI"/>
        </w:rPr>
        <w:t xml:space="preserve">48 Tahun 2009 tentang Kekuasaan Kehakiman </w:t>
      </w:r>
      <w:r w:rsidRPr="005F5211">
        <w:rPr>
          <w:sz w:val="24"/>
          <w:szCs w:val="24"/>
          <w:lang w:val="en-US"/>
        </w:rPr>
        <w:t>(Lembaran Negara Republik Indonesia Tahun 2009 Nomor 157, Tambahan Lembaran Negara Republik Indonesia Nomor 5076)</w:t>
      </w:r>
      <w:r w:rsidRPr="005F5211">
        <w:rPr>
          <w:sz w:val="24"/>
          <w:szCs w:val="24"/>
        </w:rPr>
        <w:t>.</w:t>
      </w:r>
    </w:p>
    <w:p w:rsidR="008922F5" w:rsidRPr="005F5211" w:rsidRDefault="008922F5" w:rsidP="009629A9">
      <w:pPr>
        <w:pStyle w:val="FootnoteText"/>
        <w:spacing w:line="276" w:lineRule="auto"/>
        <w:jc w:val="both"/>
        <w:rPr>
          <w:sz w:val="24"/>
          <w:szCs w:val="24"/>
          <w:lang w:val="nb-NO"/>
        </w:rPr>
      </w:pPr>
    </w:p>
    <w:p w:rsidR="008922F5" w:rsidRPr="005F5211" w:rsidRDefault="008922F5" w:rsidP="009629A9">
      <w:pPr>
        <w:pStyle w:val="FootnoteText"/>
        <w:spacing w:line="276" w:lineRule="auto"/>
        <w:ind w:left="1260" w:hanging="1260"/>
        <w:jc w:val="both"/>
        <w:rPr>
          <w:sz w:val="24"/>
          <w:szCs w:val="24"/>
          <w:lang w:val="sv-SE"/>
        </w:rPr>
      </w:pPr>
      <w:r w:rsidRPr="005F5211">
        <w:rPr>
          <w:sz w:val="24"/>
          <w:szCs w:val="24"/>
          <w:lang w:val="nb-NO"/>
        </w:rPr>
        <w:t>Undang-Undang Nomor 18 Tahun 2011 tentang Perubahan atas Undang-Undang Nomor 22 Tahun 2004 tantang Komisi Yudisial</w:t>
      </w:r>
      <w:r w:rsidRPr="005F5211">
        <w:rPr>
          <w:sz w:val="24"/>
          <w:szCs w:val="24"/>
          <w:lang w:val="en-US"/>
        </w:rPr>
        <w:t>(Lembaran Negara Republik Indonesia Tahun 2011 Nomor 106, Tambahan Lembaran Negara Republik Indonesia Nomor 5250)</w:t>
      </w:r>
      <w:r w:rsidRPr="005F5211">
        <w:rPr>
          <w:sz w:val="24"/>
          <w:szCs w:val="24"/>
        </w:rPr>
        <w:t>.</w:t>
      </w:r>
    </w:p>
    <w:p w:rsidR="008922F5" w:rsidRPr="005F5211" w:rsidRDefault="008922F5" w:rsidP="009629A9">
      <w:pPr>
        <w:pStyle w:val="FootnoteText"/>
        <w:spacing w:line="276" w:lineRule="auto"/>
        <w:jc w:val="both"/>
        <w:rPr>
          <w:sz w:val="24"/>
          <w:szCs w:val="24"/>
          <w:lang w:val="nb-NO"/>
        </w:rPr>
      </w:pPr>
    </w:p>
    <w:p w:rsidR="008922F5" w:rsidRDefault="008922F5" w:rsidP="009629A9">
      <w:pPr>
        <w:pStyle w:val="FootnoteText"/>
        <w:spacing w:line="276" w:lineRule="auto"/>
        <w:ind w:left="1260" w:hanging="1260"/>
        <w:jc w:val="both"/>
        <w:rPr>
          <w:sz w:val="24"/>
          <w:szCs w:val="24"/>
          <w:lang w:val="nb-NO"/>
        </w:rPr>
      </w:pPr>
      <w:r w:rsidRPr="005F5211">
        <w:rPr>
          <w:sz w:val="24"/>
          <w:szCs w:val="24"/>
          <w:lang w:val="nb-NO"/>
        </w:rPr>
        <w:t>Putusan Mahkamah Konstitusi Republik Indonesia Nomor 005/PUU-IV/2006 tentang Uji Materil Undang-Undang Nomor 22 Tahun 2004 tentang Komisi Yudisial dan Undang-Undang Nomor 4 Tahun 2004 tentang Kekuasaan Kehakiman.</w:t>
      </w:r>
    </w:p>
    <w:p w:rsidR="008922F5" w:rsidRDefault="008922F5" w:rsidP="009629A9">
      <w:pPr>
        <w:pStyle w:val="FootnoteText"/>
        <w:spacing w:line="276" w:lineRule="auto"/>
        <w:ind w:left="1260" w:hanging="1260"/>
        <w:jc w:val="both"/>
        <w:rPr>
          <w:sz w:val="24"/>
          <w:szCs w:val="24"/>
          <w:lang w:val="nb-NO"/>
        </w:rPr>
      </w:pPr>
    </w:p>
    <w:p w:rsidR="008922F5" w:rsidRDefault="008922F5" w:rsidP="009629A9">
      <w:pPr>
        <w:pStyle w:val="FootnoteText"/>
        <w:spacing w:line="276" w:lineRule="auto"/>
        <w:ind w:left="1260" w:hanging="1260"/>
        <w:jc w:val="both"/>
        <w:rPr>
          <w:sz w:val="24"/>
          <w:szCs w:val="24"/>
          <w:lang w:val="nb-NO"/>
        </w:rPr>
      </w:pPr>
      <w:r>
        <w:rPr>
          <w:sz w:val="24"/>
          <w:szCs w:val="24"/>
          <w:lang w:val="nb-NO"/>
        </w:rPr>
        <w:t>Keputusan Bersama Ketua Mahkamah Agung Republik Indonesia dan Ketua Komisi Yudisial Republik Indonesia Nomor 047/KMA/SKB/IV/2009 - 02/SKB/P.KY/IV/2009 tentang Panduan Penegakan Kode Etik dan Pedoman Perilaku Hakim.</w:t>
      </w:r>
    </w:p>
    <w:p w:rsidR="008922F5" w:rsidRPr="005F5211" w:rsidRDefault="008922F5" w:rsidP="009629A9">
      <w:pPr>
        <w:pStyle w:val="FootnoteText"/>
        <w:spacing w:line="276" w:lineRule="auto"/>
        <w:ind w:left="1260" w:hanging="1260"/>
        <w:jc w:val="both"/>
        <w:rPr>
          <w:sz w:val="24"/>
          <w:szCs w:val="24"/>
          <w:lang w:val="nb-NO"/>
        </w:rPr>
      </w:pPr>
    </w:p>
    <w:p w:rsidR="008922F5" w:rsidRPr="005F5211" w:rsidRDefault="008922F5" w:rsidP="009629A9">
      <w:pPr>
        <w:pStyle w:val="FootnoteText"/>
        <w:spacing w:line="276" w:lineRule="auto"/>
        <w:ind w:left="1260" w:hanging="1260"/>
        <w:jc w:val="both"/>
        <w:rPr>
          <w:sz w:val="24"/>
          <w:szCs w:val="24"/>
          <w:lang w:val="en-US"/>
        </w:rPr>
      </w:pPr>
      <w:r w:rsidRPr="005F5211">
        <w:rPr>
          <w:sz w:val="24"/>
          <w:szCs w:val="24"/>
          <w:lang w:val="en-US"/>
        </w:rPr>
        <w:t>Peraturan Bersama Ketua Mahkamah Agung Republik Indonesia dan Ketua Komisi Yudisial Republik Indonesia Nomor : 02/PB/MA/IX/2012 – 02/PB/P.KY/09/2012 tentang Panduan Penegakan Kode Etik dan Pedoman Perilaku Hakim.</w:t>
      </w:r>
    </w:p>
    <w:p w:rsidR="008922F5" w:rsidRPr="005F5211" w:rsidRDefault="008922F5" w:rsidP="009629A9">
      <w:pPr>
        <w:pStyle w:val="FootnoteText"/>
        <w:spacing w:line="276" w:lineRule="auto"/>
        <w:jc w:val="both"/>
        <w:rPr>
          <w:sz w:val="24"/>
          <w:szCs w:val="24"/>
          <w:lang w:val="en-US"/>
        </w:rPr>
      </w:pPr>
    </w:p>
    <w:p w:rsidR="008922F5" w:rsidRPr="005F5211" w:rsidRDefault="008922F5" w:rsidP="009629A9">
      <w:pPr>
        <w:pStyle w:val="FootnoteText"/>
        <w:spacing w:line="276" w:lineRule="auto"/>
        <w:ind w:left="1260" w:hanging="1260"/>
        <w:jc w:val="both"/>
        <w:rPr>
          <w:sz w:val="24"/>
          <w:szCs w:val="24"/>
          <w:lang w:val="en-US"/>
        </w:rPr>
      </w:pPr>
      <w:r w:rsidRPr="005F5211">
        <w:rPr>
          <w:sz w:val="24"/>
          <w:szCs w:val="24"/>
        </w:rPr>
        <w:t xml:space="preserve">Peraturan Komisi Yudisial </w:t>
      </w:r>
      <w:r w:rsidRPr="005F5211">
        <w:rPr>
          <w:sz w:val="24"/>
          <w:szCs w:val="24"/>
          <w:lang w:val="en-US"/>
        </w:rPr>
        <w:t xml:space="preserve">Republik Indonesia </w:t>
      </w:r>
      <w:r w:rsidRPr="005F5211">
        <w:rPr>
          <w:sz w:val="24"/>
          <w:szCs w:val="24"/>
        </w:rPr>
        <w:t xml:space="preserve">Nomor </w:t>
      </w:r>
      <w:r w:rsidRPr="005F5211">
        <w:rPr>
          <w:sz w:val="24"/>
          <w:szCs w:val="24"/>
          <w:lang w:val="en-US"/>
        </w:rPr>
        <w:t>2</w:t>
      </w:r>
      <w:r w:rsidRPr="005F5211">
        <w:rPr>
          <w:sz w:val="24"/>
          <w:szCs w:val="24"/>
        </w:rPr>
        <w:t xml:space="preserve"> Tahun 20</w:t>
      </w:r>
      <w:r w:rsidRPr="005F5211">
        <w:rPr>
          <w:sz w:val="24"/>
          <w:szCs w:val="24"/>
          <w:lang w:val="en-US"/>
        </w:rPr>
        <w:t>15</w:t>
      </w:r>
      <w:r w:rsidRPr="005F5211">
        <w:rPr>
          <w:sz w:val="24"/>
          <w:szCs w:val="24"/>
        </w:rPr>
        <w:t xml:space="preserve"> tentang </w:t>
      </w:r>
      <w:r w:rsidRPr="005F5211">
        <w:rPr>
          <w:sz w:val="24"/>
          <w:szCs w:val="24"/>
          <w:lang w:val="en-US"/>
        </w:rPr>
        <w:t>Penanganan Laporan Mayarakat.</w:t>
      </w:r>
    </w:p>
    <w:p w:rsidR="008922F5" w:rsidRPr="005F5211" w:rsidRDefault="008922F5" w:rsidP="009629A9">
      <w:pPr>
        <w:pStyle w:val="FootnoteText"/>
        <w:spacing w:line="276" w:lineRule="auto"/>
        <w:jc w:val="both"/>
        <w:rPr>
          <w:sz w:val="24"/>
          <w:szCs w:val="24"/>
          <w:lang w:val="nb-NO"/>
        </w:rPr>
      </w:pPr>
    </w:p>
    <w:p w:rsidR="008922F5" w:rsidRPr="005F5211" w:rsidRDefault="008922F5" w:rsidP="009629A9">
      <w:pPr>
        <w:pStyle w:val="FootnoteText"/>
        <w:spacing w:line="276" w:lineRule="auto"/>
        <w:jc w:val="both"/>
        <w:rPr>
          <w:b/>
          <w:sz w:val="24"/>
          <w:szCs w:val="24"/>
          <w:lang w:val="sv-SE"/>
        </w:rPr>
      </w:pPr>
      <w:r w:rsidRPr="005F5211">
        <w:rPr>
          <w:b/>
          <w:sz w:val="24"/>
          <w:szCs w:val="24"/>
          <w:lang w:val="sv-SE"/>
        </w:rPr>
        <w:t>Artikel/Majalah/Jurnal/Buletin :</w:t>
      </w:r>
    </w:p>
    <w:p w:rsidR="009629A9" w:rsidRDefault="009629A9" w:rsidP="009629A9">
      <w:pPr>
        <w:pStyle w:val="FootnoteText"/>
        <w:spacing w:line="276" w:lineRule="auto"/>
        <w:ind w:left="1260" w:hanging="1260"/>
        <w:jc w:val="both"/>
        <w:rPr>
          <w:sz w:val="24"/>
          <w:szCs w:val="24"/>
          <w:lang w:val="en-US"/>
        </w:rPr>
      </w:pPr>
    </w:p>
    <w:p w:rsidR="008922F5" w:rsidRPr="005F5211" w:rsidRDefault="008922F5" w:rsidP="009629A9">
      <w:pPr>
        <w:pStyle w:val="FootnoteText"/>
        <w:spacing w:line="276" w:lineRule="auto"/>
        <w:ind w:left="1260" w:hanging="1260"/>
        <w:jc w:val="both"/>
        <w:rPr>
          <w:sz w:val="24"/>
          <w:szCs w:val="24"/>
        </w:rPr>
      </w:pPr>
      <w:r w:rsidRPr="005F5211">
        <w:rPr>
          <w:sz w:val="24"/>
          <w:szCs w:val="24"/>
        </w:rPr>
        <w:t xml:space="preserve">Dudu Duswara Machmudin, </w:t>
      </w:r>
      <w:r w:rsidRPr="005F5211">
        <w:rPr>
          <w:i/>
          <w:sz w:val="24"/>
          <w:szCs w:val="24"/>
        </w:rPr>
        <w:t>Peranan Keyakinan Hakim Dalam Memutus Suatu Perkara di Pengadilan,</w:t>
      </w:r>
      <w:r w:rsidRPr="005F5211">
        <w:rPr>
          <w:sz w:val="24"/>
          <w:szCs w:val="24"/>
        </w:rPr>
        <w:t xml:space="preserve"> Majalah Hukum Varia Peradilan Tahun ke XXI No. 251. Jakarta: MA RI. Oktober 2006. </w:t>
      </w:r>
    </w:p>
    <w:p w:rsidR="008922F5" w:rsidRPr="005F5211" w:rsidRDefault="008922F5" w:rsidP="009629A9">
      <w:pPr>
        <w:pStyle w:val="FootnoteText"/>
        <w:spacing w:line="276" w:lineRule="auto"/>
        <w:jc w:val="both"/>
        <w:rPr>
          <w:sz w:val="24"/>
          <w:szCs w:val="24"/>
        </w:rPr>
      </w:pPr>
    </w:p>
    <w:p w:rsidR="008922F5" w:rsidRDefault="008922F5" w:rsidP="009629A9">
      <w:pPr>
        <w:pStyle w:val="FootnoteText"/>
        <w:spacing w:line="276" w:lineRule="auto"/>
        <w:ind w:left="1260" w:hanging="1260"/>
        <w:jc w:val="both"/>
        <w:rPr>
          <w:sz w:val="24"/>
          <w:szCs w:val="24"/>
          <w:lang w:val="en-US"/>
        </w:rPr>
      </w:pPr>
      <w:r w:rsidRPr="005F5211">
        <w:rPr>
          <w:sz w:val="24"/>
          <w:szCs w:val="24"/>
        </w:rPr>
        <w:t xml:space="preserve">Gayus Lumbuun, </w:t>
      </w:r>
      <w:r w:rsidRPr="005F5211">
        <w:rPr>
          <w:i/>
          <w:sz w:val="24"/>
          <w:szCs w:val="24"/>
        </w:rPr>
        <w:t>Memperkuat Kewenangan Komisi Yudisial Melalui Revisi UU No. 24 Tahun 2004</w:t>
      </w:r>
      <w:r w:rsidRPr="005F5211">
        <w:rPr>
          <w:sz w:val="24"/>
          <w:szCs w:val="24"/>
        </w:rPr>
        <w:t xml:space="preserve">, Buletin Komisi Yudisial Volume II. Jakarta: KY RI. Oktober 2006. </w:t>
      </w:r>
    </w:p>
    <w:p w:rsidR="008922F5" w:rsidRPr="00FD3E93" w:rsidRDefault="008922F5" w:rsidP="009629A9">
      <w:pPr>
        <w:pStyle w:val="FootnoteText"/>
        <w:spacing w:line="276" w:lineRule="auto"/>
        <w:ind w:left="1260" w:hanging="1260"/>
        <w:jc w:val="both"/>
        <w:rPr>
          <w:sz w:val="24"/>
          <w:szCs w:val="24"/>
          <w:lang w:val="en-US"/>
        </w:rPr>
      </w:pPr>
    </w:p>
    <w:p w:rsidR="008922F5" w:rsidRDefault="008922F5" w:rsidP="009629A9">
      <w:pPr>
        <w:pStyle w:val="FootnoteText"/>
        <w:spacing w:line="276" w:lineRule="auto"/>
        <w:ind w:left="1260" w:hanging="1260"/>
        <w:jc w:val="both"/>
        <w:rPr>
          <w:sz w:val="24"/>
          <w:szCs w:val="24"/>
          <w:lang w:val="en-US"/>
        </w:rPr>
      </w:pPr>
      <w:r w:rsidRPr="005F5211">
        <w:rPr>
          <w:sz w:val="24"/>
          <w:szCs w:val="24"/>
          <w:lang w:val="en-US"/>
        </w:rPr>
        <w:t xml:space="preserve">Komisi Yudisial Republik Indonesia, </w:t>
      </w:r>
      <w:r w:rsidRPr="005F5211">
        <w:rPr>
          <w:i/>
          <w:sz w:val="24"/>
          <w:szCs w:val="24"/>
          <w:lang w:val="en-US"/>
        </w:rPr>
        <w:t>Mengenal Lebih Dekat Komisi Yudisial.</w:t>
      </w:r>
      <w:r>
        <w:rPr>
          <w:sz w:val="24"/>
          <w:szCs w:val="24"/>
          <w:lang w:val="en-US"/>
        </w:rPr>
        <w:t xml:space="preserve"> Jakarta</w:t>
      </w:r>
      <w:r w:rsidRPr="005F5211">
        <w:rPr>
          <w:sz w:val="24"/>
          <w:szCs w:val="24"/>
          <w:lang w:val="en-US"/>
        </w:rPr>
        <w:t>: KYRI.2012.</w:t>
      </w:r>
    </w:p>
    <w:p w:rsidR="008922F5" w:rsidRDefault="008922F5" w:rsidP="009629A9">
      <w:pPr>
        <w:pStyle w:val="FootnoteText"/>
        <w:spacing w:line="276" w:lineRule="auto"/>
        <w:ind w:left="1260" w:hanging="1260"/>
        <w:jc w:val="both"/>
        <w:rPr>
          <w:sz w:val="24"/>
          <w:szCs w:val="24"/>
          <w:lang w:val="en-US"/>
        </w:rPr>
      </w:pPr>
    </w:p>
    <w:p w:rsidR="008922F5" w:rsidRDefault="008922F5" w:rsidP="009629A9">
      <w:pPr>
        <w:pStyle w:val="FootnoteText"/>
        <w:spacing w:line="276" w:lineRule="auto"/>
        <w:ind w:left="1260" w:hanging="1260"/>
        <w:jc w:val="both"/>
        <w:rPr>
          <w:sz w:val="24"/>
          <w:szCs w:val="24"/>
          <w:lang w:val="en-US"/>
        </w:rPr>
      </w:pPr>
      <w:r w:rsidRPr="005F5211">
        <w:rPr>
          <w:sz w:val="24"/>
          <w:szCs w:val="24"/>
        </w:rPr>
        <w:t xml:space="preserve">Mahkamah Agung RI, </w:t>
      </w:r>
      <w:r w:rsidRPr="005F5211">
        <w:rPr>
          <w:i/>
          <w:sz w:val="24"/>
          <w:szCs w:val="24"/>
        </w:rPr>
        <w:t>Naskah Akademis Rancangan Undang-Undang tentang Komisi Yudisial</w:t>
      </w:r>
      <w:r w:rsidRPr="005F5211">
        <w:rPr>
          <w:sz w:val="24"/>
          <w:szCs w:val="24"/>
        </w:rPr>
        <w:t>. Jakarta: MA RI. 2003</w:t>
      </w:r>
      <w:r>
        <w:rPr>
          <w:sz w:val="24"/>
          <w:szCs w:val="24"/>
          <w:lang w:val="en-US"/>
        </w:rPr>
        <w:t>.</w:t>
      </w:r>
    </w:p>
    <w:p w:rsidR="008922F5" w:rsidRPr="005F5211" w:rsidRDefault="008922F5" w:rsidP="009629A9">
      <w:pPr>
        <w:pStyle w:val="FootnoteText"/>
        <w:spacing w:line="276" w:lineRule="auto"/>
        <w:ind w:left="1260" w:hanging="1260"/>
        <w:jc w:val="both"/>
        <w:rPr>
          <w:sz w:val="24"/>
          <w:szCs w:val="24"/>
          <w:lang w:val="en-US"/>
        </w:rPr>
      </w:pPr>
    </w:p>
    <w:p w:rsidR="008922F5" w:rsidRPr="005F5211" w:rsidRDefault="008922F5" w:rsidP="009629A9">
      <w:pPr>
        <w:pStyle w:val="FootnoteText"/>
        <w:spacing w:line="276" w:lineRule="auto"/>
        <w:jc w:val="both"/>
        <w:rPr>
          <w:b/>
          <w:sz w:val="24"/>
          <w:szCs w:val="24"/>
          <w:lang w:val="sv-SE"/>
        </w:rPr>
      </w:pPr>
      <w:r w:rsidRPr="005F5211">
        <w:rPr>
          <w:b/>
          <w:sz w:val="24"/>
          <w:szCs w:val="24"/>
          <w:lang w:val="sv-SE"/>
        </w:rPr>
        <w:t>Situs Internet :</w:t>
      </w:r>
    </w:p>
    <w:p w:rsidR="008922F5" w:rsidRPr="005F5211" w:rsidRDefault="008922F5" w:rsidP="009629A9">
      <w:pPr>
        <w:pStyle w:val="FootnoteText"/>
        <w:spacing w:line="276" w:lineRule="auto"/>
        <w:jc w:val="both"/>
        <w:rPr>
          <w:sz w:val="24"/>
          <w:szCs w:val="24"/>
          <w:lang w:val="en-US"/>
        </w:rPr>
      </w:pPr>
    </w:p>
    <w:p w:rsidR="008922F5" w:rsidRPr="005F5211" w:rsidRDefault="00506395" w:rsidP="009629A9">
      <w:pPr>
        <w:pStyle w:val="FootnoteText"/>
        <w:spacing w:line="276" w:lineRule="auto"/>
        <w:ind w:left="1260" w:hanging="1260"/>
        <w:jc w:val="both"/>
        <w:rPr>
          <w:color w:val="000000" w:themeColor="text1"/>
          <w:sz w:val="24"/>
          <w:szCs w:val="24"/>
        </w:rPr>
      </w:pPr>
      <w:hyperlink r:id="rId8" w:history="1">
        <w:r w:rsidR="008922F5" w:rsidRPr="005F5211">
          <w:rPr>
            <w:rStyle w:val="Hyperlink"/>
            <w:color w:val="000000" w:themeColor="text1"/>
            <w:sz w:val="24"/>
            <w:szCs w:val="24"/>
          </w:rPr>
          <w:t>www.hukumonline.com</w:t>
        </w:r>
      </w:hyperlink>
      <w:r w:rsidR="008922F5" w:rsidRPr="005F5211">
        <w:rPr>
          <w:color w:val="000000" w:themeColor="text1"/>
          <w:sz w:val="24"/>
          <w:szCs w:val="24"/>
        </w:rPr>
        <w:t xml:space="preserve">, </w:t>
      </w:r>
      <w:r w:rsidR="008922F5" w:rsidRPr="005F5211">
        <w:rPr>
          <w:i/>
          <w:color w:val="000000" w:themeColor="text1"/>
          <w:sz w:val="24"/>
          <w:szCs w:val="24"/>
        </w:rPr>
        <w:t>31 Hakim Agung Minta Payung Hukum Komisi Yudisial Diuji</w:t>
      </w:r>
      <w:r w:rsidR="008922F5" w:rsidRPr="005F5211">
        <w:rPr>
          <w:color w:val="000000" w:themeColor="text1"/>
          <w:sz w:val="24"/>
          <w:szCs w:val="24"/>
          <w:lang w:val="en-US"/>
        </w:rPr>
        <w:t>,</w:t>
      </w:r>
      <w:r w:rsidR="008922F5" w:rsidRPr="005F5211">
        <w:rPr>
          <w:color w:val="000000" w:themeColor="text1"/>
          <w:sz w:val="24"/>
          <w:szCs w:val="24"/>
        </w:rPr>
        <w:t xml:space="preserve"> </w:t>
      </w:r>
      <w:r w:rsidR="008922F5" w:rsidRPr="005F5211">
        <w:rPr>
          <w:sz w:val="24"/>
          <w:szCs w:val="24"/>
          <w:lang w:val="en-US"/>
        </w:rPr>
        <w:t>d</w:t>
      </w:r>
      <w:r w:rsidR="008922F5" w:rsidRPr="005F5211">
        <w:rPr>
          <w:sz w:val="24"/>
          <w:szCs w:val="24"/>
        </w:rPr>
        <w:t xml:space="preserve">iakses </w:t>
      </w:r>
      <w:r w:rsidR="008922F5" w:rsidRPr="005F5211">
        <w:rPr>
          <w:sz w:val="24"/>
          <w:szCs w:val="24"/>
          <w:lang w:val="en-US"/>
        </w:rPr>
        <w:t xml:space="preserve">pada hari Selasa, </w:t>
      </w:r>
      <w:r w:rsidR="008922F5" w:rsidRPr="005F5211">
        <w:rPr>
          <w:sz w:val="24"/>
          <w:szCs w:val="24"/>
        </w:rPr>
        <w:t>tanggal 14 Maret 2006.</w:t>
      </w:r>
      <w:r w:rsidR="008922F5" w:rsidRPr="005F5211">
        <w:rPr>
          <w:sz w:val="24"/>
          <w:szCs w:val="24"/>
          <w:lang w:val="en-US"/>
        </w:rPr>
        <w:t xml:space="preserve"> Pukul : 21.30 WIB.</w:t>
      </w:r>
    </w:p>
    <w:p w:rsidR="008922F5" w:rsidRPr="005F5211" w:rsidRDefault="008922F5" w:rsidP="009629A9">
      <w:pPr>
        <w:pStyle w:val="FootnoteText"/>
        <w:spacing w:line="276" w:lineRule="auto"/>
        <w:jc w:val="both"/>
        <w:rPr>
          <w:color w:val="000000" w:themeColor="text1"/>
          <w:sz w:val="24"/>
          <w:szCs w:val="24"/>
        </w:rPr>
      </w:pPr>
    </w:p>
    <w:p w:rsidR="008922F5" w:rsidRPr="009629A9" w:rsidRDefault="00506395" w:rsidP="009629A9">
      <w:pPr>
        <w:pStyle w:val="FootnoteText"/>
        <w:spacing w:line="276" w:lineRule="auto"/>
        <w:ind w:left="1260" w:hanging="1260"/>
        <w:jc w:val="both"/>
        <w:rPr>
          <w:color w:val="000000" w:themeColor="text1"/>
          <w:sz w:val="24"/>
          <w:szCs w:val="24"/>
        </w:rPr>
      </w:pPr>
      <w:hyperlink r:id="rId9" w:history="1">
        <w:r w:rsidR="008922F5" w:rsidRPr="009629A9">
          <w:rPr>
            <w:rStyle w:val="Hyperlink"/>
            <w:color w:val="000000" w:themeColor="text1"/>
            <w:sz w:val="24"/>
            <w:szCs w:val="24"/>
          </w:rPr>
          <w:t>www.hukumonline.com</w:t>
        </w:r>
      </w:hyperlink>
      <w:r w:rsidR="008922F5" w:rsidRPr="009629A9">
        <w:rPr>
          <w:color w:val="000000" w:themeColor="text1"/>
          <w:sz w:val="24"/>
          <w:szCs w:val="24"/>
        </w:rPr>
        <w:t xml:space="preserve">, </w:t>
      </w:r>
      <w:r w:rsidR="008922F5" w:rsidRPr="009629A9">
        <w:rPr>
          <w:i/>
          <w:color w:val="000000" w:themeColor="text1"/>
          <w:sz w:val="24"/>
          <w:szCs w:val="24"/>
        </w:rPr>
        <w:t>Lewat Judicial Review, MA Seperti Ingin Memandulkan KY</w:t>
      </w:r>
      <w:r w:rsidR="008922F5" w:rsidRPr="009629A9">
        <w:rPr>
          <w:color w:val="000000" w:themeColor="text1"/>
          <w:sz w:val="24"/>
          <w:szCs w:val="24"/>
          <w:lang w:val="en-US"/>
        </w:rPr>
        <w:t>,</w:t>
      </w:r>
      <w:r w:rsidR="008922F5" w:rsidRPr="009629A9">
        <w:rPr>
          <w:color w:val="000000" w:themeColor="text1"/>
          <w:sz w:val="24"/>
          <w:szCs w:val="24"/>
        </w:rPr>
        <w:t xml:space="preserve"> </w:t>
      </w:r>
      <w:r w:rsidR="008922F5" w:rsidRPr="009629A9">
        <w:rPr>
          <w:sz w:val="24"/>
          <w:szCs w:val="24"/>
          <w:lang w:val="en-US"/>
        </w:rPr>
        <w:t>diakses pada hari Sabtu,</w:t>
      </w:r>
      <w:r w:rsidR="008922F5" w:rsidRPr="009629A9">
        <w:rPr>
          <w:sz w:val="24"/>
          <w:szCs w:val="24"/>
        </w:rPr>
        <w:t xml:space="preserve"> tanggal </w:t>
      </w:r>
      <w:r w:rsidR="008922F5" w:rsidRPr="009629A9">
        <w:rPr>
          <w:sz w:val="24"/>
          <w:szCs w:val="24"/>
          <w:lang w:val="en-US"/>
        </w:rPr>
        <w:t>22 September</w:t>
      </w:r>
      <w:r w:rsidR="008922F5" w:rsidRPr="009629A9">
        <w:rPr>
          <w:sz w:val="24"/>
          <w:szCs w:val="24"/>
        </w:rPr>
        <w:t xml:space="preserve"> 20</w:t>
      </w:r>
      <w:r w:rsidR="008922F5" w:rsidRPr="009629A9">
        <w:rPr>
          <w:sz w:val="24"/>
          <w:szCs w:val="24"/>
          <w:lang w:val="en-US"/>
        </w:rPr>
        <w:t>18</w:t>
      </w:r>
      <w:r w:rsidR="008922F5" w:rsidRPr="009629A9">
        <w:rPr>
          <w:sz w:val="24"/>
          <w:szCs w:val="24"/>
        </w:rPr>
        <w:t>.</w:t>
      </w:r>
      <w:r w:rsidR="008922F5" w:rsidRPr="009629A9">
        <w:rPr>
          <w:sz w:val="24"/>
          <w:szCs w:val="24"/>
          <w:lang w:val="en-US"/>
        </w:rPr>
        <w:t xml:space="preserve"> Pukul : 05.04 WIB.</w:t>
      </w:r>
    </w:p>
    <w:p w:rsidR="008922F5" w:rsidRPr="009629A9" w:rsidRDefault="008922F5" w:rsidP="009629A9">
      <w:pPr>
        <w:pStyle w:val="FootnoteText"/>
        <w:spacing w:line="276" w:lineRule="auto"/>
        <w:jc w:val="both"/>
        <w:rPr>
          <w:color w:val="000000" w:themeColor="text1"/>
          <w:sz w:val="24"/>
          <w:szCs w:val="24"/>
        </w:rPr>
      </w:pPr>
    </w:p>
    <w:p w:rsidR="008922F5" w:rsidRPr="009629A9" w:rsidRDefault="00506395" w:rsidP="009629A9">
      <w:pPr>
        <w:pStyle w:val="FootnoteText"/>
        <w:spacing w:line="276" w:lineRule="auto"/>
        <w:ind w:left="1260" w:hanging="1260"/>
        <w:jc w:val="both"/>
        <w:rPr>
          <w:color w:val="000000" w:themeColor="text1"/>
          <w:sz w:val="24"/>
          <w:szCs w:val="24"/>
        </w:rPr>
      </w:pPr>
      <w:hyperlink r:id="rId10" w:history="1">
        <w:r w:rsidR="008922F5" w:rsidRPr="009629A9">
          <w:rPr>
            <w:rStyle w:val="Hyperlink"/>
            <w:color w:val="000000" w:themeColor="text1"/>
            <w:sz w:val="24"/>
            <w:szCs w:val="24"/>
          </w:rPr>
          <w:t>www.komisiyudisial.go.id</w:t>
        </w:r>
      </w:hyperlink>
      <w:r w:rsidR="008922F5" w:rsidRPr="009629A9">
        <w:rPr>
          <w:color w:val="000000" w:themeColor="text1"/>
          <w:sz w:val="24"/>
          <w:szCs w:val="24"/>
        </w:rPr>
        <w:t xml:space="preserve">, </w:t>
      </w:r>
      <w:r w:rsidR="008922F5" w:rsidRPr="009629A9">
        <w:rPr>
          <w:i/>
          <w:color w:val="000000" w:themeColor="text1"/>
          <w:sz w:val="24"/>
          <w:szCs w:val="24"/>
        </w:rPr>
        <w:t>Revisi RUU Komisi Yudisial, Mulai darimana?</w:t>
      </w:r>
      <w:r w:rsidR="008922F5" w:rsidRPr="009629A9">
        <w:rPr>
          <w:color w:val="000000" w:themeColor="text1"/>
          <w:sz w:val="24"/>
          <w:szCs w:val="24"/>
          <w:lang w:val="en-US"/>
        </w:rPr>
        <w:t>,</w:t>
      </w:r>
      <w:r w:rsidR="008922F5" w:rsidRPr="009629A9">
        <w:rPr>
          <w:color w:val="000000" w:themeColor="text1"/>
          <w:sz w:val="24"/>
          <w:szCs w:val="24"/>
        </w:rPr>
        <w:t xml:space="preserve"> </w:t>
      </w:r>
      <w:r w:rsidR="008922F5" w:rsidRPr="009629A9">
        <w:rPr>
          <w:sz w:val="24"/>
          <w:szCs w:val="24"/>
          <w:lang w:val="fi-FI"/>
        </w:rPr>
        <w:t>diakses pada hari Selasa, tanggal 19 Desember 2006. Pukul 21.15 WIB.</w:t>
      </w:r>
    </w:p>
    <w:p w:rsidR="008922F5" w:rsidRPr="009629A9" w:rsidRDefault="008922F5" w:rsidP="009629A9">
      <w:pPr>
        <w:pStyle w:val="FootnoteText"/>
        <w:spacing w:line="276" w:lineRule="auto"/>
        <w:jc w:val="both"/>
        <w:rPr>
          <w:color w:val="000000" w:themeColor="text1"/>
          <w:sz w:val="24"/>
          <w:szCs w:val="24"/>
          <w:lang w:val="en-US"/>
        </w:rPr>
      </w:pPr>
    </w:p>
    <w:p w:rsidR="008922F5" w:rsidRPr="009629A9" w:rsidRDefault="00506395" w:rsidP="009629A9">
      <w:pPr>
        <w:pStyle w:val="FootnoteText"/>
        <w:spacing w:line="276" w:lineRule="auto"/>
        <w:ind w:left="1260" w:hanging="1260"/>
        <w:jc w:val="both"/>
        <w:rPr>
          <w:sz w:val="24"/>
          <w:szCs w:val="24"/>
          <w:lang w:val="en-US"/>
        </w:rPr>
      </w:pPr>
      <w:hyperlink r:id="rId11" w:history="1">
        <w:r w:rsidR="008922F5" w:rsidRPr="009629A9">
          <w:rPr>
            <w:rStyle w:val="Hyperlink"/>
            <w:color w:val="auto"/>
            <w:sz w:val="24"/>
            <w:szCs w:val="24"/>
          </w:rPr>
          <w:t>www.komisiyudisial.go.id</w:t>
        </w:r>
        <w:r w:rsidR="008922F5" w:rsidRPr="009629A9">
          <w:rPr>
            <w:rStyle w:val="Hyperlink"/>
            <w:color w:val="auto"/>
            <w:sz w:val="24"/>
            <w:szCs w:val="24"/>
            <w:lang w:val="en-US"/>
          </w:rPr>
          <w:t>/assets/uploads/files/Bunga-Rampai-KY-2016-ptimalisasi-Wewenang-KY-dalam-Mewujudkan-Hakim-</w:t>
        </w:r>
        <w:r w:rsidR="008922F5" w:rsidRPr="009629A9">
          <w:rPr>
            <w:rStyle w:val="Hyperlink"/>
            <w:color w:val="auto"/>
            <w:sz w:val="24"/>
            <w:szCs w:val="24"/>
          </w:rPr>
          <w:t xml:space="preserve"> </w:t>
        </w:r>
        <w:r w:rsidR="008922F5" w:rsidRPr="009629A9">
          <w:rPr>
            <w:rStyle w:val="Hyperlink"/>
            <w:color w:val="auto"/>
            <w:sz w:val="24"/>
            <w:szCs w:val="24"/>
            <w:lang w:val="en-US"/>
          </w:rPr>
          <w:t>Berintegritas.pdf</w:t>
        </w:r>
      </w:hyperlink>
      <w:r w:rsidR="008922F5" w:rsidRPr="009629A9">
        <w:rPr>
          <w:sz w:val="24"/>
          <w:szCs w:val="24"/>
          <w:lang w:val="en-US"/>
        </w:rPr>
        <w:t>, diakses pada hari Sabtu, tanggal 1 September 2018. Pukul : 20.00 WIB.</w:t>
      </w:r>
    </w:p>
    <w:p w:rsidR="008922F5" w:rsidRPr="009629A9" w:rsidRDefault="008922F5" w:rsidP="009629A9">
      <w:pPr>
        <w:pStyle w:val="FootnoteText"/>
        <w:spacing w:line="276" w:lineRule="auto"/>
        <w:ind w:left="1260" w:hanging="1260"/>
        <w:jc w:val="both"/>
        <w:rPr>
          <w:sz w:val="24"/>
          <w:szCs w:val="24"/>
          <w:lang w:val="en-US"/>
        </w:rPr>
      </w:pPr>
    </w:p>
    <w:p w:rsidR="008922F5" w:rsidRDefault="009629A9" w:rsidP="009629A9">
      <w:pPr>
        <w:pStyle w:val="FootnoteText"/>
        <w:spacing w:line="276" w:lineRule="auto"/>
        <w:ind w:left="1260" w:hanging="1260"/>
        <w:jc w:val="both"/>
        <w:rPr>
          <w:sz w:val="24"/>
          <w:szCs w:val="24"/>
          <w:lang w:val="en-US"/>
        </w:rPr>
      </w:pPr>
      <w:hyperlink r:id="rId12" w:history="1">
        <w:r w:rsidRPr="009629A9">
          <w:rPr>
            <w:rStyle w:val="Hyperlink"/>
            <w:color w:val="auto"/>
            <w:sz w:val="24"/>
            <w:szCs w:val="24"/>
            <w:lang w:val="en-US"/>
          </w:rPr>
          <w:t>www.komisiyudisial.go.id</w:t>
        </w:r>
      </w:hyperlink>
      <w:r w:rsidRPr="009629A9">
        <w:rPr>
          <w:sz w:val="24"/>
          <w:szCs w:val="24"/>
          <w:lang w:val="en-US"/>
        </w:rPr>
        <w:t>,</w:t>
      </w:r>
      <w:r>
        <w:rPr>
          <w:sz w:val="24"/>
          <w:szCs w:val="24"/>
          <w:lang w:val="en-US"/>
        </w:rPr>
        <w:t xml:space="preserve"> </w:t>
      </w:r>
      <w:r w:rsidR="008922F5" w:rsidRPr="009629A9">
        <w:rPr>
          <w:i/>
          <w:sz w:val="24"/>
          <w:szCs w:val="24"/>
          <w:lang w:val="en-US"/>
        </w:rPr>
        <w:t>Profile lembaga Komisi Yudisial</w:t>
      </w:r>
      <w:r w:rsidR="008922F5" w:rsidRPr="009629A9">
        <w:rPr>
          <w:sz w:val="24"/>
          <w:szCs w:val="24"/>
          <w:lang w:val="en-US"/>
        </w:rPr>
        <w:t xml:space="preserve">, </w:t>
      </w:r>
      <w:r w:rsidR="008922F5" w:rsidRPr="009629A9">
        <w:rPr>
          <w:color w:val="000000" w:themeColor="text1"/>
          <w:sz w:val="24"/>
          <w:szCs w:val="24"/>
          <w:lang w:val="en-US"/>
        </w:rPr>
        <w:t>diakses pada hari Sabtu, tanggal 1 Septembe</w:t>
      </w:r>
      <w:r w:rsidR="008922F5" w:rsidRPr="009629A9">
        <w:rPr>
          <w:sz w:val="24"/>
          <w:szCs w:val="24"/>
          <w:lang w:val="en-US"/>
        </w:rPr>
        <w:t>r 2018. Pukul : 20.00 WIB.</w:t>
      </w:r>
    </w:p>
    <w:p w:rsidR="009629A9" w:rsidRPr="009629A9" w:rsidRDefault="009629A9" w:rsidP="009629A9">
      <w:pPr>
        <w:pStyle w:val="FootnoteText"/>
        <w:spacing w:line="276" w:lineRule="auto"/>
        <w:ind w:left="1260" w:hanging="1260"/>
        <w:jc w:val="both"/>
        <w:rPr>
          <w:sz w:val="24"/>
          <w:szCs w:val="24"/>
          <w:lang w:val="en-US"/>
        </w:rPr>
      </w:pPr>
    </w:p>
    <w:p w:rsidR="008922F5" w:rsidRPr="009629A9" w:rsidRDefault="009629A9" w:rsidP="009629A9">
      <w:pPr>
        <w:pStyle w:val="FootnoteText"/>
        <w:spacing w:line="276" w:lineRule="auto"/>
        <w:ind w:left="1260" w:hanging="1260"/>
        <w:jc w:val="both"/>
        <w:rPr>
          <w:sz w:val="24"/>
          <w:szCs w:val="24"/>
          <w:lang w:val="en-US"/>
        </w:rPr>
      </w:pPr>
      <w:hyperlink r:id="rId13" w:history="1">
        <w:r w:rsidRPr="009629A9">
          <w:rPr>
            <w:rStyle w:val="Hyperlink"/>
            <w:color w:val="auto"/>
            <w:sz w:val="24"/>
            <w:szCs w:val="24"/>
          </w:rPr>
          <w:t>https://mediaindonesia.com/read/detail/94007-pengawasan-hakim-perlu-diperkuat</w:t>
        </w:r>
      </w:hyperlink>
      <w:r w:rsidRPr="009629A9">
        <w:rPr>
          <w:sz w:val="24"/>
          <w:szCs w:val="24"/>
          <w:lang w:val="en-US"/>
        </w:rPr>
        <w:t xml:space="preserve">, </w:t>
      </w:r>
      <w:r w:rsidRPr="009629A9">
        <w:rPr>
          <w:i/>
          <w:iCs/>
          <w:sz w:val="24"/>
          <w:szCs w:val="24"/>
          <w:lang w:val="en-US"/>
        </w:rPr>
        <w:t>Pengawasan Hakim Perlu Diperketat,</w:t>
      </w:r>
      <w:r w:rsidRPr="009629A9">
        <w:rPr>
          <w:sz w:val="24"/>
          <w:szCs w:val="24"/>
          <w:lang w:val="en-US"/>
        </w:rPr>
        <w:t>diakases pada hari Jum’at tanggal 28 Februari 2020. Pukul 15.35 WIB</w:t>
      </w:r>
    </w:p>
    <w:sectPr w:rsidR="008922F5" w:rsidRPr="009629A9" w:rsidSect="00697DBA">
      <w:headerReference w:type="even" r:id="rId14"/>
      <w:headerReference w:type="default" r:id="rId15"/>
      <w:footerReference w:type="first" r:id="rId16"/>
      <w:pgSz w:w="12240" w:h="15840" w:code="1"/>
      <w:pgMar w:top="2268" w:right="1701" w:bottom="1701" w:left="226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A77" w:rsidRDefault="007C4A77">
      <w:r>
        <w:separator/>
      </w:r>
    </w:p>
  </w:endnote>
  <w:endnote w:type="continuationSeparator" w:id="1">
    <w:p w:rsidR="007C4A77" w:rsidRDefault="007C4A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INEngschrift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5EB" w:rsidRDefault="00DA25EB" w:rsidP="00697DBA">
    <w:pPr>
      <w:pStyle w:val="Footer"/>
      <w:jc w:val="cen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A77" w:rsidRDefault="007C4A77">
      <w:r>
        <w:separator/>
      </w:r>
    </w:p>
  </w:footnote>
  <w:footnote w:type="continuationSeparator" w:id="1">
    <w:p w:rsidR="007C4A77" w:rsidRDefault="007C4A77">
      <w:r>
        <w:continuationSeparator/>
      </w:r>
    </w:p>
  </w:footnote>
  <w:footnote w:id="2">
    <w:p w:rsidR="00DA25EB" w:rsidRPr="00B0391A" w:rsidRDefault="00DA25EB" w:rsidP="00DD3DE2">
      <w:pPr>
        <w:pStyle w:val="FootnoteText"/>
        <w:jc w:val="both"/>
        <w:rPr>
          <w:lang w:val="fi-FI"/>
        </w:rPr>
      </w:pPr>
      <w:r>
        <w:rPr>
          <w:rStyle w:val="FootnoteReference"/>
        </w:rPr>
        <w:footnoteRef/>
      </w:r>
      <w:r>
        <w:rPr>
          <w:lang w:val="fi-FI"/>
        </w:rPr>
        <w:t xml:space="preserve"> </w:t>
      </w:r>
      <w:r w:rsidRPr="00B0391A">
        <w:rPr>
          <w:lang w:val="fi-FI"/>
        </w:rPr>
        <w:t>Pasal 24 ayat (2) UUD 1945</w:t>
      </w:r>
      <w:r>
        <w:rPr>
          <w:lang w:val="fi-FI"/>
        </w:rPr>
        <w:t xml:space="preserve"> Setelah Amandemen</w:t>
      </w:r>
      <w:r w:rsidRPr="00B0391A">
        <w:rPr>
          <w:lang w:val="fi-FI"/>
        </w:rPr>
        <w:t>.</w:t>
      </w:r>
    </w:p>
  </w:footnote>
  <w:footnote w:id="3">
    <w:p w:rsidR="00DA25EB" w:rsidRPr="00B0391A" w:rsidRDefault="00DA25EB" w:rsidP="00DD3DE2">
      <w:pPr>
        <w:pStyle w:val="FootnoteText"/>
        <w:jc w:val="both"/>
        <w:rPr>
          <w:lang w:val="fi-FI"/>
        </w:rPr>
      </w:pPr>
      <w:r>
        <w:rPr>
          <w:rStyle w:val="FootnoteReference"/>
        </w:rPr>
        <w:footnoteRef/>
      </w:r>
      <w:r w:rsidRPr="00B0391A">
        <w:rPr>
          <w:lang w:val="fi-FI"/>
        </w:rPr>
        <w:t xml:space="preserve"> </w:t>
      </w:r>
      <w:r>
        <w:rPr>
          <w:lang w:val="fi-FI"/>
        </w:rPr>
        <w:t>Pasal</w:t>
      </w:r>
      <w:r w:rsidRPr="00B0391A">
        <w:rPr>
          <w:lang w:val="fi-FI"/>
        </w:rPr>
        <w:t xml:space="preserve"> 24B UUD 1945 Setelah Amandemen.</w:t>
      </w:r>
    </w:p>
  </w:footnote>
  <w:footnote w:id="4">
    <w:p w:rsidR="00DA25EB" w:rsidRPr="00B0391A" w:rsidRDefault="00DA25EB" w:rsidP="00DD3DE2">
      <w:pPr>
        <w:pStyle w:val="FootnoteText"/>
        <w:jc w:val="both"/>
        <w:rPr>
          <w:lang w:val="fi-FI"/>
        </w:rPr>
      </w:pPr>
      <w:r>
        <w:rPr>
          <w:rStyle w:val="FootnoteReference"/>
        </w:rPr>
        <w:footnoteRef/>
      </w:r>
      <w:r>
        <w:rPr>
          <w:lang w:val="fi-FI"/>
        </w:rPr>
        <w:t xml:space="preserve"> </w:t>
      </w:r>
      <w:r w:rsidRPr="00B0391A">
        <w:rPr>
          <w:lang w:val="fi-FI"/>
        </w:rPr>
        <w:t xml:space="preserve">Gayus Lumbuun, </w:t>
      </w:r>
      <w:r w:rsidRPr="00B22068">
        <w:rPr>
          <w:i/>
          <w:lang w:val="fi-FI"/>
        </w:rPr>
        <w:t>Memperkuat Kewenangan K</w:t>
      </w:r>
      <w:r>
        <w:rPr>
          <w:i/>
          <w:lang w:val="fi-FI"/>
        </w:rPr>
        <w:t xml:space="preserve">omisi </w:t>
      </w:r>
      <w:r w:rsidRPr="00B22068">
        <w:rPr>
          <w:i/>
          <w:lang w:val="fi-FI"/>
        </w:rPr>
        <w:t>Y</w:t>
      </w:r>
      <w:r>
        <w:rPr>
          <w:i/>
          <w:lang w:val="fi-FI"/>
        </w:rPr>
        <w:t>udisial</w:t>
      </w:r>
      <w:r w:rsidRPr="00B22068">
        <w:rPr>
          <w:i/>
          <w:lang w:val="fi-FI"/>
        </w:rPr>
        <w:t xml:space="preserve"> Melalui Revisi UU No.24 Tahun 2004</w:t>
      </w:r>
      <w:r>
        <w:rPr>
          <w:lang w:val="fi-FI"/>
        </w:rPr>
        <w:t>.</w:t>
      </w:r>
      <w:r w:rsidRPr="00B0391A">
        <w:rPr>
          <w:lang w:val="fi-FI"/>
        </w:rPr>
        <w:t xml:space="preserve"> Buletin K</w:t>
      </w:r>
      <w:r>
        <w:rPr>
          <w:lang w:val="fi-FI"/>
        </w:rPr>
        <w:t xml:space="preserve">omisi </w:t>
      </w:r>
      <w:r w:rsidRPr="00B0391A">
        <w:rPr>
          <w:lang w:val="fi-FI"/>
        </w:rPr>
        <w:t>Y</w:t>
      </w:r>
      <w:r>
        <w:rPr>
          <w:lang w:val="fi-FI"/>
        </w:rPr>
        <w:t xml:space="preserve">udisial Volume II. Jakarta: KY RI. </w:t>
      </w:r>
      <w:r w:rsidRPr="00B0391A">
        <w:rPr>
          <w:lang w:val="fi-FI"/>
        </w:rPr>
        <w:t>Oktober 2006. hlm. 24.</w:t>
      </w:r>
    </w:p>
  </w:footnote>
  <w:footnote w:id="5">
    <w:p w:rsidR="00DA25EB" w:rsidRPr="00B0391A" w:rsidRDefault="00DA25EB" w:rsidP="005D0E61">
      <w:pPr>
        <w:pStyle w:val="FootnoteText"/>
        <w:jc w:val="both"/>
        <w:rPr>
          <w:lang w:val="fi-FI"/>
        </w:rPr>
      </w:pPr>
      <w:r>
        <w:rPr>
          <w:rStyle w:val="FootnoteReference"/>
        </w:rPr>
        <w:footnoteRef/>
      </w:r>
      <w:r>
        <w:rPr>
          <w:lang w:val="fi-FI"/>
        </w:rPr>
        <w:t xml:space="preserve"> Dudu Duswara Machmudin, </w:t>
      </w:r>
      <w:r w:rsidRPr="00B0391A">
        <w:rPr>
          <w:i/>
          <w:lang w:val="fi-FI"/>
        </w:rPr>
        <w:t>Peranan Keyakinan Hakim Dalam Memutuskan Suatu Perkara di Pengadilan</w:t>
      </w:r>
      <w:r>
        <w:rPr>
          <w:lang w:val="fi-FI"/>
        </w:rPr>
        <w:t>. Majalah Hukum Varia Peradilan Tahun ke XXI No.251.</w:t>
      </w:r>
      <w:r w:rsidRPr="00B0391A">
        <w:rPr>
          <w:lang w:val="fi-FI"/>
        </w:rPr>
        <w:t xml:space="preserve"> </w:t>
      </w:r>
      <w:r>
        <w:rPr>
          <w:lang w:val="fi-FI"/>
        </w:rPr>
        <w:t xml:space="preserve">Jakarta: MA RI. </w:t>
      </w:r>
      <w:r w:rsidRPr="00B0391A">
        <w:rPr>
          <w:lang w:val="fi-FI"/>
        </w:rPr>
        <w:t>Oktober 2006. hlm. 53.</w:t>
      </w:r>
    </w:p>
  </w:footnote>
  <w:footnote w:id="6">
    <w:p w:rsidR="00DA25EB" w:rsidRPr="00B0391A" w:rsidRDefault="00DA25EB" w:rsidP="00DD3DE2">
      <w:pPr>
        <w:pStyle w:val="FootnoteText"/>
        <w:jc w:val="both"/>
        <w:rPr>
          <w:lang w:val="fi-FI"/>
        </w:rPr>
      </w:pPr>
      <w:r>
        <w:rPr>
          <w:rStyle w:val="FootnoteReference"/>
        </w:rPr>
        <w:footnoteRef/>
      </w:r>
      <w:r>
        <w:rPr>
          <w:lang w:val="fi-FI"/>
        </w:rPr>
        <w:t xml:space="preserve"> </w:t>
      </w:r>
      <w:r w:rsidRPr="00B0391A">
        <w:rPr>
          <w:lang w:val="fi-FI"/>
        </w:rPr>
        <w:t xml:space="preserve">Jimly Asshiddiqie, </w:t>
      </w:r>
      <w:r w:rsidRPr="00B0391A">
        <w:rPr>
          <w:i/>
          <w:lang w:val="fi-FI"/>
        </w:rPr>
        <w:t>Perkembangan dan Konsolidasi Lembaga Negara Pasca Reformasi</w:t>
      </w:r>
      <w:r>
        <w:rPr>
          <w:lang w:val="fi-FI"/>
        </w:rPr>
        <w:t>. Jakarta</w:t>
      </w:r>
      <w:r w:rsidRPr="00B0391A">
        <w:rPr>
          <w:lang w:val="fi-FI"/>
        </w:rPr>
        <w:t>: Se</w:t>
      </w:r>
      <w:r>
        <w:rPr>
          <w:lang w:val="fi-FI"/>
        </w:rPr>
        <w:t>kre</w:t>
      </w:r>
      <w:r w:rsidRPr="00B0391A">
        <w:rPr>
          <w:lang w:val="fi-FI"/>
        </w:rPr>
        <w:t>t</w:t>
      </w:r>
      <w:r>
        <w:rPr>
          <w:lang w:val="fi-FI"/>
        </w:rPr>
        <w:t>ariat J</w:t>
      </w:r>
      <w:r w:rsidRPr="00B0391A">
        <w:rPr>
          <w:lang w:val="fi-FI"/>
        </w:rPr>
        <w:t>en</w:t>
      </w:r>
      <w:r>
        <w:rPr>
          <w:lang w:val="fi-FI"/>
        </w:rPr>
        <w:t>dral</w:t>
      </w:r>
      <w:r w:rsidRPr="00B0391A">
        <w:rPr>
          <w:lang w:val="fi-FI"/>
        </w:rPr>
        <w:t xml:space="preserve"> dan Kepaniteraan MK RI.</w:t>
      </w:r>
      <w:r>
        <w:rPr>
          <w:lang w:val="fi-FI"/>
        </w:rPr>
        <w:t xml:space="preserve"> </w:t>
      </w:r>
      <w:r w:rsidRPr="00B0391A">
        <w:rPr>
          <w:lang w:val="fi-FI"/>
        </w:rPr>
        <w:t>2006. hlm.</w:t>
      </w:r>
      <w:r>
        <w:rPr>
          <w:lang w:val="fi-FI"/>
        </w:rPr>
        <w:t xml:space="preserve"> </w:t>
      </w:r>
      <w:r w:rsidRPr="00B0391A">
        <w:rPr>
          <w:lang w:val="fi-FI"/>
        </w:rPr>
        <w:t>197.</w:t>
      </w:r>
    </w:p>
  </w:footnote>
  <w:footnote w:id="7">
    <w:p w:rsidR="00DA25EB" w:rsidRPr="00B0391A" w:rsidRDefault="00DA25EB" w:rsidP="00DD3DE2">
      <w:pPr>
        <w:pStyle w:val="FootnoteText"/>
        <w:jc w:val="both"/>
        <w:rPr>
          <w:lang w:val="fi-FI"/>
        </w:rPr>
      </w:pPr>
      <w:r>
        <w:rPr>
          <w:rStyle w:val="FootnoteReference"/>
        </w:rPr>
        <w:footnoteRef/>
      </w:r>
      <w:r>
        <w:rPr>
          <w:lang w:val="fi-FI"/>
        </w:rPr>
        <w:t xml:space="preserve"> </w:t>
      </w:r>
      <w:r w:rsidRPr="00B0391A">
        <w:rPr>
          <w:lang w:val="fi-FI"/>
        </w:rPr>
        <w:t xml:space="preserve">Pasal 1 ayat  (1) dan </w:t>
      </w:r>
      <w:r>
        <w:rPr>
          <w:lang w:val="fi-FI"/>
        </w:rPr>
        <w:t xml:space="preserve">ayat </w:t>
      </w:r>
      <w:r w:rsidRPr="00B0391A">
        <w:rPr>
          <w:lang w:val="fi-FI"/>
        </w:rPr>
        <w:t>(3) UUD 1945 Setelah Amandemen.</w:t>
      </w:r>
    </w:p>
  </w:footnote>
  <w:footnote w:id="8">
    <w:p w:rsidR="00DA25EB" w:rsidRPr="00D73755" w:rsidRDefault="00DA25EB" w:rsidP="00DD3DE2">
      <w:pPr>
        <w:pStyle w:val="FootnoteText"/>
        <w:jc w:val="both"/>
        <w:rPr>
          <w:lang w:val="fi-FI"/>
        </w:rPr>
      </w:pPr>
      <w:r>
        <w:rPr>
          <w:rStyle w:val="FootnoteReference"/>
        </w:rPr>
        <w:footnoteRef/>
      </w:r>
      <w:r>
        <w:rPr>
          <w:lang w:val="fi-FI"/>
        </w:rPr>
        <w:t xml:space="preserve"> </w:t>
      </w:r>
      <w:r w:rsidR="009629A9">
        <w:t>Titik Triwulan Tutik</w:t>
      </w:r>
      <w:r w:rsidR="009629A9">
        <w:rPr>
          <w:lang w:val="nb-NO"/>
        </w:rPr>
        <w:t xml:space="preserve">, </w:t>
      </w:r>
      <w:r w:rsidR="009629A9">
        <w:rPr>
          <w:i/>
        </w:rPr>
        <w:t>Eksistensi</w:t>
      </w:r>
      <w:r w:rsidR="009629A9">
        <w:rPr>
          <w:i/>
          <w:lang w:val="nb-NO"/>
        </w:rPr>
        <w:t xml:space="preserve">, </w:t>
      </w:r>
      <w:r w:rsidR="009629A9">
        <w:rPr>
          <w:i/>
        </w:rPr>
        <w:t>Kedudukan dan Wewenang Komisi Yudisial</w:t>
      </w:r>
      <w:r w:rsidR="009629A9">
        <w:rPr>
          <w:lang w:val="nb-NO"/>
        </w:rPr>
        <w:t xml:space="preserve">. </w:t>
      </w:r>
      <w:r w:rsidR="009629A9">
        <w:rPr>
          <w:lang w:val="en-US"/>
        </w:rPr>
        <w:t xml:space="preserve">Jakarta: </w:t>
      </w:r>
      <w:r w:rsidR="009629A9">
        <w:t>Prestasi Pustaka</w:t>
      </w:r>
      <w:r w:rsidR="009629A9">
        <w:rPr>
          <w:lang w:val="en-US"/>
        </w:rPr>
        <w:t xml:space="preserve">. 2007. </w:t>
      </w:r>
      <w:r w:rsidR="009629A9">
        <w:rPr>
          <w:noProof/>
        </w:rPr>
        <w:t>hlm</w:t>
      </w:r>
      <w:r w:rsidR="009629A9">
        <w:rPr>
          <w:lang w:val="en-US"/>
        </w:rPr>
        <w:t xml:space="preserve">. </w:t>
      </w:r>
      <w:r w:rsidRPr="00D73755">
        <w:rPr>
          <w:lang w:val="fi-FI"/>
        </w:rPr>
        <w:t xml:space="preserve"> 1.</w:t>
      </w:r>
    </w:p>
  </w:footnote>
  <w:footnote w:id="9">
    <w:p w:rsidR="00DA25EB" w:rsidRPr="00B0391A" w:rsidRDefault="00DA25EB" w:rsidP="00DD3DE2">
      <w:pPr>
        <w:pStyle w:val="FootnoteText"/>
        <w:jc w:val="both"/>
        <w:rPr>
          <w:lang w:val="fi-FI"/>
        </w:rPr>
      </w:pPr>
      <w:r>
        <w:rPr>
          <w:rStyle w:val="FootnoteReference"/>
        </w:rPr>
        <w:footnoteRef/>
      </w:r>
      <w:r>
        <w:rPr>
          <w:lang w:val="fi-FI"/>
        </w:rPr>
        <w:t xml:space="preserve"> </w:t>
      </w:r>
      <w:r w:rsidRPr="00B0391A">
        <w:rPr>
          <w:lang w:val="fi-FI"/>
        </w:rPr>
        <w:t xml:space="preserve">Dudu Duswara Machmudin, </w:t>
      </w:r>
      <w:r>
        <w:rPr>
          <w:i/>
          <w:lang w:val="fi-FI"/>
        </w:rPr>
        <w:t>Loc.C</w:t>
      </w:r>
      <w:r w:rsidRPr="00B0391A">
        <w:rPr>
          <w:i/>
          <w:lang w:val="fi-FI"/>
        </w:rPr>
        <w:t>it</w:t>
      </w:r>
      <w:r w:rsidRPr="00B0391A">
        <w:rPr>
          <w:lang w:val="fi-FI"/>
        </w:rPr>
        <w:t>.</w:t>
      </w:r>
    </w:p>
  </w:footnote>
  <w:footnote w:id="10">
    <w:p w:rsidR="00DA25EB" w:rsidRPr="00D73755" w:rsidRDefault="00DA25EB" w:rsidP="00DD3DE2">
      <w:pPr>
        <w:pStyle w:val="FootnoteText"/>
        <w:jc w:val="both"/>
        <w:rPr>
          <w:lang w:val="fi-FI"/>
        </w:rPr>
      </w:pPr>
      <w:r>
        <w:rPr>
          <w:rStyle w:val="FootnoteReference"/>
        </w:rPr>
        <w:footnoteRef/>
      </w:r>
      <w:r>
        <w:rPr>
          <w:lang w:val="fi-FI"/>
        </w:rPr>
        <w:t xml:space="preserve"> </w:t>
      </w:r>
      <w:r w:rsidRPr="00D73755">
        <w:rPr>
          <w:lang w:val="fi-FI"/>
        </w:rPr>
        <w:t xml:space="preserve">Titik Triwulan Tutik, </w:t>
      </w:r>
      <w:r>
        <w:rPr>
          <w:i/>
          <w:lang w:val="fi-FI"/>
        </w:rPr>
        <w:t>Op.C</w:t>
      </w:r>
      <w:r w:rsidRPr="00D73755">
        <w:rPr>
          <w:i/>
          <w:lang w:val="fi-FI"/>
        </w:rPr>
        <w:t xml:space="preserve">it. </w:t>
      </w:r>
      <w:r w:rsidRPr="00D73755">
        <w:rPr>
          <w:lang w:val="fi-FI"/>
        </w:rPr>
        <w:t>hlm. 69.</w:t>
      </w:r>
    </w:p>
  </w:footnote>
  <w:footnote w:id="11">
    <w:p w:rsidR="00DA25EB" w:rsidRPr="00B0391A" w:rsidRDefault="00DA25EB" w:rsidP="00DD3DE2">
      <w:pPr>
        <w:pStyle w:val="FootnoteText"/>
        <w:jc w:val="both"/>
        <w:rPr>
          <w:lang w:val="fi-FI"/>
        </w:rPr>
      </w:pPr>
      <w:r>
        <w:rPr>
          <w:rStyle w:val="FootnoteReference"/>
        </w:rPr>
        <w:footnoteRef/>
      </w:r>
      <w:r>
        <w:rPr>
          <w:lang w:val="fi-FI"/>
        </w:rPr>
        <w:t xml:space="preserve"> </w:t>
      </w:r>
      <w:r w:rsidRPr="00B0391A">
        <w:rPr>
          <w:lang w:val="fi-FI"/>
        </w:rPr>
        <w:t xml:space="preserve">Dudu Duswara Machmudin, </w:t>
      </w:r>
      <w:r w:rsidR="009629A9">
        <w:rPr>
          <w:i/>
          <w:lang w:val="fi-FI"/>
        </w:rPr>
        <w:t>Op</w:t>
      </w:r>
      <w:r>
        <w:rPr>
          <w:i/>
          <w:lang w:val="fi-FI"/>
        </w:rPr>
        <w:t>.C</w:t>
      </w:r>
      <w:r w:rsidRPr="00B0391A">
        <w:rPr>
          <w:i/>
          <w:lang w:val="fi-FI"/>
        </w:rPr>
        <w:t>it.</w:t>
      </w:r>
    </w:p>
  </w:footnote>
  <w:footnote w:id="12">
    <w:p w:rsidR="00DA25EB" w:rsidRPr="00D73755" w:rsidRDefault="00DA25EB" w:rsidP="00DD3DE2">
      <w:pPr>
        <w:pStyle w:val="FootnoteText"/>
        <w:jc w:val="both"/>
      </w:pPr>
      <w:r>
        <w:rPr>
          <w:rStyle w:val="FootnoteReference"/>
        </w:rPr>
        <w:footnoteRef/>
      </w:r>
      <w:r>
        <w:rPr>
          <w:lang w:val="en-US"/>
        </w:rPr>
        <w:t xml:space="preserve"> </w:t>
      </w:r>
      <w:r w:rsidRPr="00D73755">
        <w:t xml:space="preserve">Mahkamah Agung RI, </w:t>
      </w:r>
      <w:r w:rsidRPr="00D73755">
        <w:rPr>
          <w:i/>
        </w:rPr>
        <w:t>Naskah Akademis dan Rancangan Undang-Undang Tentang Komisi Yudisial</w:t>
      </w:r>
      <w:r>
        <w:rPr>
          <w:i/>
        </w:rPr>
        <w:t xml:space="preserve">. </w:t>
      </w:r>
      <w:r w:rsidRPr="00E964E2">
        <w:t>J</w:t>
      </w:r>
      <w:r>
        <w:t>akarta: MA RI</w:t>
      </w:r>
      <w:r w:rsidRPr="00D73755">
        <w:rPr>
          <w:i/>
        </w:rPr>
        <w:t>.</w:t>
      </w:r>
      <w:r>
        <w:rPr>
          <w:i/>
        </w:rPr>
        <w:t xml:space="preserve"> </w:t>
      </w:r>
      <w:r>
        <w:t>2003.</w:t>
      </w:r>
      <w:r w:rsidRPr="00D73755">
        <w:rPr>
          <w:i/>
        </w:rPr>
        <w:t xml:space="preserve"> </w:t>
      </w:r>
      <w:r w:rsidRPr="00D73755">
        <w:t>hlm. 22.</w:t>
      </w:r>
    </w:p>
  </w:footnote>
  <w:footnote w:id="13">
    <w:p w:rsidR="00DA25EB" w:rsidRPr="00D73755" w:rsidRDefault="00DA25EB" w:rsidP="00DD3DE2">
      <w:pPr>
        <w:pStyle w:val="FootnoteText"/>
        <w:jc w:val="both"/>
      </w:pPr>
      <w:r>
        <w:rPr>
          <w:rStyle w:val="FootnoteReference"/>
        </w:rPr>
        <w:footnoteRef/>
      </w:r>
      <w:r>
        <w:t xml:space="preserve"> </w:t>
      </w:r>
      <w:r w:rsidRPr="00D73755">
        <w:t>Jimly Asshiddiqie,</w:t>
      </w:r>
      <w:r>
        <w:rPr>
          <w:i/>
        </w:rPr>
        <w:t xml:space="preserve"> Loc.</w:t>
      </w:r>
      <w:r>
        <w:rPr>
          <w:i/>
          <w:lang w:val="en-US"/>
        </w:rPr>
        <w:t>C</w:t>
      </w:r>
      <w:r w:rsidRPr="00D73755">
        <w:rPr>
          <w:i/>
        </w:rPr>
        <w:t>it</w:t>
      </w:r>
      <w:r w:rsidRPr="00D73755">
        <w:t>.</w:t>
      </w:r>
    </w:p>
  </w:footnote>
  <w:footnote w:id="14">
    <w:p w:rsidR="00DA25EB" w:rsidRPr="00B0391A" w:rsidRDefault="00DA25EB" w:rsidP="00DD3DE2">
      <w:pPr>
        <w:pStyle w:val="FootnoteText"/>
        <w:jc w:val="both"/>
        <w:rPr>
          <w:lang w:val="fi-FI"/>
        </w:rPr>
      </w:pPr>
      <w:r>
        <w:rPr>
          <w:rStyle w:val="FootnoteReference"/>
        </w:rPr>
        <w:footnoteRef/>
      </w:r>
      <w:r w:rsidR="009629A9">
        <w:rPr>
          <w:lang w:val="fi-FI"/>
        </w:rPr>
        <w:t xml:space="preserve"> </w:t>
      </w:r>
      <w:r w:rsidR="009629A9">
        <w:rPr>
          <w:i/>
          <w:lang w:val="fi-FI"/>
        </w:rPr>
        <w:t>Ibid</w:t>
      </w:r>
      <w:r>
        <w:rPr>
          <w:lang w:val="fi-FI"/>
        </w:rPr>
        <w:t>.</w:t>
      </w:r>
    </w:p>
  </w:footnote>
  <w:footnote w:id="15">
    <w:p w:rsidR="00DA25EB" w:rsidRPr="00B0391A" w:rsidRDefault="00DA25EB" w:rsidP="00DD3DE2">
      <w:pPr>
        <w:pStyle w:val="FootnoteText"/>
        <w:jc w:val="both"/>
        <w:rPr>
          <w:lang w:val="fi-FI"/>
        </w:rPr>
      </w:pPr>
      <w:r>
        <w:rPr>
          <w:rStyle w:val="FootnoteReference"/>
        </w:rPr>
        <w:footnoteRef/>
      </w:r>
      <w:r>
        <w:rPr>
          <w:lang w:val="fi-FI"/>
        </w:rPr>
        <w:t xml:space="preserve"> </w:t>
      </w:r>
      <w:r w:rsidRPr="00B0391A">
        <w:rPr>
          <w:lang w:val="fi-FI"/>
        </w:rPr>
        <w:t>Pasal 24B ayat</w:t>
      </w:r>
      <w:r>
        <w:rPr>
          <w:lang w:val="fi-FI"/>
        </w:rPr>
        <w:t xml:space="preserve"> </w:t>
      </w:r>
      <w:r w:rsidRPr="00B0391A">
        <w:rPr>
          <w:lang w:val="fi-FI"/>
        </w:rPr>
        <w:t>(1) UUD 1945 Setelah Amandemen.</w:t>
      </w:r>
    </w:p>
  </w:footnote>
  <w:footnote w:id="16">
    <w:p w:rsidR="00DA25EB" w:rsidRPr="00B0391A" w:rsidRDefault="00DA25EB" w:rsidP="00DD3DE2">
      <w:pPr>
        <w:pStyle w:val="FootnoteText"/>
        <w:jc w:val="both"/>
        <w:rPr>
          <w:lang w:val="sv-SE"/>
        </w:rPr>
      </w:pPr>
      <w:r>
        <w:rPr>
          <w:rStyle w:val="FootnoteReference"/>
        </w:rPr>
        <w:footnoteRef/>
      </w:r>
      <w:r>
        <w:rPr>
          <w:lang w:val="sv-SE"/>
        </w:rPr>
        <w:t xml:space="preserve"> Titik Triwulan Tutik,</w:t>
      </w:r>
      <w:r w:rsidRPr="00B0391A">
        <w:rPr>
          <w:lang w:val="sv-SE"/>
        </w:rPr>
        <w:t xml:space="preserve"> </w:t>
      </w:r>
      <w:r>
        <w:rPr>
          <w:i/>
          <w:lang w:val="sv-SE"/>
        </w:rPr>
        <w:t>Op.C</w:t>
      </w:r>
      <w:r w:rsidRPr="00B0391A">
        <w:rPr>
          <w:i/>
          <w:lang w:val="sv-SE"/>
        </w:rPr>
        <w:t xml:space="preserve">it. </w:t>
      </w:r>
      <w:r w:rsidRPr="00B0391A">
        <w:rPr>
          <w:lang w:val="sv-SE"/>
        </w:rPr>
        <w:t>hlm.</w:t>
      </w:r>
      <w:r>
        <w:rPr>
          <w:lang w:val="sv-SE"/>
        </w:rPr>
        <w:t xml:space="preserve"> </w:t>
      </w:r>
      <w:r w:rsidRPr="00B0391A">
        <w:rPr>
          <w:lang w:val="sv-SE"/>
        </w:rPr>
        <w:t>77.</w:t>
      </w:r>
    </w:p>
  </w:footnote>
  <w:footnote w:id="17">
    <w:p w:rsidR="00DA25EB" w:rsidRPr="00B0391A" w:rsidRDefault="00DA25EB" w:rsidP="00DD3DE2">
      <w:pPr>
        <w:pStyle w:val="FootnoteText"/>
        <w:jc w:val="both"/>
        <w:rPr>
          <w:lang w:val="sv-SE"/>
        </w:rPr>
      </w:pPr>
      <w:r>
        <w:rPr>
          <w:rStyle w:val="FootnoteReference"/>
        </w:rPr>
        <w:footnoteRef/>
      </w:r>
      <w:r>
        <w:rPr>
          <w:lang w:val="sv-SE"/>
        </w:rPr>
        <w:t xml:space="preserve"> Titik Triwulan Tutik,</w:t>
      </w:r>
      <w:r w:rsidR="009629A9">
        <w:rPr>
          <w:lang w:val="sv-SE"/>
        </w:rPr>
        <w:t xml:space="preserve"> </w:t>
      </w:r>
      <w:r w:rsidR="009629A9" w:rsidRPr="009629A9">
        <w:rPr>
          <w:i/>
          <w:lang w:val="sv-SE"/>
        </w:rPr>
        <w:t>Loc</w:t>
      </w:r>
      <w:r>
        <w:rPr>
          <w:i/>
          <w:lang w:val="sv-SE"/>
        </w:rPr>
        <w:t>.C</w:t>
      </w:r>
      <w:r w:rsidRPr="00B0391A">
        <w:rPr>
          <w:i/>
          <w:lang w:val="sv-SE"/>
        </w:rPr>
        <w:t xml:space="preserve">it. </w:t>
      </w:r>
      <w:r w:rsidRPr="00B0391A">
        <w:rPr>
          <w:lang w:val="sv-SE"/>
        </w:rPr>
        <w:t>hlm.</w:t>
      </w:r>
      <w:r>
        <w:rPr>
          <w:lang w:val="sv-SE"/>
        </w:rPr>
        <w:t xml:space="preserve"> </w:t>
      </w:r>
      <w:r w:rsidRPr="00B0391A">
        <w:rPr>
          <w:lang w:val="sv-SE"/>
        </w:rPr>
        <w:t>73.</w:t>
      </w:r>
    </w:p>
  </w:footnote>
  <w:footnote w:id="18">
    <w:p w:rsidR="00DA25EB" w:rsidRPr="00D73755" w:rsidRDefault="00DA25EB" w:rsidP="00DD3DE2">
      <w:pPr>
        <w:pStyle w:val="FootnoteText"/>
        <w:jc w:val="both"/>
        <w:rPr>
          <w:lang w:val="fi-FI"/>
        </w:rPr>
      </w:pPr>
      <w:r>
        <w:rPr>
          <w:rStyle w:val="FootnoteReference"/>
        </w:rPr>
        <w:footnoteRef/>
      </w:r>
      <w:r>
        <w:rPr>
          <w:lang w:val="fi-FI"/>
        </w:rPr>
        <w:t xml:space="preserve"> </w:t>
      </w:r>
      <w:r w:rsidRPr="00A66CA2">
        <w:rPr>
          <w:i/>
          <w:lang w:val="fi-FI"/>
        </w:rPr>
        <w:t>Ibid</w:t>
      </w:r>
      <w:r>
        <w:rPr>
          <w:lang w:val="fi-FI"/>
        </w:rPr>
        <w:t>. hlm.</w:t>
      </w:r>
      <w:r w:rsidR="009629A9">
        <w:rPr>
          <w:lang w:val="fi-FI"/>
        </w:rPr>
        <w:t xml:space="preserve"> </w:t>
      </w:r>
      <w:r>
        <w:rPr>
          <w:lang w:val="fi-FI"/>
        </w:rPr>
        <w:t>9.</w:t>
      </w:r>
    </w:p>
  </w:footnote>
  <w:footnote w:id="19">
    <w:p w:rsidR="00DA25EB" w:rsidRPr="00A66CA2" w:rsidRDefault="00DA25EB" w:rsidP="00DD3DE2">
      <w:pPr>
        <w:pStyle w:val="FootnoteText"/>
        <w:jc w:val="both"/>
        <w:rPr>
          <w:lang w:val="en-US"/>
        </w:rPr>
      </w:pPr>
      <w:r>
        <w:rPr>
          <w:rStyle w:val="FootnoteReference"/>
        </w:rPr>
        <w:footnoteRef/>
      </w:r>
      <w:r>
        <w:rPr>
          <w:lang w:val="fi-FI"/>
        </w:rPr>
        <w:t xml:space="preserve"> </w:t>
      </w:r>
      <w:hyperlink r:id="rId1" w:history="1">
        <w:r w:rsidRPr="000F02DE">
          <w:rPr>
            <w:rStyle w:val="Hyperlink"/>
            <w:color w:val="000000" w:themeColor="text1"/>
          </w:rPr>
          <w:t>www.hukumonline.com</w:t>
        </w:r>
      </w:hyperlink>
      <w:r w:rsidRPr="00A86351">
        <w:t xml:space="preserve">, </w:t>
      </w:r>
      <w:r w:rsidRPr="00A86351">
        <w:rPr>
          <w:i/>
        </w:rPr>
        <w:t>31 Hakim Agung Minta Payung Hukum Komisi Yudisial Diuji</w:t>
      </w:r>
      <w:r>
        <w:rPr>
          <w:lang w:val="en-US"/>
        </w:rPr>
        <w:t>, d</w:t>
      </w:r>
      <w:r>
        <w:t xml:space="preserve">iakses </w:t>
      </w:r>
      <w:r>
        <w:rPr>
          <w:lang w:val="en-US"/>
        </w:rPr>
        <w:t xml:space="preserve">pada hari Selasa, </w:t>
      </w:r>
      <w:r>
        <w:t>t</w:t>
      </w:r>
      <w:r w:rsidRPr="000D7C26">
        <w:t>anggal 14 Maret 2006.</w:t>
      </w:r>
      <w:r>
        <w:rPr>
          <w:lang w:val="en-US"/>
        </w:rPr>
        <w:t xml:space="preserve"> Pukul : 21.30 WIB.</w:t>
      </w:r>
    </w:p>
  </w:footnote>
  <w:footnote w:id="20">
    <w:p w:rsidR="00DA25EB" w:rsidRPr="00D73755" w:rsidRDefault="00DA25EB" w:rsidP="00DD3DE2">
      <w:pPr>
        <w:pStyle w:val="FootnoteText"/>
        <w:jc w:val="both"/>
        <w:rPr>
          <w:lang w:val="fi-FI"/>
        </w:rPr>
      </w:pPr>
      <w:r>
        <w:rPr>
          <w:rStyle w:val="FootnoteReference"/>
        </w:rPr>
        <w:footnoteRef/>
      </w:r>
      <w:r>
        <w:rPr>
          <w:lang w:val="fi-FI"/>
        </w:rPr>
        <w:t xml:space="preserve"> </w:t>
      </w:r>
      <w:r w:rsidRPr="00D73755">
        <w:rPr>
          <w:lang w:val="fi-FI"/>
        </w:rPr>
        <w:t>Putusan M</w:t>
      </w:r>
      <w:r>
        <w:rPr>
          <w:lang w:val="fi-FI"/>
        </w:rPr>
        <w:t xml:space="preserve">ahkamah </w:t>
      </w:r>
      <w:r w:rsidRPr="00D73755">
        <w:rPr>
          <w:lang w:val="fi-FI"/>
        </w:rPr>
        <w:t>K</w:t>
      </w:r>
      <w:r>
        <w:rPr>
          <w:lang w:val="fi-FI"/>
        </w:rPr>
        <w:t>onstitusi</w:t>
      </w:r>
      <w:r w:rsidRPr="00D73755">
        <w:rPr>
          <w:lang w:val="fi-FI"/>
        </w:rPr>
        <w:t xml:space="preserve"> No</w:t>
      </w:r>
      <w:r>
        <w:rPr>
          <w:lang w:val="fi-FI"/>
        </w:rPr>
        <w:t>mor</w:t>
      </w:r>
      <w:r w:rsidRPr="00D73755">
        <w:rPr>
          <w:lang w:val="fi-FI"/>
        </w:rPr>
        <w:t>. 005/PUU-IV/2006.</w:t>
      </w:r>
    </w:p>
  </w:footnote>
  <w:footnote w:id="21">
    <w:p w:rsidR="00DA25EB" w:rsidRPr="00F11FC6" w:rsidRDefault="00DA25EB" w:rsidP="00DD3DE2">
      <w:pPr>
        <w:pStyle w:val="FootnoteText"/>
        <w:jc w:val="both"/>
        <w:rPr>
          <w:lang w:val="en-US"/>
        </w:rPr>
      </w:pPr>
      <w:r>
        <w:rPr>
          <w:rStyle w:val="FootnoteReference"/>
        </w:rPr>
        <w:footnoteRef/>
      </w:r>
      <w:r>
        <w:rPr>
          <w:lang w:val="fi-FI"/>
        </w:rPr>
        <w:t xml:space="preserve"> </w:t>
      </w:r>
      <w:hyperlink r:id="rId2" w:history="1">
        <w:r w:rsidRPr="000F02DE">
          <w:rPr>
            <w:rStyle w:val="Hyperlink"/>
            <w:color w:val="000000" w:themeColor="text1"/>
          </w:rPr>
          <w:t>www.hukumonline.com</w:t>
        </w:r>
      </w:hyperlink>
      <w:r w:rsidRPr="000F02DE">
        <w:rPr>
          <w:color w:val="000000" w:themeColor="text1"/>
        </w:rPr>
        <w:t>,</w:t>
      </w:r>
      <w:r w:rsidRPr="00A86351">
        <w:t xml:space="preserve"> </w:t>
      </w:r>
      <w:r w:rsidRPr="00A86351">
        <w:rPr>
          <w:i/>
        </w:rPr>
        <w:t>Lewat Judicial Review, MA Seperti Ingin Memandulkan KY</w:t>
      </w:r>
      <w:r>
        <w:rPr>
          <w:lang w:val="en-US"/>
        </w:rPr>
        <w:t>, diakses pada hari Sabtu,</w:t>
      </w:r>
      <w:r>
        <w:t xml:space="preserve"> tanggal </w:t>
      </w:r>
      <w:r>
        <w:rPr>
          <w:lang w:val="en-US"/>
        </w:rPr>
        <w:t>22 September</w:t>
      </w:r>
      <w:r>
        <w:t xml:space="preserve"> 20</w:t>
      </w:r>
      <w:r>
        <w:rPr>
          <w:lang w:val="en-US"/>
        </w:rPr>
        <w:t>18</w:t>
      </w:r>
      <w:r w:rsidRPr="00A86351">
        <w:t>.</w:t>
      </w:r>
      <w:r>
        <w:rPr>
          <w:lang w:val="en-US"/>
        </w:rPr>
        <w:t xml:space="preserve"> Pukul : 05.04 WIB.</w:t>
      </w:r>
    </w:p>
  </w:footnote>
  <w:footnote w:id="22">
    <w:p w:rsidR="00DA25EB" w:rsidRPr="00B0391A" w:rsidRDefault="00DA25EB" w:rsidP="00DD3DE2">
      <w:pPr>
        <w:pStyle w:val="FootnoteText"/>
        <w:jc w:val="both"/>
        <w:rPr>
          <w:lang w:val="fi-FI"/>
        </w:rPr>
      </w:pPr>
      <w:r>
        <w:rPr>
          <w:rStyle w:val="FootnoteReference"/>
        </w:rPr>
        <w:footnoteRef/>
      </w:r>
      <w:r>
        <w:t xml:space="preserve"> </w:t>
      </w:r>
      <w:hyperlink r:id="rId3" w:history="1">
        <w:r w:rsidRPr="000F02DE">
          <w:rPr>
            <w:rStyle w:val="Hyperlink"/>
            <w:color w:val="000000" w:themeColor="text1"/>
          </w:rPr>
          <w:t>www.komisiyudisial.go.id</w:t>
        </w:r>
      </w:hyperlink>
      <w:r>
        <w:t>,</w:t>
      </w:r>
      <w:r w:rsidRPr="00A86351">
        <w:t xml:space="preserve"> </w:t>
      </w:r>
      <w:r w:rsidRPr="00A86351">
        <w:rPr>
          <w:i/>
        </w:rPr>
        <w:t>Revisi RUU Komisi Yudisia</w:t>
      </w:r>
      <w:r w:rsidRPr="000D7C26">
        <w:rPr>
          <w:i/>
        </w:rPr>
        <w:t>l, Mulai darimana?</w:t>
      </w:r>
      <w:r>
        <w:rPr>
          <w:lang w:val="en-US"/>
        </w:rPr>
        <w:t>,</w:t>
      </w:r>
      <w:r w:rsidRPr="000D7C26">
        <w:t xml:space="preserve"> </w:t>
      </w:r>
      <w:r>
        <w:rPr>
          <w:lang w:val="fi-FI"/>
        </w:rPr>
        <w:t>d</w:t>
      </w:r>
      <w:r w:rsidRPr="00B0391A">
        <w:rPr>
          <w:lang w:val="fi-FI"/>
        </w:rPr>
        <w:t xml:space="preserve">iakses </w:t>
      </w:r>
      <w:r>
        <w:rPr>
          <w:lang w:val="fi-FI"/>
        </w:rPr>
        <w:t xml:space="preserve">pada hari Selasa, </w:t>
      </w:r>
      <w:r w:rsidRPr="00B0391A">
        <w:rPr>
          <w:lang w:val="fi-FI"/>
        </w:rPr>
        <w:t>tanggal 19 Desember 2006.</w:t>
      </w:r>
      <w:r>
        <w:rPr>
          <w:lang w:val="fi-FI"/>
        </w:rPr>
        <w:t xml:space="preserve"> Pukul : 21.15 WIB.</w:t>
      </w:r>
    </w:p>
  </w:footnote>
  <w:footnote w:id="23">
    <w:p w:rsidR="00DA25EB" w:rsidRPr="00A070AE" w:rsidRDefault="00DA25EB" w:rsidP="00C16983">
      <w:pPr>
        <w:pStyle w:val="FootnoteText"/>
        <w:jc w:val="both"/>
        <w:rPr>
          <w:lang w:val="en-US"/>
        </w:rPr>
      </w:pPr>
      <w:r>
        <w:rPr>
          <w:rStyle w:val="FootnoteReference"/>
        </w:rPr>
        <w:footnoteRef/>
      </w:r>
      <w:hyperlink w:history="1">
        <w:r w:rsidRPr="00C16983">
          <w:rPr>
            <w:rStyle w:val="Hyperlink"/>
            <w:color w:val="auto"/>
            <w:u w:val="none"/>
            <w:lang w:val="en-US"/>
          </w:rPr>
          <w:t xml:space="preserve"> </w:t>
        </w:r>
        <w:r w:rsidRPr="00C16983">
          <w:rPr>
            <w:rStyle w:val="Hyperlink"/>
            <w:color w:val="auto"/>
          </w:rPr>
          <w:t>www.komisiyudisial.go.id/assets/uploads/files/Bunga-Rampai-KY-2016-Optimalisasi</w:t>
        </w:r>
        <w:r w:rsidRPr="00C16983">
          <w:rPr>
            <w:rStyle w:val="Hyperlink"/>
            <w:color w:val="auto"/>
            <w:lang w:val="en-US"/>
          </w:rPr>
          <w:t xml:space="preserve"> </w:t>
        </w:r>
        <w:r w:rsidRPr="00C16983">
          <w:rPr>
            <w:rStyle w:val="Hyperlink"/>
            <w:color w:val="auto"/>
          </w:rPr>
          <w:t>Wewenang-KY-dalam-Mewujudkan-Hakim-Berintegritas.pdf</w:t>
        </w:r>
      </w:hyperlink>
      <w:r w:rsidRPr="00C16983">
        <w:rPr>
          <w:lang w:val="en-US"/>
        </w:rPr>
        <w:t>, diakses pada hari Sabtu, tanggal 1 September 2018. P</w:t>
      </w:r>
      <w:r>
        <w:rPr>
          <w:lang w:val="en-US"/>
        </w:rPr>
        <w:t>ukul : 20.00 WIB.</w:t>
      </w:r>
    </w:p>
  </w:footnote>
  <w:footnote w:id="24">
    <w:p w:rsidR="00DA25EB" w:rsidRPr="002F6FE2" w:rsidRDefault="00DA25EB" w:rsidP="008922F5">
      <w:pPr>
        <w:pStyle w:val="FootnoteText"/>
        <w:rPr>
          <w:lang w:val="en-US"/>
        </w:rPr>
      </w:pPr>
      <w:r>
        <w:rPr>
          <w:rStyle w:val="FootnoteReference"/>
        </w:rPr>
        <w:footnoteRef/>
      </w:r>
      <w:r>
        <w:t xml:space="preserve"> </w:t>
      </w:r>
      <w:r>
        <w:rPr>
          <w:lang w:val="en-US"/>
        </w:rPr>
        <w:t xml:space="preserve"> Komisi Yudisial Republik Indonesia, </w:t>
      </w:r>
      <w:r w:rsidRPr="00221227">
        <w:rPr>
          <w:i/>
          <w:lang w:val="en-US"/>
        </w:rPr>
        <w:t>Mengenal Lebih Dekat Komisi Yudisial.</w:t>
      </w:r>
      <w:r>
        <w:rPr>
          <w:lang w:val="en-US"/>
        </w:rPr>
        <w:t xml:space="preserve"> Jakarta : KYRI.2012. hlm. 41-42.</w:t>
      </w:r>
    </w:p>
  </w:footnote>
  <w:footnote w:id="25">
    <w:p w:rsidR="00DA25EB" w:rsidRDefault="00DA25EB" w:rsidP="008922F5">
      <w:pPr>
        <w:pStyle w:val="FootnoteText"/>
        <w:jc w:val="both"/>
      </w:pPr>
      <w:r>
        <w:rPr>
          <w:rStyle w:val="FootnoteReference"/>
        </w:rPr>
        <w:footnoteRef/>
      </w:r>
      <w:r>
        <w:t xml:space="preserve"> Muzayyin Mahbub, 2012, </w:t>
      </w:r>
      <w:r>
        <w:rPr>
          <w:i/>
        </w:rPr>
        <w:t>Harapan Komisi Yudisial Terhadap Masyarakat dan Perguruan Tingg</w:t>
      </w:r>
      <w:r>
        <w:t>i, Buletin Komisi Yudisial, Vol. VII No. 2, September-Oktober, hlm. 22.</w:t>
      </w:r>
    </w:p>
  </w:footnote>
  <w:footnote w:id="26">
    <w:p w:rsidR="00DA25EB" w:rsidRPr="00E27C6E" w:rsidRDefault="00DA25EB" w:rsidP="008922F5">
      <w:pPr>
        <w:pStyle w:val="FootnoteText"/>
        <w:rPr>
          <w:lang w:val="en-US"/>
        </w:rPr>
      </w:pPr>
      <w:r>
        <w:rPr>
          <w:rStyle w:val="FootnoteReference"/>
        </w:rPr>
        <w:footnoteRef/>
      </w:r>
      <w:r>
        <w:t xml:space="preserve"> Titik Triwulan Tutik</w:t>
      </w:r>
      <w:r>
        <w:rPr>
          <w:lang w:val="sv-SE"/>
        </w:rPr>
        <w:t xml:space="preserve">, </w:t>
      </w:r>
      <w:r w:rsidR="009629A9">
        <w:rPr>
          <w:i/>
          <w:lang w:val="sv-SE"/>
        </w:rPr>
        <w:t>Loc</w:t>
      </w:r>
      <w:r>
        <w:rPr>
          <w:i/>
          <w:lang w:val="sv-SE"/>
        </w:rPr>
        <w:t>.cit</w:t>
      </w:r>
      <w:r>
        <w:rPr>
          <w:lang w:val="en-US"/>
        </w:rPr>
        <w:t>.</w:t>
      </w:r>
      <w:r>
        <w:rPr>
          <w:i/>
          <w:lang w:val="en-US"/>
        </w:rPr>
        <w:t xml:space="preserve"> </w:t>
      </w:r>
      <w:r>
        <w:rPr>
          <w:lang w:val="en-US"/>
        </w:rPr>
        <w:t>hlm. 165-166.</w:t>
      </w:r>
    </w:p>
  </w:footnote>
  <w:footnote w:id="27">
    <w:p w:rsidR="00DA25EB" w:rsidRPr="003D6C6B" w:rsidRDefault="00DA25EB" w:rsidP="009629A9">
      <w:pPr>
        <w:pStyle w:val="FootnoteText"/>
        <w:jc w:val="both"/>
        <w:rPr>
          <w:lang w:val="en-US"/>
        </w:rPr>
      </w:pPr>
      <w:r>
        <w:rPr>
          <w:rStyle w:val="FootnoteReference"/>
        </w:rPr>
        <w:footnoteRef/>
      </w:r>
      <w:r>
        <w:t xml:space="preserve"> </w:t>
      </w:r>
      <w:r w:rsidR="009629A9">
        <w:rPr>
          <w:lang w:val="en-US"/>
        </w:rPr>
        <w:t>Lihat Putusan Mahkamah Ko</w:t>
      </w:r>
      <w:r>
        <w:rPr>
          <w:lang w:val="en-US"/>
        </w:rPr>
        <w:t>nstitusi Nomor 005/PUU-IV/2006 tanggal 26 Agustus 2006. hlm. 153.</w:t>
      </w:r>
    </w:p>
  </w:footnote>
  <w:footnote w:id="28">
    <w:p w:rsidR="00DA25EB" w:rsidRPr="00A178F5" w:rsidRDefault="00DA25EB" w:rsidP="009629A9">
      <w:pPr>
        <w:pStyle w:val="FootnoteText"/>
        <w:jc w:val="both"/>
        <w:rPr>
          <w:lang w:val="en-US"/>
        </w:rPr>
      </w:pPr>
      <w:r>
        <w:rPr>
          <w:rStyle w:val="FootnoteReference"/>
        </w:rPr>
        <w:footnoteRef/>
      </w:r>
      <w:r>
        <w:t xml:space="preserve"> </w:t>
      </w:r>
      <w:r>
        <w:rPr>
          <w:lang w:val="fi-FI"/>
        </w:rPr>
        <w:t>P</w:t>
      </w:r>
      <w:r w:rsidRPr="00D71465">
        <w:rPr>
          <w:lang w:val="fi-FI"/>
        </w:rPr>
        <w:t xml:space="preserve">asal 1 </w:t>
      </w:r>
      <w:r>
        <w:rPr>
          <w:lang w:val="fi-FI"/>
        </w:rPr>
        <w:t xml:space="preserve">angka 9 </w:t>
      </w:r>
      <w:r w:rsidRPr="00D71465">
        <w:rPr>
          <w:lang w:val="fi-FI"/>
        </w:rPr>
        <w:t>UU No. 4</w:t>
      </w:r>
      <w:r>
        <w:rPr>
          <w:lang w:val="fi-FI"/>
        </w:rPr>
        <w:t xml:space="preserve">8 Tahun 2009 tentang kekuasaan kehakiman </w:t>
      </w:r>
      <w:r w:rsidRPr="00DB2DD8">
        <w:rPr>
          <w:lang w:val="en-US"/>
        </w:rPr>
        <w:t xml:space="preserve">(Lembaran Negara Republik Indonesia Tahun </w:t>
      </w:r>
      <w:r>
        <w:rPr>
          <w:lang w:val="en-US"/>
        </w:rPr>
        <w:t>2009</w:t>
      </w:r>
      <w:r w:rsidRPr="00DB2DD8">
        <w:rPr>
          <w:lang w:val="en-US"/>
        </w:rPr>
        <w:t xml:space="preserve"> Nomor</w:t>
      </w:r>
      <w:r>
        <w:rPr>
          <w:lang w:val="en-US"/>
        </w:rPr>
        <w:t xml:space="preserve"> 157</w:t>
      </w:r>
      <w:r w:rsidRPr="00DB2DD8">
        <w:rPr>
          <w:lang w:val="en-US"/>
        </w:rPr>
        <w:t xml:space="preserve">, Tambahan Lembaran Negara Republik Indonesia Nomor </w:t>
      </w:r>
      <w:r>
        <w:rPr>
          <w:lang w:val="en-US"/>
        </w:rPr>
        <w:t>5076</w:t>
      </w:r>
      <w:r w:rsidRPr="00DB2DD8">
        <w:rPr>
          <w:lang w:val="en-US"/>
        </w:rPr>
        <w:t>)</w:t>
      </w:r>
      <w:r w:rsidRPr="00DB2DD8">
        <w:t>.</w:t>
      </w:r>
    </w:p>
  </w:footnote>
  <w:footnote w:id="29">
    <w:p w:rsidR="00DA25EB" w:rsidRPr="00852779" w:rsidRDefault="00DA25EB" w:rsidP="009629A9">
      <w:pPr>
        <w:pStyle w:val="FootnoteText"/>
        <w:jc w:val="both"/>
        <w:rPr>
          <w:lang w:val="en-US"/>
        </w:rPr>
      </w:pPr>
      <w:r>
        <w:rPr>
          <w:rStyle w:val="FootnoteReference"/>
        </w:rPr>
        <w:footnoteRef/>
      </w:r>
      <w:r>
        <w:rPr>
          <w:lang w:val="en-US"/>
        </w:rPr>
        <w:t xml:space="preserve"> Pasal 1 angka 20 Peraturan Komisi Yudisial</w:t>
      </w:r>
      <w:r w:rsidRPr="00852779">
        <w:t xml:space="preserve"> </w:t>
      </w:r>
      <w:r>
        <w:t xml:space="preserve">Yudisial </w:t>
      </w:r>
      <w:r>
        <w:rPr>
          <w:lang w:val="en-US"/>
        </w:rPr>
        <w:t xml:space="preserve">Republik Indonesia </w:t>
      </w:r>
      <w:r>
        <w:t xml:space="preserve">Nomor </w:t>
      </w:r>
      <w:r>
        <w:rPr>
          <w:lang w:val="en-US"/>
        </w:rPr>
        <w:t>2</w:t>
      </w:r>
      <w:r>
        <w:t xml:space="preserve"> Tahun 20</w:t>
      </w:r>
      <w:r>
        <w:rPr>
          <w:lang w:val="en-US"/>
        </w:rPr>
        <w:t>15</w:t>
      </w:r>
      <w:r>
        <w:t xml:space="preserve"> tentang </w:t>
      </w:r>
      <w:r>
        <w:rPr>
          <w:lang w:val="en-US"/>
        </w:rPr>
        <w:t>Penanganan Laporan Mayarakat.</w:t>
      </w:r>
      <w:r>
        <w:t xml:space="preserve">  </w:t>
      </w:r>
    </w:p>
  </w:footnote>
  <w:footnote w:id="30">
    <w:p w:rsidR="00DA25EB" w:rsidRDefault="00DA25EB" w:rsidP="008922F5">
      <w:pPr>
        <w:pStyle w:val="FootnoteText"/>
        <w:jc w:val="both"/>
        <w:rPr>
          <w:lang w:val="es-ES"/>
        </w:rPr>
      </w:pPr>
      <w:r>
        <w:rPr>
          <w:rStyle w:val="FootnoteReference"/>
        </w:rPr>
        <w:footnoteRef/>
      </w:r>
      <w:r>
        <w:t xml:space="preserve"> Titik Triwulan Tutik</w:t>
      </w:r>
      <w:r>
        <w:rPr>
          <w:lang w:val="sv-SE"/>
        </w:rPr>
        <w:t xml:space="preserve">, </w:t>
      </w:r>
      <w:r w:rsidR="009629A9">
        <w:rPr>
          <w:i/>
          <w:lang w:val="sv-SE"/>
        </w:rPr>
        <w:t>Loc</w:t>
      </w:r>
      <w:r>
        <w:rPr>
          <w:i/>
          <w:lang w:val="sv-SE"/>
        </w:rPr>
        <w:t>.cit.</w:t>
      </w:r>
      <w:r>
        <w:t xml:space="preserve"> hlm. </w:t>
      </w:r>
      <w:r>
        <w:rPr>
          <w:lang w:val="es-ES"/>
        </w:rPr>
        <w:t>165-166.</w:t>
      </w:r>
    </w:p>
  </w:footnote>
  <w:footnote w:id="31">
    <w:p w:rsidR="00DA25EB" w:rsidRDefault="00DA25EB" w:rsidP="008922F5">
      <w:pPr>
        <w:pStyle w:val="FootnoteText"/>
        <w:jc w:val="both"/>
        <w:rPr>
          <w:lang w:val="en-US"/>
        </w:rPr>
      </w:pPr>
      <w:r>
        <w:rPr>
          <w:rStyle w:val="FootnoteReference"/>
        </w:rPr>
        <w:footnoteRef/>
      </w:r>
      <w:r>
        <w:t xml:space="preserve"> </w:t>
      </w:r>
      <w:r>
        <w:rPr>
          <w:i/>
          <w:lang w:val="en-US"/>
        </w:rPr>
        <w:t>Ibid</w:t>
      </w:r>
      <w:r>
        <w:rPr>
          <w:lang w:val="en-US"/>
        </w:rPr>
        <w:t xml:space="preserve">. </w:t>
      </w:r>
      <w:r>
        <w:t>hlm</w:t>
      </w:r>
      <w:r>
        <w:rPr>
          <w:lang w:val="en-US"/>
        </w:rPr>
        <w:t>. 168.</w:t>
      </w:r>
    </w:p>
  </w:footnote>
  <w:footnote w:id="32">
    <w:p w:rsidR="00DA25EB" w:rsidRDefault="00DA25EB" w:rsidP="008922F5">
      <w:pPr>
        <w:pStyle w:val="FootnoteText"/>
      </w:pPr>
      <w:r>
        <w:rPr>
          <w:rStyle w:val="FootnoteReference"/>
        </w:rPr>
        <w:footnoteRef/>
      </w:r>
      <w:r>
        <w:t xml:space="preserve"> </w:t>
      </w:r>
      <w:r>
        <w:rPr>
          <w:i/>
        </w:rPr>
        <w:t>Ibid</w:t>
      </w:r>
      <w:r>
        <w:t>. hlm. 12.</w:t>
      </w:r>
    </w:p>
  </w:footnote>
  <w:footnote w:id="33">
    <w:p w:rsidR="00DA25EB" w:rsidRPr="00D22D5A" w:rsidRDefault="00DA25EB" w:rsidP="008922F5">
      <w:pPr>
        <w:pStyle w:val="FootnoteText"/>
        <w:rPr>
          <w:lang w:val="en-US"/>
        </w:rPr>
      </w:pPr>
      <w:r>
        <w:rPr>
          <w:rStyle w:val="FootnoteReference"/>
        </w:rPr>
        <w:footnoteRef/>
      </w:r>
      <w:r w:rsidR="009629A9">
        <w:rPr>
          <w:lang w:val="en-US"/>
        </w:rPr>
        <w:t xml:space="preserve"> </w:t>
      </w:r>
      <w:r w:rsidR="009629A9">
        <w:rPr>
          <w:u w:val="single"/>
          <w:lang w:val="en-US"/>
        </w:rPr>
        <w:t>www.</w:t>
      </w:r>
      <w:hyperlink r:id="rId4" w:history="1">
        <w:r w:rsidRPr="009629A9">
          <w:rPr>
            <w:rStyle w:val="Hyperlink"/>
            <w:color w:val="000000" w:themeColor="text1"/>
          </w:rPr>
          <w:t>komisiyudisial.go.id/frontend/news_detail/661/objek-pengawasan-ky-adalah-perilaku-murni-hakim</w:t>
        </w:r>
      </w:hyperlink>
      <w:r>
        <w:rPr>
          <w:color w:val="000000" w:themeColor="text1"/>
        </w:rPr>
        <w:t>, Komisi Yudisial, Objek Pengawasa KY, diakses pada tanggal 26 Februari 2020 Pukul 21.41Wib.</w:t>
      </w:r>
    </w:p>
  </w:footnote>
  <w:footnote w:id="34">
    <w:p w:rsidR="00DA25EB" w:rsidRPr="00D22D5A" w:rsidRDefault="00DA25EB" w:rsidP="008922F5">
      <w:pPr>
        <w:pStyle w:val="FootnoteText"/>
        <w:rPr>
          <w:lang w:val="en-US"/>
        </w:rPr>
      </w:pPr>
      <w:r>
        <w:rPr>
          <w:rStyle w:val="FootnoteReference"/>
        </w:rPr>
        <w:footnoteRef/>
      </w:r>
      <w:r>
        <w:rPr>
          <w:i/>
          <w:lang w:val="fi-FI"/>
        </w:rPr>
        <w:t>Ibid.</w:t>
      </w:r>
    </w:p>
  </w:footnote>
  <w:footnote w:id="35">
    <w:p w:rsidR="00DA25EB" w:rsidRPr="00C31EF1" w:rsidRDefault="00DA25EB" w:rsidP="008922F5">
      <w:pPr>
        <w:pStyle w:val="FootnoteText"/>
        <w:jc w:val="both"/>
        <w:rPr>
          <w:lang w:val="en-US"/>
        </w:rPr>
      </w:pPr>
      <w:r>
        <w:rPr>
          <w:rStyle w:val="FootnoteReference"/>
        </w:rPr>
        <w:footnoteRef/>
      </w:r>
      <w:r>
        <w:t xml:space="preserve"> </w:t>
      </w:r>
      <w:r>
        <w:rPr>
          <w:bCs/>
          <w:lang w:val="en-US"/>
        </w:rPr>
        <w:t xml:space="preserve">Pasal 22A ayat (2) </w:t>
      </w:r>
      <w:r>
        <w:rPr>
          <w:lang w:val="fi-FI"/>
        </w:rPr>
        <w:t xml:space="preserve">UU No.18 Tahun 2011 tentang perubahan atas UU No. 22 Tahun 2004 tentang Komisi Yudisial </w:t>
      </w:r>
      <w:r w:rsidRPr="00DB2DD8">
        <w:rPr>
          <w:lang w:val="en-US"/>
        </w:rPr>
        <w:t xml:space="preserve">(Lembaran Negara Republik Indonesia Tahun </w:t>
      </w:r>
      <w:r>
        <w:rPr>
          <w:lang w:val="en-US"/>
        </w:rPr>
        <w:t>2011</w:t>
      </w:r>
      <w:r w:rsidRPr="00DB2DD8">
        <w:rPr>
          <w:lang w:val="en-US"/>
        </w:rPr>
        <w:t xml:space="preserve"> Nomor</w:t>
      </w:r>
      <w:r>
        <w:rPr>
          <w:lang w:val="en-US"/>
        </w:rPr>
        <w:t xml:space="preserve"> 106</w:t>
      </w:r>
      <w:r w:rsidRPr="00DB2DD8">
        <w:rPr>
          <w:lang w:val="en-US"/>
        </w:rPr>
        <w:t xml:space="preserve">, Tambahan Lembaran Negara Republik Indonesia Nomor </w:t>
      </w:r>
      <w:r>
        <w:rPr>
          <w:lang w:val="en-US"/>
        </w:rPr>
        <w:t>5250</w:t>
      </w:r>
      <w:r w:rsidRPr="00DB2DD8">
        <w:rPr>
          <w:lang w:val="en-US"/>
        </w:rPr>
        <w:t>)</w:t>
      </w:r>
      <w:r w:rsidRPr="00DB2DD8">
        <w:t>.</w:t>
      </w:r>
    </w:p>
  </w:footnote>
  <w:footnote w:id="36">
    <w:p w:rsidR="00DA25EB" w:rsidRPr="0007261B" w:rsidRDefault="00DA25EB" w:rsidP="008922F5">
      <w:pPr>
        <w:pStyle w:val="FootnoteText"/>
        <w:jc w:val="both"/>
        <w:rPr>
          <w:lang w:val="en-US"/>
        </w:rPr>
      </w:pPr>
      <w:r>
        <w:rPr>
          <w:rStyle w:val="FootnoteReference"/>
        </w:rPr>
        <w:footnoteRef/>
      </w:r>
      <w:r>
        <w:t xml:space="preserve"> </w:t>
      </w:r>
      <w:r>
        <w:rPr>
          <w:bCs/>
          <w:lang w:val="en-US"/>
        </w:rPr>
        <w:t xml:space="preserve">Pasal 20 ayat (3) </w:t>
      </w:r>
      <w:r>
        <w:rPr>
          <w:lang w:val="fi-FI"/>
        </w:rPr>
        <w:t xml:space="preserve">UU No.18 Tahun 2011 tentang perubahan atas UU No. 22 Tahun 2004 tentang Komisi Yudisial </w:t>
      </w:r>
      <w:r w:rsidRPr="00DB2DD8">
        <w:rPr>
          <w:lang w:val="en-US"/>
        </w:rPr>
        <w:t xml:space="preserve">(Lembaran Negara Republik Indonesia Tahun </w:t>
      </w:r>
      <w:r>
        <w:rPr>
          <w:lang w:val="en-US"/>
        </w:rPr>
        <w:t>2011</w:t>
      </w:r>
      <w:r w:rsidRPr="00DB2DD8">
        <w:rPr>
          <w:lang w:val="en-US"/>
        </w:rPr>
        <w:t xml:space="preserve"> Nomor</w:t>
      </w:r>
      <w:r>
        <w:rPr>
          <w:lang w:val="en-US"/>
        </w:rPr>
        <w:t xml:space="preserve"> 106</w:t>
      </w:r>
      <w:r w:rsidRPr="00DB2DD8">
        <w:rPr>
          <w:lang w:val="en-US"/>
        </w:rPr>
        <w:t xml:space="preserve">, Tambahan Lembaran Negara Republik Indonesia Nomor </w:t>
      </w:r>
      <w:r>
        <w:rPr>
          <w:lang w:val="en-US"/>
        </w:rPr>
        <w:t>5250</w:t>
      </w:r>
      <w:r w:rsidRPr="00DB2DD8">
        <w:rPr>
          <w:lang w:val="en-US"/>
        </w:rPr>
        <w:t>)</w:t>
      </w:r>
      <w:r w:rsidRPr="00DB2DD8">
        <w:t>.</w:t>
      </w:r>
    </w:p>
  </w:footnote>
  <w:footnote w:id="37">
    <w:p w:rsidR="00DA25EB" w:rsidRDefault="00DA25EB" w:rsidP="008922F5">
      <w:pPr>
        <w:pStyle w:val="FootnoteText"/>
        <w:jc w:val="both"/>
      </w:pPr>
      <w:r>
        <w:rPr>
          <w:rStyle w:val="FootnoteReference"/>
        </w:rPr>
        <w:footnoteRef/>
      </w:r>
      <w:r>
        <w:t xml:space="preserve"> Keputusan Bersama Ketua Mahkamah Agung Ri dan Ketua Komisi Yudisial RI Nomor: 047/KMA/SKB/IV/2009-02/SKB/P.KY/IV/2009 tentang </w:t>
      </w:r>
      <w:r>
        <w:rPr>
          <w:i/>
        </w:rPr>
        <w:t>Kode Etik dan Pedoman Perilaku Hakim</w:t>
      </w:r>
      <w:r>
        <w:t>.</w:t>
      </w:r>
    </w:p>
  </w:footnote>
  <w:footnote w:id="38">
    <w:p w:rsidR="00DA25EB" w:rsidRPr="00497EE3" w:rsidRDefault="00DA25EB" w:rsidP="008922F5">
      <w:pPr>
        <w:pStyle w:val="FootnoteText"/>
        <w:jc w:val="both"/>
        <w:rPr>
          <w:i/>
          <w:iCs/>
          <w:lang w:val="en-US"/>
        </w:rPr>
      </w:pPr>
      <w:r>
        <w:rPr>
          <w:rStyle w:val="FootnoteReference"/>
        </w:rPr>
        <w:footnoteRef/>
      </w:r>
      <w:r>
        <w:rPr>
          <w:i/>
          <w:iCs/>
          <w:lang w:val="en-US"/>
        </w:rPr>
        <w:t xml:space="preserve"> Pengawasan Hakim Perlu</w:t>
      </w:r>
      <w:r w:rsidR="009629A9">
        <w:rPr>
          <w:i/>
          <w:iCs/>
          <w:lang w:val="en-US"/>
        </w:rPr>
        <w:t xml:space="preserve"> </w:t>
      </w:r>
      <w:r>
        <w:rPr>
          <w:i/>
          <w:iCs/>
          <w:lang w:val="en-US"/>
        </w:rPr>
        <w:t>Diperketat,</w:t>
      </w:r>
      <w:hyperlink r:id="rId5" w:history="1">
        <w:r w:rsidRPr="00774CE7">
          <w:rPr>
            <w:rStyle w:val="Hyperlink"/>
            <w:color w:val="auto"/>
          </w:rPr>
          <w:t>https://mediaindonesia.com/read/detail/94007-pengawasan-hakim-perlu-diperkuat</w:t>
        </w:r>
      </w:hyperlink>
      <w:r w:rsidRPr="00774CE7">
        <w:rPr>
          <w:lang w:val="en-US"/>
        </w:rPr>
        <w:t>, diakases pada hari Jum’at</w:t>
      </w:r>
      <w:r>
        <w:rPr>
          <w:lang w:val="en-US"/>
        </w:rPr>
        <w:t xml:space="preserve"> tanggal 28 Februari 2020.</w:t>
      </w:r>
      <w:r w:rsidR="009629A9">
        <w:rPr>
          <w:lang w:val="en-US"/>
        </w:rPr>
        <w:t xml:space="preserve"> Pukul 15.35 WIB</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5EB" w:rsidRDefault="00DA25EB" w:rsidP="00697DB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A25EB" w:rsidRDefault="00DA25EB" w:rsidP="00D73755">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5EB" w:rsidRDefault="00DA25EB" w:rsidP="00F42D7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29A9">
      <w:rPr>
        <w:rStyle w:val="PageNumber"/>
        <w:noProof/>
      </w:rPr>
      <w:t>13</w:t>
    </w:r>
    <w:r>
      <w:rPr>
        <w:rStyle w:val="PageNumber"/>
      </w:rPr>
      <w:fldChar w:fldCharType="end"/>
    </w:r>
  </w:p>
  <w:p w:rsidR="00DA25EB" w:rsidRDefault="00DA25EB" w:rsidP="00D73755">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2FD7"/>
    <w:multiLevelType w:val="hybridMultilevel"/>
    <w:tmpl w:val="3030E738"/>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1973B3F"/>
    <w:multiLevelType w:val="hybridMultilevel"/>
    <w:tmpl w:val="6F0C83C2"/>
    <w:lvl w:ilvl="0" w:tplc="04090015">
      <w:start w:val="7"/>
      <w:numFmt w:val="upperLetter"/>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BE021B"/>
    <w:multiLevelType w:val="hybridMultilevel"/>
    <w:tmpl w:val="D4A4483C"/>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1F24C02"/>
    <w:multiLevelType w:val="hybridMultilevel"/>
    <w:tmpl w:val="7C08AAA6"/>
    <w:lvl w:ilvl="0" w:tplc="0421000B">
      <w:start w:val="1"/>
      <w:numFmt w:val="bullet"/>
      <w:lvlText w:val=""/>
      <w:lvlJc w:val="left"/>
      <w:pPr>
        <w:ind w:left="1800" w:hanging="360"/>
      </w:pPr>
      <w:rPr>
        <w:rFonts w:ascii="Wingdings" w:hAnsi="Wingdings" w:hint="default"/>
      </w:rPr>
    </w:lvl>
    <w:lvl w:ilvl="1" w:tplc="04210003">
      <w:start w:val="1"/>
      <w:numFmt w:val="bullet"/>
      <w:lvlText w:val="o"/>
      <w:lvlJc w:val="left"/>
      <w:pPr>
        <w:ind w:left="2520" w:hanging="360"/>
      </w:pPr>
      <w:rPr>
        <w:rFonts w:ascii="Courier New" w:hAnsi="Courier New" w:cs="Courier New" w:hint="default"/>
      </w:rPr>
    </w:lvl>
    <w:lvl w:ilvl="2" w:tplc="04210005">
      <w:start w:val="1"/>
      <w:numFmt w:val="bullet"/>
      <w:lvlText w:val=""/>
      <w:lvlJc w:val="left"/>
      <w:pPr>
        <w:ind w:left="3240" w:hanging="360"/>
      </w:pPr>
      <w:rPr>
        <w:rFonts w:ascii="Wingdings" w:hAnsi="Wingdings" w:hint="default"/>
      </w:rPr>
    </w:lvl>
    <w:lvl w:ilvl="3" w:tplc="0421000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4">
    <w:nsid w:val="029543D8"/>
    <w:multiLevelType w:val="hybridMultilevel"/>
    <w:tmpl w:val="E572EF9A"/>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4747D20"/>
    <w:multiLevelType w:val="hybridMultilevel"/>
    <w:tmpl w:val="A4248FEC"/>
    <w:lvl w:ilvl="0" w:tplc="04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07FF03E9"/>
    <w:multiLevelType w:val="hybridMultilevel"/>
    <w:tmpl w:val="75FCC9B8"/>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084F6FBA"/>
    <w:multiLevelType w:val="hybridMultilevel"/>
    <w:tmpl w:val="1BC265F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A3F3153"/>
    <w:multiLevelType w:val="multilevel"/>
    <w:tmpl w:val="0A3F3153"/>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A80091C"/>
    <w:multiLevelType w:val="hybridMultilevel"/>
    <w:tmpl w:val="8346BC10"/>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0CD85CEA"/>
    <w:multiLevelType w:val="hybridMultilevel"/>
    <w:tmpl w:val="AD4A71C4"/>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nsid w:val="0D3C69A3"/>
    <w:multiLevelType w:val="hybridMultilevel"/>
    <w:tmpl w:val="B62A0ACC"/>
    <w:lvl w:ilvl="0" w:tplc="0409000B">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DF75C4D"/>
    <w:multiLevelType w:val="hybridMultilevel"/>
    <w:tmpl w:val="CA8ABF2E"/>
    <w:lvl w:ilvl="0" w:tplc="04090019">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1007060D"/>
    <w:multiLevelType w:val="hybridMultilevel"/>
    <w:tmpl w:val="19DA1716"/>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10824C1"/>
    <w:multiLevelType w:val="hybridMultilevel"/>
    <w:tmpl w:val="CA8ABF2E"/>
    <w:lvl w:ilvl="0" w:tplc="0409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nsid w:val="128648B3"/>
    <w:multiLevelType w:val="hybridMultilevel"/>
    <w:tmpl w:val="0FC43EA0"/>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nsid w:val="159067FA"/>
    <w:multiLevelType w:val="hybridMultilevel"/>
    <w:tmpl w:val="48D8E80A"/>
    <w:lvl w:ilvl="0" w:tplc="BB0C69B8">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7822C9"/>
    <w:multiLevelType w:val="hybridMultilevel"/>
    <w:tmpl w:val="FBCEA346"/>
    <w:lvl w:ilvl="0" w:tplc="912A726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16B12677"/>
    <w:multiLevelType w:val="hybridMultilevel"/>
    <w:tmpl w:val="B24219CE"/>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17705F4A"/>
    <w:multiLevelType w:val="hybridMultilevel"/>
    <w:tmpl w:val="ADA2ABD4"/>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0">
    <w:nsid w:val="1968609F"/>
    <w:multiLevelType w:val="hybridMultilevel"/>
    <w:tmpl w:val="B1904F2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19F44AB2"/>
    <w:multiLevelType w:val="hybridMultilevel"/>
    <w:tmpl w:val="84FC5EBA"/>
    <w:lvl w:ilvl="0" w:tplc="04210011">
      <w:start w:val="1"/>
      <w:numFmt w:val="decimal"/>
      <w:lvlText w:val="%1)"/>
      <w:lvlJc w:val="left"/>
      <w:pPr>
        <w:ind w:left="1620" w:hanging="360"/>
      </w:p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22">
    <w:nsid w:val="1B861D28"/>
    <w:multiLevelType w:val="hybridMultilevel"/>
    <w:tmpl w:val="6CCEA2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01E61F6"/>
    <w:multiLevelType w:val="hybridMultilevel"/>
    <w:tmpl w:val="D3E81E5E"/>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
    <w:nsid w:val="23A77D06"/>
    <w:multiLevelType w:val="hybridMultilevel"/>
    <w:tmpl w:val="3224E1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3AD5E90"/>
    <w:multiLevelType w:val="multilevel"/>
    <w:tmpl w:val="23AD5E90"/>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nsid w:val="243D7357"/>
    <w:multiLevelType w:val="hybridMultilevel"/>
    <w:tmpl w:val="63AE84DE"/>
    <w:lvl w:ilvl="0" w:tplc="2B5E0F1E">
      <w:start w:val="2"/>
      <w:numFmt w:val="lowerLetter"/>
      <w:lvlText w:val="%1)."/>
      <w:lvlJc w:val="left"/>
      <w:pPr>
        <w:tabs>
          <w:tab w:val="num" w:pos="5040"/>
        </w:tabs>
        <w:ind w:left="50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5DF1600"/>
    <w:multiLevelType w:val="hybridMultilevel"/>
    <w:tmpl w:val="4D4A7F02"/>
    <w:lvl w:ilvl="0" w:tplc="04090019">
      <w:start w:val="1"/>
      <w:numFmt w:val="lowerLetter"/>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nsid w:val="28C2455C"/>
    <w:multiLevelType w:val="multilevel"/>
    <w:tmpl w:val="28C2455C"/>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2A460678"/>
    <w:multiLevelType w:val="hybridMultilevel"/>
    <w:tmpl w:val="CA8ABF2E"/>
    <w:lvl w:ilvl="0" w:tplc="04090019">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nsid w:val="2B17478F"/>
    <w:multiLevelType w:val="hybridMultilevel"/>
    <w:tmpl w:val="0E6A5814"/>
    <w:lvl w:ilvl="0" w:tplc="0409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1">
    <w:nsid w:val="2D5433F6"/>
    <w:multiLevelType w:val="hybridMultilevel"/>
    <w:tmpl w:val="663EAE68"/>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2">
    <w:nsid w:val="315F475F"/>
    <w:multiLevelType w:val="hybridMultilevel"/>
    <w:tmpl w:val="FD4012FA"/>
    <w:lvl w:ilvl="0" w:tplc="8B4EB7AC">
      <w:start w:val="1"/>
      <w:numFmt w:val="decimal"/>
      <w:lvlText w:val="%1."/>
      <w:lvlJc w:val="left"/>
      <w:pPr>
        <w:tabs>
          <w:tab w:val="num" w:pos="1620"/>
        </w:tabs>
        <w:ind w:left="1620" w:hanging="360"/>
      </w:pPr>
    </w:lvl>
    <w:lvl w:ilvl="1" w:tplc="90DE19F4">
      <w:start w:val="4"/>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31F25012"/>
    <w:multiLevelType w:val="hybridMultilevel"/>
    <w:tmpl w:val="3760D2D2"/>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4">
    <w:nsid w:val="355E0817"/>
    <w:multiLevelType w:val="hybridMultilevel"/>
    <w:tmpl w:val="0C0EB5B6"/>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5">
    <w:nsid w:val="3588718C"/>
    <w:multiLevelType w:val="hybridMultilevel"/>
    <w:tmpl w:val="E2C09202"/>
    <w:lvl w:ilvl="0" w:tplc="D8002D0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36D54FED"/>
    <w:multiLevelType w:val="multilevel"/>
    <w:tmpl w:val="36D54FED"/>
    <w:lvl w:ilvl="0">
      <w:start w:val="1"/>
      <w:numFmt w:val="decimal"/>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7">
    <w:nsid w:val="37F161B4"/>
    <w:multiLevelType w:val="hybridMultilevel"/>
    <w:tmpl w:val="FFF065B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38A01F68"/>
    <w:multiLevelType w:val="hybridMultilevel"/>
    <w:tmpl w:val="F1A8715A"/>
    <w:lvl w:ilvl="0" w:tplc="04090001">
      <w:start w:val="1"/>
      <w:numFmt w:val="bullet"/>
      <w:lvlText w:val=""/>
      <w:lvlJc w:val="left"/>
      <w:pPr>
        <w:tabs>
          <w:tab w:val="num" w:pos="720"/>
        </w:tabs>
        <w:ind w:left="720" w:hanging="360"/>
      </w:pPr>
      <w:rPr>
        <w:rFonts w:ascii="Symbol" w:hAnsi="Symbol" w:hint="default"/>
      </w:rPr>
    </w:lvl>
    <w:lvl w:ilvl="1" w:tplc="9B802E80">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3983254A"/>
    <w:multiLevelType w:val="hybridMultilevel"/>
    <w:tmpl w:val="1F404B50"/>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3AC67CFD"/>
    <w:multiLevelType w:val="multilevel"/>
    <w:tmpl w:val="7D5E4CEA"/>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1">
    <w:nsid w:val="3B074838"/>
    <w:multiLevelType w:val="hybridMultilevel"/>
    <w:tmpl w:val="C30EA8D2"/>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3C955819"/>
    <w:multiLevelType w:val="hybridMultilevel"/>
    <w:tmpl w:val="0246906A"/>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3">
    <w:nsid w:val="3D397C9B"/>
    <w:multiLevelType w:val="hybridMultilevel"/>
    <w:tmpl w:val="88ACD612"/>
    <w:lvl w:ilvl="0" w:tplc="E004A586">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3E3368A5"/>
    <w:multiLevelType w:val="hybridMultilevel"/>
    <w:tmpl w:val="A31AC4B6"/>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5">
    <w:nsid w:val="3E6268BC"/>
    <w:multiLevelType w:val="hybridMultilevel"/>
    <w:tmpl w:val="65B2EF3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nsid w:val="454D70F2"/>
    <w:multiLevelType w:val="hybridMultilevel"/>
    <w:tmpl w:val="A880E5FA"/>
    <w:lvl w:ilvl="0" w:tplc="115EB856">
      <w:start w:val="1"/>
      <w:numFmt w:val="lowerLetter"/>
      <w:lvlText w:val="%1)."/>
      <w:lvlJc w:val="left"/>
      <w:pPr>
        <w:tabs>
          <w:tab w:val="num" w:pos="4680"/>
        </w:tabs>
        <w:ind w:left="46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nsid w:val="462E1F0F"/>
    <w:multiLevelType w:val="hybridMultilevel"/>
    <w:tmpl w:val="E5F81410"/>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8">
    <w:nsid w:val="478464FB"/>
    <w:multiLevelType w:val="hybridMultilevel"/>
    <w:tmpl w:val="8688909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481E6277"/>
    <w:multiLevelType w:val="hybridMultilevel"/>
    <w:tmpl w:val="55A631B8"/>
    <w:lvl w:ilvl="0" w:tplc="7F44B74E">
      <w:start w:val="1"/>
      <w:numFmt w:val="lowerLetter"/>
      <w:lvlText w:val="%1)."/>
      <w:lvlJc w:val="left"/>
      <w:pPr>
        <w:tabs>
          <w:tab w:val="num" w:pos="5040"/>
        </w:tabs>
        <w:ind w:left="5040" w:hanging="360"/>
      </w:pPr>
      <w:rPr>
        <w:rFonts w:hint="default"/>
      </w:rPr>
    </w:lvl>
    <w:lvl w:ilvl="1" w:tplc="04090019">
      <w:start w:val="1"/>
      <w:numFmt w:val="lowerLetter"/>
      <w:lvlText w:val="%2."/>
      <w:lvlJc w:val="left"/>
      <w:pPr>
        <w:tabs>
          <w:tab w:val="num" w:pos="2160"/>
        </w:tabs>
        <w:ind w:left="2160" w:hanging="360"/>
      </w:pPr>
    </w:lvl>
    <w:lvl w:ilvl="2" w:tplc="8B4EB7AC">
      <w:start w:val="1"/>
      <w:numFmt w:val="decimal"/>
      <w:lvlText w:val="%3."/>
      <w:lvlJc w:val="left"/>
      <w:pPr>
        <w:tabs>
          <w:tab w:val="num" w:pos="3060"/>
        </w:tabs>
        <w:ind w:left="306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50">
    <w:nsid w:val="48FA6561"/>
    <w:multiLevelType w:val="multilevel"/>
    <w:tmpl w:val="48FA6561"/>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49910404"/>
    <w:multiLevelType w:val="hybridMultilevel"/>
    <w:tmpl w:val="406CF0D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49EE785B"/>
    <w:multiLevelType w:val="hybridMultilevel"/>
    <w:tmpl w:val="FC04EE34"/>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3">
    <w:nsid w:val="4A363769"/>
    <w:multiLevelType w:val="hybridMultilevel"/>
    <w:tmpl w:val="1F404B50"/>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4">
    <w:nsid w:val="4BA1351E"/>
    <w:multiLevelType w:val="hybridMultilevel"/>
    <w:tmpl w:val="0F5C9E9A"/>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5">
    <w:nsid w:val="4BA71424"/>
    <w:multiLevelType w:val="hybridMultilevel"/>
    <w:tmpl w:val="D34A744C"/>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6">
    <w:nsid w:val="4BF07E56"/>
    <w:multiLevelType w:val="hybridMultilevel"/>
    <w:tmpl w:val="2A265302"/>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7">
    <w:nsid w:val="4DDA5813"/>
    <w:multiLevelType w:val="hybridMultilevel"/>
    <w:tmpl w:val="3C48F6B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F8D27E7"/>
    <w:multiLevelType w:val="hybridMultilevel"/>
    <w:tmpl w:val="9134F52E"/>
    <w:lvl w:ilvl="0" w:tplc="0409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9">
    <w:nsid w:val="50883F09"/>
    <w:multiLevelType w:val="hybridMultilevel"/>
    <w:tmpl w:val="5E346294"/>
    <w:lvl w:ilvl="0" w:tplc="9E7A3278">
      <w:start w:val="1"/>
      <w:numFmt w:val="upperLetter"/>
      <w:lvlText w:val="%1."/>
      <w:lvlJc w:val="left"/>
      <w:pPr>
        <w:ind w:left="360" w:hanging="360"/>
      </w:pPr>
      <w:rPr>
        <w:b/>
        <w:lang w:val="en-US"/>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0">
    <w:nsid w:val="55667FD6"/>
    <w:multiLevelType w:val="hybridMultilevel"/>
    <w:tmpl w:val="FA4A872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568F7CF8"/>
    <w:multiLevelType w:val="multilevel"/>
    <w:tmpl w:val="568F7CF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2">
    <w:nsid w:val="57E0024D"/>
    <w:multiLevelType w:val="hybridMultilevel"/>
    <w:tmpl w:val="EFCE5E3C"/>
    <w:lvl w:ilvl="0" w:tplc="C60A28E2">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BD079C7"/>
    <w:multiLevelType w:val="hybridMultilevel"/>
    <w:tmpl w:val="10724354"/>
    <w:lvl w:ilvl="0" w:tplc="0409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4">
    <w:nsid w:val="5C185BCD"/>
    <w:multiLevelType w:val="hybridMultilevel"/>
    <w:tmpl w:val="1DCEC5D6"/>
    <w:lvl w:ilvl="0" w:tplc="41B4E0A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DBB269D"/>
    <w:multiLevelType w:val="hybridMultilevel"/>
    <w:tmpl w:val="41E44062"/>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6">
    <w:nsid w:val="5EA40974"/>
    <w:multiLevelType w:val="hybridMultilevel"/>
    <w:tmpl w:val="B92C6FAE"/>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7">
    <w:nsid w:val="62B44DC4"/>
    <w:multiLevelType w:val="hybridMultilevel"/>
    <w:tmpl w:val="1820C290"/>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8">
    <w:nsid w:val="62D97316"/>
    <w:multiLevelType w:val="hybridMultilevel"/>
    <w:tmpl w:val="5978C76E"/>
    <w:lvl w:ilvl="0" w:tplc="04090011">
      <w:start w:val="1"/>
      <w:numFmt w:val="decimal"/>
      <w:lvlText w:val="%1)"/>
      <w:lvlJc w:val="left"/>
      <w:pPr>
        <w:tabs>
          <w:tab w:val="num" w:pos="720"/>
        </w:tabs>
        <w:ind w:left="720" w:hanging="360"/>
      </w:pPr>
    </w:lvl>
    <w:lvl w:ilvl="1" w:tplc="04090009">
      <w:start w:val="1"/>
      <w:numFmt w:val="bullet"/>
      <w:lvlText w:val=""/>
      <w:lvlJc w:val="left"/>
      <w:pPr>
        <w:tabs>
          <w:tab w:val="num" w:pos="1440"/>
        </w:tabs>
        <w:ind w:left="1440" w:hanging="36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
    <w:nsid w:val="635873EE"/>
    <w:multiLevelType w:val="hybridMultilevel"/>
    <w:tmpl w:val="71068692"/>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0">
    <w:nsid w:val="650715FD"/>
    <w:multiLevelType w:val="hybridMultilevel"/>
    <w:tmpl w:val="A4BC2800"/>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1">
    <w:nsid w:val="669E0A00"/>
    <w:multiLevelType w:val="hybridMultilevel"/>
    <w:tmpl w:val="58621E9E"/>
    <w:lvl w:ilvl="0" w:tplc="04090015">
      <w:start w:val="1"/>
      <w:numFmt w:val="upperLetter"/>
      <w:lvlText w:val="%1."/>
      <w:lvlJc w:val="left"/>
      <w:pPr>
        <w:tabs>
          <w:tab w:val="num" w:pos="720"/>
        </w:tabs>
        <w:ind w:left="720" w:hanging="360"/>
      </w:pPr>
    </w:lvl>
    <w:lvl w:ilvl="1" w:tplc="CC520864">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0B">
      <w:start w:val="1"/>
      <w:numFmt w:val="bullet"/>
      <w:lvlText w:val=""/>
      <w:lvlJc w:val="left"/>
      <w:pPr>
        <w:tabs>
          <w:tab w:val="num" w:pos="3600"/>
        </w:tabs>
        <w:ind w:left="3600" w:hanging="360"/>
      </w:pPr>
      <w:rPr>
        <w:rFonts w:ascii="Wingdings" w:hAnsi="Wingdings" w:hint="default"/>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2">
    <w:nsid w:val="66ED543C"/>
    <w:multiLevelType w:val="hybridMultilevel"/>
    <w:tmpl w:val="722ED40E"/>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3">
    <w:nsid w:val="69176386"/>
    <w:multiLevelType w:val="hybridMultilevel"/>
    <w:tmpl w:val="E4D8E468"/>
    <w:lvl w:ilvl="0" w:tplc="172EBCFA">
      <w:start w:val="1"/>
      <w:numFmt w:val="lowerLetter"/>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4">
    <w:nsid w:val="69FF1738"/>
    <w:multiLevelType w:val="hybridMultilevel"/>
    <w:tmpl w:val="66761348"/>
    <w:lvl w:ilvl="0" w:tplc="0D22146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nsid w:val="6B4453C8"/>
    <w:multiLevelType w:val="multilevel"/>
    <w:tmpl w:val="6B4453C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6BC52DFB"/>
    <w:multiLevelType w:val="hybridMultilevel"/>
    <w:tmpl w:val="656EBAC0"/>
    <w:lvl w:ilvl="0" w:tplc="0409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7">
    <w:nsid w:val="6BFF6D55"/>
    <w:multiLevelType w:val="hybridMultilevel"/>
    <w:tmpl w:val="5E5C711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nsid w:val="6CD60C02"/>
    <w:multiLevelType w:val="hybridMultilevel"/>
    <w:tmpl w:val="D6EEEAF6"/>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9">
    <w:nsid w:val="6E55725A"/>
    <w:multiLevelType w:val="hybridMultilevel"/>
    <w:tmpl w:val="D406A652"/>
    <w:lvl w:ilvl="0" w:tplc="0409000B">
      <w:start w:val="1"/>
      <w:numFmt w:val="bullet"/>
      <w:lvlText w:val=""/>
      <w:lvlJc w:val="left"/>
      <w:pPr>
        <w:tabs>
          <w:tab w:val="num" w:pos="1080"/>
        </w:tabs>
        <w:ind w:left="1080" w:hanging="360"/>
      </w:pPr>
      <w:rPr>
        <w:rFonts w:ascii="Wingdings" w:hAnsi="Wingdings" w:hint="default"/>
      </w:rPr>
    </w:lvl>
    <w:lvl w:ilvl="1" w:tplc="115EB856">
      <w:start w:val="1"/>
      <w:numFmt w:val="lowerLetter"/>
      <w:lvlText w:val="%2)."/>
      <w:lvlJc w:val="left"/>
      <w:pPr>
        <w:tabs>
          <w:tab w:val="num" w:pos="1800"/>
        </w:tabs>
        <w:ind w:left="180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0">
    <w:nsid w:val="6F084696"/>
    <w:multiLevelType w:val="hybridMultilevel"/>
    <w:tmpl w:val="76A88B2A"/>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81">
    <w:nsid w:val="6FAE34C0"/>
    <w:multiLevelType w:val="hybridMultilevel"/>
    <w:tmpl w:val="B36CA24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nsid w:val="6FF7249A"/>
    <w:multiLevelType w:val="hybridMultilevel"/>
    <w:tmpl w:val="E5F81410"/>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3">
    <w:nsid w:val="70CD2B2C"/>
    <w:multiLevelType w:val="hybridMultilevel"/>
    <w:tmpl w:val="6444FE36"/>
    <w:lvl w:ilvl="0" w:tplc="0409000B">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4">
    <w:nsid w:val="717B41D2"/>
    <w:multiLevelType w:val="multilevel"/>
    <w:tmpl w:val="717B41D2"/>
    <w:lvl w:ilvl="0">
      <w:start w:val="1"/>
      <w:numFmt w:val="lowerLetter"/>
      <w:lvlText w:val="%1."/>
      <w:lvlJc w:val="left"/>
      <w:pPr>
        <w:tabs>
          <w:tab w:val="left" w:pos="720"/>
        </w:tabs>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nsid w:val="72C5465F"/>
    <w:multiLevelType w:val="hybridMultilevel"/>
    <w:tmpl w:val="B62073C2"/>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6">
    <w:nsid w:val="74EA0F52"/>
    <w:multiLevelType w:val="hybridMultilevel"/>
    <w:tmpl w:val="13A2B012"/>
    <w:lvl w:ilvl="0" w:tplc="DE68F1C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75685F0E"/>
    <w:multiLevelType w:val="hybridMultilevel"/>
    <w:tmpl w:val="9B84B99E"/>
    <w:lvl w:ilvl="0" w:tplc="9E7A3278">
      <w:start w:val="1"/>
      <w:numFmt w:val="upperLetter"/>
      <w:lvlText w:val="%1."/>
      <w:lvlJc w:val="left"/>
      <w:pPr>
        <w:tabs>
          <w:tab w:val="num" w:pos="720"/>
        </w:tabs>
        <w:ind w:left="720" w:hanging="360"/>
      </w:pPr>
      <w:rPr>
        <w:b/>
        <w:lang w:val="en-US"/>
      </w:rPr>
    </w:lvl>
    <w:lvl w:ilvl="1" w:tplc="04090019">
      <w:start w:val="1"/>
      <w:numFmt w:val="lowerLetter"/>
      <w:lvlText w:val="%2."/>
      <w:lvlJc w:val="left"/>
      <w:pPr>
        <w:tabs>
          <w:tab w:val="num" w:pos="1440"/>
        </w:tabs>
        <w:ind w:left="1440" w:hanging="360"/>
      </w:pPr>
    </w:lvl>
    <w:lvl w:ilvl="2" w:tplc="04090011">
      <w:start w:val="1"/>
      <w:numFmt w:val="decimal"/>
      <w:lvlText w:val="%3)"/>
      <w:lvlJc w:val="left"/>
      <w:pPr>
        <w:tabs>
          <w:tab w:val="num" w:pos="2340"/>
        </w:tabs>
        <w:ind w:left="2340" w:hanging="360"/>
      </w:pPr>
      <w:rPr>
        <w:lang w:val="en-US"/>
      </w:rPr>
    </w:lvl>
    <w:lvl w:ilvl="3" w:tplc="0409000F">
      <w:start w:val="1"/>
      <w:numFmt w:val="decimal"/>
      <w:lvlText w:val="%4."/>
      <w:lvlJc w:val="left"/>
      <w:pPr>
        <w:tabs>
          <w:tab w:val="num" w:pos="2880"/>
        </w:tabs>
        <w:ind w:left="2880" w:hanging="360"/>
      </w:pPr>
      <w:rPr>
        <w:b/>
        <w:lang w:val="en-US"/>
      </w:rPr>
    </w:lvl>
    <w:lvl w:ilvl="4" w:tplc="6952F0BE">
      <w:start w:val="1"/>
      <w:numFmt w:val="decimal"/>
      <w:lvlText w:val="%5)"/>
      <w:lvlJc w:val="left"/>
      <w:pPr>
        <w:tabs>
          <w:tab w:val="num" w:pos="3600"/>
        </w:tabs>
        <w:ind w:left="3600" w:hanging="360"/>
      </w:pPr>
      <w:rPr>
        <w:b/>
        <w:lang w:val="id-ID"/>
      </w:rPr>
    </w:lvl>
    <w:lvl w:ilvl="5" w:tplc="04090017">
      <w:start w:val="1"/>
      <w:numFmt w:val="lowerLetter"/>
      <w:lvlText w:val="%6)"/>
      <w:lvlJc w:val="left"/>
      <w:pPr>
        <w:tabs>
          <w:tab w:val="num" w:pos="4500"/>
        </w:tabs>
        <w:ind w:left="4500" w:hanging="360"/>
      </w:pPr>
      <w:rPr>
        <w:b/>
        <w:lang w:val="en-U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76A3168F"/>
    <w:multiLevelType w:val="hybridMultilevel"/>
    <w:tmpl w:val="5FE2E710"/>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9">
    <w:nsid w:val="770970A0"/>
    <w:multiLevelType w:val="hybridMultilevel"/>
    <w:tmpl w:val="03926392"/>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0">
    <w:nsid w:val="785B1A1A"/>
    <w:multiLevelType w:val="hybridMultilevel"/>
    <w:tmpl w:val="2F182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nsid w:val="78715D1C"/>
    <w:multiLevelType w:val="hybridMultilevel"/>
    <w:tmpl w:val="958EEA86"/>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2">
    <w:nsid w:val="79643638"/>
    <w:multiLevelType w:val="hybridMultilevel"/>
    <w:tmpl w:val="CD5A9606"/>
    <w:lvl w:ilvl="0" w:tplc="ECB0E11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7B8D35F7"/>
    <w:multiLevelType w:val="hybridMultilevel"/>
    <w:tmpl w:val="30B60BEE"/>
    <w:lvl w:ilvl="0" w:tplc="912A726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4">
    <w:nsid w:val="7C3D0986"/>
    <w:multiLevelType w:val="hybridMultilevel"/>
    <w:tmpl w:val="2C5AF448"/>
    <w:lvl w:ilvl="0" w:tplc="628299BA">
      <w:start w:val="1"/>
      <w:numFmt w:val="lowerLetter"/>
      <w:lvlText w:val="%1)."/>
      <w:lvlJc w:val="left"/>
      <w:pPr>
        <w:tabs>
          <w:tab w:val="num" w:pos="5040"/>
        </w:tabs>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CDE326C"/>
    <w:multiLevelType w:val="hybridMultilevel"/>
    <w:tmpl w:val="2F2877F6"/>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6">
    <w:nsid w:val="7D5E4CEA"/>
    <w:multiLevelType w:val="multilevel"/>
    <w:tmpl w:val="7D5E4CEA"/>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7">
    <w:nsid w:val="7DD23278"/>
    <w:multiLevelType w:val="hybridMultilevel"/>
    <w:tmpl w:val="5E3CABF6"/>
    <w:lvl w:ilvl="0" w:tplc="04090019">
      <w:start w:val="1"/>
      <w:numFmt w:val="lowerLetter"/>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27904A28">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B">
      <w:start w:val="1"/>
      <w:numFmt w:val="bullet"/>
      <w:lvlText w:val=""/>
      <w:lvlJc w:val="left"/>
      <w:pPr>
        <w:tabs>
          <w:tab w:val="num" w:pos="2880"/>
        </w:tabs>
        <w:ind w:left="2880" w:hanging="360"/>
      </w:pPr>
      <w:rPr>
        <w:rFonts w:ascii="Wingdings" w:hAnsi="Wingdings"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3"/>
  </w:num>
  <w:num w:numId="2">
    <w:abstractNumId w:val="1"/>
  </w:num>
  <w:num w:numId="3">
    <w:abstractNumId w:val="4"/>
  </w:num>
  <w:num w:numId="4">
    <w:abstractNumId w:val="55"/>
  </w:num>
  <w:num w:numId="5">
    <w:abstractNumId w:val="52"/>
  </w:num>
  <w:num w:numId="6">
    <w:abstractNumId w:val="87"/>
  </w:num>
  <w:num w:numId="7">
    <w:abstractNumId w:val="24"/>
  </w:num>
  <w:num w:numId="8">
    <w:abstractNumId w:val="27"/>
  </w:num>
  <w:num w:numId="9">
    <w:abstractNumId w:val="59"/>
  </w:num>
  <w:num w:numId="10">
    <w:abstractNumId w:val="35"/>
  </w:num>
  <w:num w:numId="11">
    <w:abstractNumId w:val="78"/>
  </w:num>
  <w:num w:numId="12">
    <w:abstractNumId w:val="39"/>
  </w:num>
  <w:num w:numId="13">
    <w:abstractNumId w:val="18"/>
  </w:num>
  <w:num w:numId="14">
    <w:abstractNumId w:val="2"/>
  </w:num>
  <w:num w:numId="15">
    <w:abstractNumId w:val="95"/>
  </w:num>
  <w:num w:numId="16">
    <w:abstractNumId w:val="0"/>
  </w:num>
  <w:num w:numId="17">
    <w:abstractNumId w:val="67"/>
  </w:num>
  <w:num w:numId="18">
    <w:abstractNumId w:val="74"/>
  </w:num>
  <w:num w:numId="19">
    <w:abstractNumId w:val="73"/>
  </w:num>
  <w:num w:numId="20">
    <w:abstractNumId w:val="14"/>
  </w:num>
  <w:num w:numId="21">
    <w:abstractNumId w:val="53"/>
  </w:num>
  <w:num w:numId="22">
    <w:abstractNumId w:val="33"/>
  </w:num>
  <w:num w:numId="23">
    <w:abstractNumId w:val="19"/>
  </w:num>
  <w:num w:numId="24">
    <w:abstractNumId w:val="42"/>
  </w:num>
  <w:num w:numId="25">
    <w:abstractNumId w:val="31"/>
  </w:num>
  <w:num w:numId="26">
    <w:abstractNumId w:val="43"/>
  </w:num>
  <w:num w:numId="27">
    <w:abstractNumId w:val="12"/>
  </w:num>
  <w:num w:numId="28">
    <w:abstractNumId w:val="10"/>
  </w:num>
  <w:num w:numId="29">
    <w:abstractNumId w:val="54"/>
  </w:num>
  <w:num w:numId="30">
    <w:abstractNumId w:val="58"/>
  </w:num>
  <w:num w:numId="31">
    <w:abstractNumId w:val="93"/>
  </w:num>
  <w:num w:numId="32">
    <w:abstractNumId w:val="3"/>
  </w:num>
  <w:num w:numId="33">
    <w:abstractNumId w:val="91"/>
  </w:num>
  <w:num w:numId="34">
    <w:abstractNumId w:val="56"/>
  </w:num>
  <w:num w:numId="35">
    <w:abstractNumId w:val="66"/>
  </w:num>
  <w:num w:numId="36">
    <w:abstractNumId w:val="89"/>
  </w:num>
  <w:num w:numId="37">
    <w:abstractNumId w:val="70"/>
  </w:num>
  <w:num w:numId="38">
    <w:abstractNumId w:val="6"/>
  </w:num>
  <w:num w:numId="39">
    <w:abstractNumId w:val="17"/>
  </w:num>
  <w:num w:numId="40">
    <w:abstractNumId w:val="47"/>
  </w:num>
  <w:num w:numId="41">
    <w:abstractNumId w:val="82"/>
  </w:num>
  <w:num w:numId="42">
    <w:abstractNumId w:val="65"/>
  </w:num>
  <w:num w:numId="43">
    <w:abstractNumId w:val="21"/>
  </w:num>
  <w:num w:numId="44">
    <w:abstractNumId w:val="15"/>
  </w:num>
  <w:num w:numId="45">
    <w:abstractNumId w:val="88"/>
  </w:num>
  <w:num w:numId="46">
    <w:abstractNumId w:val="69"/>
  </w:num>
  <w:num w:numId="47">
    <w:abstractNumId w:val="44"/>
  </w:num>
  <w:num w:numId="48">
    <w:abstractNumId w:val="30"/>
  </w:num>
  <w:num w:numId="49">
    <w:abstractNumId w:val="23"/>
  </w:num>
  <w:num w:numId="50">
    <w:abstractNumId w:val="63"/>
  </w:num>
  <w:num w:numId="51">
    <w:abstractNumId w:val="76"/>
  </w:num>
  <w:num w:numId="52">
    <w:abstractNumId w:val="85"/>
  </w:num>
  <w:num w:numId="53">
    <w:abstractNumId w:val="5"/>
  </w:num>
  <w:num w:numId="54">
    <w:abstractNumId w:val="29"/>
  </w:num>
  <w:num w:numId="55">
    <w:abstractNumId w:val="7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7"/>
  </w:num>
  <w:num w:numId="62">
    <w:abstractNumId w:val="79"/>
  </w:num>
  <w:num w:numId="63">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0"/>
  </w:num>
  <w:num w:numId="65">
    <w:abstractNumId w:val="84"/>
  </w:num>
  <w:num w:numId="66">
    <w:abstractNumId w:val="96"/>
  </w:num>
  <w:num w:numId="67">
    <w:abstractNumId w:val="36"/>
  </w:num>
  <w:num w:numId="68">
    <w:abstractNumId w:val="61"/>
  </w:num>
  <w:num w:numId="69">
    <w:abstractNumId w:val="50"/>
  </w:num>
  <w:num w:numId="70">
    <w:abstractNumId w:val="60"/>
  </w:num>
  <w:num w:numId="71">
    <w:abstractNumId w:val="40"/>
  </w:num>
  <w:num w:numId="72">
    <w:abstractNumId w:val="45"/>
  </w:num>
  <w:num w:numId="73">
    <w:abstractNumId w:val="34"/>
  </w:num>
  <w:num w:numId="74">
    <w:abstractNumId w:val="57"/>
  </w:num>
  <w:num w:numId="75">
    <w:abstractNumId w:val="72"/>
  </w:num>
  <w:num w:numId="76">
    <w:abstractNumId w:val="77"/>
  </w:num>
  <w:num w:numId="77">
    <w:abstractNumId w:val="81"/>
  </w:num>
  <w:num w:numId="78">
    <w:abstractNumId w:val="48"/>
  </w:num>
  <w:num w:numId="79">
    <w:abstractNumId w:val="41"/>
  </w:num>
  <w:num w:numId="80">
    <w:abstractNumId w:val="68"/>
  </w:num>
  <w:num w:numId="81">
    <w:abstractNumId w:val="22"/>
  </w:num>
  <w:num w:numId="82">
    <w:abstractNumId w:val="16"/>
  </w:num>
  <w:num w:numId="83">
    <w:abstractNumId w:val="51"/>
  </w:num>
  <w:num w:numId="84">
    <w:abstractNumId w:val="11"/>
  </w:num>
  <w:num w:numId="85">
    <w:abstractNumId w:val="83"/>
  </w:num>
  <w:num w:numId="86">
    <w:abstractNumId w:val="46"/>
  </w:num>
  <w:num w:numId="87">
    <w:abstractNumId w:val="49"/>
  </w:num>
  <w:num w:numId="88">
    <w:abstractNumId w:val="7"/>
  </w:num>
  <w:num w:numId="89">
    <w:abstractNumId w:val="37"/>
  </w:num>
  <w:num w:numId="90">
    <w:abstractNumId w:val="32"/>
  </w:num>
  <w:num w:numId="91">
    <w:abstractNumId w:val="90"/>
  </w:num>
  <w:num w:numId="92">
    <w:abstractNumId w:val="38"/>
  </w:num>
  <w:num w:numId="93">
    <w:abstractNumId w:val="94"/>
  </w:num>
  <w:num w:numId="94">
    <w:abstractNumId w:val="26"/>
  </w:num>
  <w:num w:numId="95">
    <w:abstractNumId w:val="9"/>
  </w:num>
  <w:num w:numId="96">
    <w:abstractNumId w:val="64"/>
  </w:num>
  <w:num w:numId="97">
    <w:abstractNumId w:val="62"/>
  </w:num>
  <w:num w:numId="98">
    <w:abstractNumId w:val="75"/>
  </w:num>
  <w:num w:numId="99">
    <w:abstractNumId w:val="28"/>
  </w:num>
  <w:num w:numId="100">
    <w:abstractNumId w:val="25"/>
  </w:num>
  <w:num w:numId="101">
    <w:abstractNumId w:val="8"/>
  </w:num>
  <w:num w:numId="102">
    <w:abstractNumId w:val="86"/>
  </w:num>
  <w:num w:numId="103">
    <w:abstractNumId w:val="92"/>
  </w:num>
  <w:num w:numId="104">
    <w:abstractNumId w:val="80"/>
  </w:num>
  <w:numIdMacAtCleanup w:val="10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stylePaneFormatFilter w:val="3F01"/>
  <w:defaultTabStop w:val="720"/>
  <w:characterSpacingControl w:val="doNotCompress"/>
  <w:footnotePr>
    <w:footnote w:id="0"/>
    <w:footnote w:id="1"/>
  </w:footnotePr>
  <w:endnotePr>
    <w:endnote w:id="0"/>
    <w:endnote w:id="1"/>
  </w:endnotePr>
  <w:compat/>
  <w:rsids>
    <w:rsidRoot w:val="00DD3DE2"/>
    <w:rsid w:val="00000938"/>
    <w:rsid w:val="00025966"/>
    <w:rsid w:val="00027620"/>
    <w:rsid w:val="00031B24"/>
    <w:rsid w:val="00047581"/>
    <w:rsid w:val="00050359"/>
    <w:rsid w:val="00082C01"/>
    <w:rsid w:val="000B4FA8"/>
    <w:rsid w:val="000C7125"/>
    <w:rsid w:val="000D7C26"/>
    <w:rsid w:val="000F02DE"/>
    <w:rsid w:val="000F660B"/>
    <w:rsid w:val="001018B4"/>
    <w:rsid w:val="001111E5"/>
    <w:rsid w:val="00116CEB"/>
    <w:rsid w:val="00116EB7"/>
    <w:rsid w:val="0012341D"/>
    <w:rsid w:val="00132937"/>
    <w:rsid w:val="0015298E"/>
    <w:rsid w:val="001644D0"/>
    <w:rsid w:val="001647F9"/>
    <w:rsid w:val="0017490C"/>
    <w:rsid w:val="001C2BD5"/>
    <w:rsid w:val="001C3246"/>
    <w:rsid w:val="001C6A3C"/>
    <w:rsid w:val="001C7DF9"/>
    <w:rsid w:val="001D2F52"/>
    <w:rsid w:val="001D511F"/>
    <w:rsid w:val="001E69AF"/>
    <w:rsid w:val="00202F86"/>
    <w:rsid w:val="00210F17"/>
    <w:rsid w:val="0021730E"/>
    <w:rsid w:val="00240DC1"/>
    <w:rsid w:val="0024327F"/>
    <w:rsid w:val="0025152A"/>
    <w:rsid w:val="0028497B"/>
    <w:rsid w:val="002A36E2"/>
    <w:rsid w:val="002B06AE"/>
    <w:rsid w:val="002B5189"/>
    <w:rsid w:val="002D0D2B"/>
    <w:rsid w:val="002E14A4"/>
    <w:rsid w:val="002E58A1"/>
    <w:rsid w:val="002E5980"/>
    <w:rsid w:val="003009D9"/>
    <w:rsid w:val="00301CCB"/>
    <w:rsid w:val="00312ACF"/>
    <w:rsid w:val="0032446E"/>
    <w:rsid w:val="00343525"/>
    <w:rsid w:val="003453C5"/>
    <w:rsid w:val="00357D56"/>
    <w:rsid w:val="003636DE"/>
    <w:rsid w:val="00382430"/>
    <w:rsid w:val="0039270A"/>
    <w:rsid w:val="003B24C0"/>
    <w:rsid w:val="003B7844"/>
    <w:rsid w:val="003C4E26"/>
    <w:rsid w:val="003D251C"/>
    <w:rsid w:val="003E4372"/>
    <w:rsid w:val="004002AA"/>
    <w:rsid w:val="00403654"/>
    <w:rsid w:val="0040586C"/>
    <w:rsid w:val="00414886"/>
    <w:rsid w:val="00415204"/>
    <w:rsid w:val="00415427"/>
    <w:rsid w:val="0042194A"/>
    <w:rsid w:val="00435034"/>
    <w:rsid w:val="004503E5"/>
    <w:rsid w:val="00476BCB"/>
    <w:rsid w:val="004815D5"/>
    <w:rsid w:val="00483523"/>
    <w:rsid w:val="004A2D59"/>
    <w:rsid w:val="004E13E7"/>
    <w:rsid w:val="004F4A60"/>
    <w:rsid w:val="00501210"/>
    <w:rsid w:val="00506395"/>
    <w:rsid w:val="00522508"/>
    <w:rsid w:val="00530AB3"/>
    <w:rsid w:val="0053259A"/>
    <w:rsid w:val="005437C2"/>
    <w:rsid w:val="00552133"/>
    <w:rsid w:val="00573E7C"/>
    <w:rsid w:val="005741E7"/>
    <w:rsid w:val="00580532"/>
    <w:rsid w:val="00584042"/>
    <w:rsid w:val="005C1126"/>
    <w:rsid w:val="005C52CA"/>
    <w:rsid w:val="005D0E61"/>
    <w:rsid w:val="005D308D"/>
    <w:rsid w:val="005F21B7"/>
    <w:rsid w:val="005F26FA"/>
    <w:rsid w:val="0060520A"/>
    <w:rsid w:val="00620D8D"/>
    <w:rsid w:val="00627011"/>
    <w:rsid w:val="00635D21"/>
    <w:rsid w:val="006421F3"/>
    <w:rsid w:val="00643840"/>
    <w:rsid w:val="00643A78"/>
    <w:rsid w:val="00643B29"/>
    <w:rsid w:val="00657C9D"/>
    <w:rsid w:val="006608E2"/>
    <w:rsid w:val="00671CE4"/>
    <w:rsid w:val="006751DA"/>
    <w:rsid w:val="006776B9"/>
    <w:rsid w:val="0069782A"/>
    <w:rsid w:val="00697DBA"/>
    <w:rsid w:val="006A064D"/>
    <w:rsid w:val="006A19FB"/>
    <w:rsid w:val="006A4E19"/>
    <w:rsid w:val="006C2B3D"/>
    <w:rsid w:val="006D54DC"/>
    <w:rsid w:val="006E2F09"/>
    <w:rsid w:val="006E3494"/>
    <w:rsid w:val="006E4546"/>
    <w:rsid w:val="006E6972"/>
    <w:rsid w:val="006F73E0"/>
    <w:rsid w:val="00707662"/>
    <w:rsid w:val="00711714"/>
    <w:rsid w:val="00714E37"/>
    <w:rsid w:val="00732058"/>
    <w:rsid w:val="00732876"/>
    <w:rsid w:val="007443ED"/>
    <w:rsid w:val="00744557"/>
    <w:rsid w:val="00746782"/>
    <w:rsid w:val="007554E3"/>
    <w:rsid w:val="007601E4"/>
    <w:rsid w:val="00780F8D"/>
    <w:rsid w:val="00790577"/>
    <w:rsid w:val="007A58A7"/>
    <w:rsid w:val="007B0124"/>
    <w:rsid w:val="007B1E77"/>
    <w:rsid w:val="007B5D40"/>
    <w:rsid w:val="007C3EFF"/>
    <w:rsid w:val="007C4A77"/>
    <w:rsid w:val="007D07B5"/>
    <w:rsid w:val="007E22B3"/>
    <w:rsid w:val="007E640B"/>
    <w:rsid w:val="00801F8F"/>
    <w:rsid w:val="00807959"/>
    <w:rsid w:val="008371C9"/>
    <w:rsid w:val="008379DE"/>
    <w:rsid w:val="008642FF"/>
    <w:rsid w:val="00871D01"/>
    <w:rsid w:val="00874E9C"/>
    <w:rsid w:val="008922F5"/>
    <w:rsid w:val="00895309"/>
    <w:rsid w:val="008B41E8"/>
    <w:rsid w:val="008D30A4"/>
    <w:rsid w:val="008E60E2"/>
    <w:rsid w:val="008F7283"/>
    <w:rsid w:val="00912A05"/>
    <w:rsid w:val="0091783C"/>
    <w:rsid w:val="00926559"/>
    <w:rsid w:val="00927514"/>
    <w:rsid w:val="00945325"/>
    <w:rsid w:val="009556C5"/>
    <w:rsid w:val="009629A9"/>
    <w:rsid w:val="00967715"/>
    <w:rsid w:val="0097086E"/>
    <w:rsid w:val="00974EE4"/>
    <w:rsid w:val="00992DD1"/>
    <w:rsid w:val="009945F7"/>
    <w:rsid w:val="009C178B"/>
    <w:rsid w:val="009C1AA2"/>
    <w:rsid w:val="00A0457C"/>
    <w:rsid w:val="00A070AE"/>
    <w:rsid w:val="00A31031"/>
    <w:rsid w:val="00A36139"/>
    <w:rsid w:val="00A654A8"/>
    <w:rsid w:val="00A66CA2"/>
    <w:rsid w:val="00A70AA3"/>
    <w:rsid w:val="00A72C37"/>
    <w:rsid w:val="00A80C33"/>
    <w:rsid w:val="00A8592D"/>
    <w:rsid w:val="00A86351"/>
    <w:rsid w:val="00A9728B"/>
    <w:rsid w:val="00AA48F5"/>
    <w:rsid w:val="00AB77D3"/>
    <w:rsid w:val="00AD5BF0"/>
    <w:rsid w:val="00AD7358"/>
    <w:rsid w:val="00AE7DC0"/>
    <w:rsid w:val="00AF3383"/>
    <w:rsid w:val="00B22068"/>
    <w:rsid w:val="00B427F3"/>
    <w:rsid w:val="00B66C7E"/>
    <w:rsid w:val="00B8048E"/>
    <w:rsid w:val="00B87B88"/>
    <w:rsid w:val="00BA4A6E"/>
    <w:rsid w:val="00BB223F"/>
    <w:rsid w:val="00BB57E1"/>
    <w:rsid w:val="00BC0EA4"/>
    <w:rsid w:val="00BC2F15"/>
    <w:rsid w:val="00BE1E1D"/>
    <w:rsid w:val="00BE44AC"/>
    <w:rsid w:val="00BE63ED"/>
    <w:rsid w:val="00C0379D"/>
    <w:rsid w:val="00C15BE9"/>
    <w:rsid w:val="00C16983"/>
    <w:rsid w:val="00C3797A"/>
    <w:rsid w:val="00C82F80"/>
    <w:rsid w:val="00C870D7"/>
    <w:rsid w:val="00CA3516"/>
    <w:rsid w:val="00CA5E09"/>
    <w:rsid w:val="00CB51D7"/>
    <w:rsid w:val="00CB685D"/>
    <w:rsid w:val="00CD024E"/>
    <w:rsid w:val="00CD63AA"/>
    <w:rsid w:val="00CF06B9"/>
    <w:rsid w:val="00D030C2"/>
    <w:rsid w:val="00D27090"/>
    <w:rsid w:val="00D309F3"/>
    <w:rsid w:val="00D417D8"/>
    <w:rsid w:val="00D43A59"/>
    <w:rsid w:val="00D55D5D"/>
    <w:rsid w:val="00D5606C"/>
    <w:rsid w:val="00D73755"/>
    <w:rsid w:val="00D74067"/>
    <w:rsid w:val="00D82DB7"/>
    <w:rsid w:val="00D86923"/>
    <w:rsid w:val="00D97475"/>
    <w:rsid w:val="00DA25EB"/>
    <w:rsid w:val="00DB09D9"/>
    <w:rsid w:val="00DB2656"/>
    <w:rsid w:val="00DB2DD8"/>
    <w:rsid w:val="00DD3DE2"/>
    <w:rsid w:val="00DE0438"/>
    <w:rsid w:val="00E1063F"/>
    <w:rsid w:val="00E243DA"/>
    <w:rsid w:val="00E31DF9"/>
    <w:rsid w:val="00E34E2F"/>
    <w:rsid w:val="00E46DD3"/>
    <w:rsid w:val="00E567ED"/>
    <w:rsid w:val="00E70DE5"/>
    <w:rsid w:val="00E7377F"/>
    <w:rsid w:val="00E7750E"/>
    <w:rsid w:val="00E93AF9"/>
    <w:rsid w:val="00E95EDE"/>
    <w:rsid w:val="00E964E2"/>
    <w:rsid w:val="00E9762D"/>
    <w:rsid w:val="00EA0D04"/>
    <w:rsid w:val="00EA5F72"/>
    <w:rsid w:val="00EB5EE1"/>
    <w:rsid w:val="00EC1F66"/>
    <w:rsid w:val="00EE5853"/>
    <w:rsid w:val="00EE7BE2"/>
    <w:rsid w:val="00EF53E1"/>
    <w:rsid w:val="00EF67DE"/>
    <w:rsid w:val="00F03FA7"/>
    <w:rsid w:val="00F11FC6"/>
    <w:rsid w:val="00F244EE"/>
    <w:rsid w:val="00F35627"/>
    <w:rsid w:val="00F42D74"/>
    <w:rsid w:val="00F53362"/>
    <w:rsid w:val="00F56C54"/>
    <w:rsid w:val="00F608BF"/>
    <w:rsid w:val="00F764F4"/>
    <w:rsid w:val="00F908C2"/>
    <w:rsid w:val="00F91A98"/>
    <w:rsid w:val="00FA3B2F"/>
    <w:rsid w:val="00FA4FD5"/>
    <w:rsid w:val="00FB6C90"/>
    <w:rsid w:val="00FE4C46"/>
    <w:rsid w:val="00FE7408"/>
    <w:rsid w:val="00FF27D2"/>
    <w:rsid w:val="00FF36D9"/>
    <w:rsid w:val="00FF5B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3DE2"/>
    <w:rPr>
      <w:sz w:val="24"/>
      <w:szCs w:val="24"/>
      <w:lang w:val="id-ID"/>
    </w:rPr>
  </w:style>
  <w:style w:type="paragraph" w:styleId="Heading1">
    <w:name w:val="heading 1"/>
    <w:basedOn w:val="Normal"/>
    <w:link w:val="Heading1Char"/>
    <w:uiPriority w:val="9"/>
    <w:qFormat/>
    <w:rsid w:val="008922F5"/>
    <w:pPr>
      <w:spacing w:before="100" w:beforeAutospacing="1" w:after="100" w:afterAutospacing="1"/>
      <w:outlineLvl w:val="0"/>
    </w:pPr>
    <w:rPr>
      <w:b/>
      <w:bCs/>
      <w:kern w:val="36"/>
      <w:sz w:val="48"/>
      <w:szCs w:val="48"/>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2F5"/>
    <w:rPr>
      <w:b/>
      <w:bCs/>
      <w:kern w:val="36"/>
      <w:sz w:val="48"/>
      <w:szCs w:val="48"/>
      <w:lang w:val="en-ID" w:eastAsia="en-ID"/>
    </w:rPr>
  </w:style>
  <w:style w:type="paragraph" w:styleId="FootnoteText">
    <w:name w:val="footnote text"/>
    <w:basedOn w:val="Normal"/>
    <w:link w:val="FootnoteTextChar"/>
    <w:uiPriority w:val="99"/>
    <w:semiHidden/>
    <w:rsid w:val="00DD3DE2"/>
    <w:rPr>
      <w:sz w:val="20"/>
      <w:szCs w:val="20"/>
    </w:rPr>
  </w:style>
  <w:style w:type="character" w:customStyle="1" w:styleId="FootnoteTextChar">
    <w:name w:val="Footnote Text Char"/>
    <w:basedOn w:val="DefaultParagraphFont"/>
    <w:link w:val="FootnoteText"/>
    <w:uiPriority w:val="99"/>
    <w:semiHidden/>
    <w:rsid w:val="008371C9"/>
    <w:rPr>
      <w:lang w:val="id-ID"/>
    </w:rPr>
  </w:style>
  <w:style w:type="character" w:styleId="FootnoteReference">
    <w:name w:val="footnote reference"/>
    <w:basedOn w:val="DefaultParagraphFont"/>
    <w:semiHidden/>
    <w:rsid w:val="00DD3DE2"/>
    <w:rPr>
      <w:vertAlign w:val="superscript"/>
    </w:rPr>
  </w:style>
  <w:style w:type="character" w:styleId="Hyperlink">
    <w:name w:val="Hyperlink"/>
    <w:basedOn w:val="DefaultParagraphFont"/>
    <w:rsid w:val="00DD3DE2"/>
    <w:rPr>
      <w:color w:val="0000FF"/>
      <w:u w:val="single"/>
    </w:rPr>
  </w:style>
  <w:style w:type="paragraph" w:styleId="BodyTextIndent">
    <w:name w:val="Body Text Indent"/>
    <w:basedOn w:val="Normal"/>
    <w:link w:val="BodyTextIndentChar"/>
    <w:rsid w:val="00DD3DE2"/>
    <w:pPr>
      <w:spacing w:line="360" w:lineRule="auto"/>
      <w:ind w:firstLine="720"/>
      <w:jc w:val="both"/>
    </w:pPr>
    <w:rPr>
      <w:lang w:val="en-GB"/>
    </w:rPr>
  </w:style>
  <w:style w:type="character" w:customStyle="1" w:styleId="BodyTextIndentChar">
    <w:name w:val="Body Text Indent Char"/>
    <w:basedOn w:val="DefaultParagraphFont"/>
    <w:link w:val="BodyTextIndent"/>
    <w:rsid w:val="00DD3DE2"/>
    <w:rPr>
      <w:sz w:val="24"/>
      <w:szCs w:val="24"/>
      <w:lang w:val="en-GB" w:eastAsia="en-US" w:bidi="ar-SA"/>
    </w:rPr>
  </w:style>
  <w:style w:type="paragraph" w:styleId="Header">
    <w:name w:val="header"/>
    <w:basedOn w:val="Normal"/>
    <w:link w:val="HeaderChar"/>
    <w:rsid w:val="00D73755"/>
    <w:pPr>
      <w:tabs>
        <w:tab w:val="center" w:pos="4320"/>
        <w:tab w:val="right" w:pos="8640"/>
      </w:tabs>
    </w:pPr>
  </w:style>
  <w:style w:type="character" w:customStyle="1" w:styleId="HeaderChar">
    <w:name w:val="Header Char"/>
    <w:basedOn w:val="DefaultParagraphFont"/>
    <w:link w:val="Header"/>
    <w:rsid w:val="008922F5"/>
    <w:rPr>
      <w:sz w:val="24"/>
      <w:szCs w:val="24"/>
      <w:lang w:val="id-ID"/>
    </w:rPr>
  </w:style>
  <w:style w:type="character" w:styleId="PageNumber">
    <w:name w:val="page number"/>
    <w:basedOn w:val="DefaultParagraphFont"/>
    <w:rsid w:val="00D73755"/>
  </w:style>
  <w:style w:type="paragraph" w:styleId="Footer">
    <w:name w:val="footer"/>
    <w:basedOn w:val="Normal"/>
    <w:link w:val="FooterChar"/>
    <w:rsid w:val="00D73755"/>
    <w:pPr>
      <w:tabs>
        <w:tab w:val="center" w:pos="4320"/>
        <w:tab w:val="right" w:pos="8640"/>
      </w:tabs>
    </w:pPr>
  </w:style>
  <w:style w:type="character" w:customStyle="1" w:styleId="FooterChar">
    <w:name w:val="Footer Char"/>
    <w:basedOn w:val="DefaultParagraphFont"/>
    <w:link w:val="Footer"/>
    <w:rsid w:val="008922F5"/>
    <w:rPr>
      <w:sz w:val="24"/>
      <w:szCs w:val="24"/>
      <w:lang w:val="id-ID"/>
    </w:rPr>
  </w:style>
  <w:style w:type="paragraph" w:styleId="BodyText">
    <w:name w:val="Body Text"/>
    <w:basedOn w:val="Normal"/>
    <w:link w:val="BodyTextChar"/>
    <w:rsid w:val="006A064D"/>
    <w:pPr>
      <w:jc w:val="center"/>
    </w:pPr>
    <w:rPr>
      <w:sz w:val="20"/>
      <w:lang w:val="en-US"/>
    </w:rPr>
  </w:style>
  <w:style w:type="character" w:customStyle="1" w:styleId="BodyTextChar">
    <w:name w:val="Body Text Char"/>
    <w:basedOn w:val="DefaultParagraphFont"/>
    <w:link w:val="BodyText"/>
    <w:rsid w:val="006A064D"/>
    <w:rPr>
      <w:szCs w:val="24"/>
    </w:rPr>
  </w:style>
  <w:style w:type="paragraph" w:styleId="ListParagraph">
    <w:name w:val="List Paragraph"/>
    <w:basedOn w:val="Normal"/>
    <w:uiPriority w:val="34"/>
    <w:qFormat/>
    <w:rsid w:val="00D74067"/>
    <w:pPr>
      <w:ind w:left="720"/>
      <w:contextualSpacing/>
    </w:pPr>
  </w:style>
  <w:style w:type="paragraph" w:customStyle="1" w:styleId="Default">
    <w:name w:val="Default"/>
    <w:rsid w:val="00DB2DD8"/>
    <w:pPr>
      <w:autoSpaceDE w:val="0"/>
      <w:autoSpaceDN w:val="0"/>
      <w:adjustRightInd w:val="0"/>
    </w:pPr>
    <w:rPr>
      <w:rFonts w:ascii="Bookman Old Style" w:hAnsi="Bookman Old Style" w:cs="Bookman Old Style"/>
      <w:color w:val="000000"/>
      <w:sz w:val="24"/>
      <w:szCs w:val="24"/>
    </w:rPr>
  </w:style>
  <w:style w:type="character" w:styleId="FollowedHyperlink">
    <w:name w:val="FollowedHyperlink"/>
    <w:basedOn w:val="DefaultParagraphFont"/>
    <w:uiPriority w:val="99"/>
    <w:unhideWhenUsed/>
    <w:rsid w:val="008922F5"/>
    <w:rPr>
      <w:color w:val="800080" w:themeColor="followedHyperlink"/>
      <w:u w:val="single"/>
    </w:rPr>
  </w:style>
  <w:style w:type="paragraph" w:styleId="DocumentMap">
    <w:name w:val="Document Map"/>
    <w:basedOn w:val="Normal"/>
    <w:link w:val="DocumentMapChar"/>
    <w:unhideWhenUsed/>
    <w:rsid w:val="008922F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8922F5"/>
    <w:rPr>
      <w:rFonts w:ascii="Tahoma" w:hAnsi="Tahoma" w:cs="Tahoma"/>
      <w:shd w:val="clear" w:color="auto" w:fill="000080"/>
      <w:lang w:val="id-ID"/>
    </w:rPr>
  </w:style>
  <w:style w:type="table" w:styleId="TableGrid">
    <w:name w:val="Table Grid"/>
    <w:basedOn w:val="TableNormal"/>
    <w:rsid w:val="00892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8922F5"/>
    <w:rPr>
      <w:rFonts w:ascii="Tahoma" w:hAnsi="Tahoma" w:cs="Tahoma"/>
      <w:sz w:val="16"/>
      <w:szCs w:val="16"/>
    </w:rPr>
  </w:style>
  <w:style w:type="character" w:customStyle="1" w:styleId="BalloonTextChar">
    <w:name w:val="Balloon Text Char"/>
    <w:basedOn w:val="DefaultParagraphFont"/>
    <w:link w:val="BalloonText"/>
    <w:rsid w:val="008922F5"/>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kumonline.com" TargetMode="External"/><Relationship Id="rId13" Type="http://schemas.openxmlformats.org/officeDocument/2006/relationships/hyperlink" Target="https://mediaindonesia.com/read/detail/94007-pengawasan-hakim-perlu-diperkua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misiyudisial.go.i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misiyudisial.go.id/assets/uploads/files/Bunga-Rampai-KY-2016-ptimalisasi-Wewenang-KY-dalam-Mewujudkan-Hakim-%20Berintegritas.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komisiyudisial.go.id" TargetMode="External"/><Relationship Id="rId4" Type="http://schemas.openxmlformats.org/officeDocument/2006/relationships/settings" Target="settings.xml"/><Relationship Id="rId9" Type="http://schemas.openxmlformats.org/officeDocument/2006/relationships/hyperlink" Target="http://www.hukumonline.com"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komisiyudisial.go.id" TargetMode="External"/><Relationship Id="rId2" Type="http://schemas.openxmlformats.org/officeDocument/2006/relationships/hyperlink" Target="http://www.hukumonline.com" TargetMode="External"/><Relationship Id="rId1" Type="http://schemas.openxmlformats.org/officeDocument/2006/relationships/hyperlink" Target="http://www.hukumonline.com" TargetMode="External"/><Relationship Id="rId5" Type="http://schemas.openxmlformats.org/officeDocument/2006/relationships/hyperlink" Target="https://mediaindonesia.com/read/detail/94007-pengawasan-hakim-perlu-diperkuat" TargetMode="External"/><Relationship Id="rId4" Type="http://schemas.openxmlformats.org/officeDocument/2006/relationships/hyperlink" Target="https://www.komisiyudisial.go.id/frontend/news_detail/661/objek-pengawasan-ky-adalah-perilaku-murni-hak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9F17C-E031-4D4E-9320-9A16957CA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20</Pages>
  <Words>6511</Words>
  <Characters>37119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BAB I</vt:lpstr>
    </vt:vector>
  </TitlesOfParts>
  <Company>KIMS</Company>
  <LinksUpToDate>false</LinksUpToDate>
  <CharactersWithSpaces>43543</CharactersWithSpaces>
  <SharedDoc>false</SharedDoc>
  <HLinks>
    <vt:vector size="36" baseType="variant">
      <vt:variant>
        <vt:i4>2687100</vt:i4>
      </vt:variant>
      <vt:variant>
        <vt:i4>15</vt:i4>
      </vt:variant>
      <vt:variant>
        <vt:i4>0</vt:i4>
      </vt:variant>
      <vt:variant>
        <vt:i4>5</vt:i4>
      </vt:variant>
      <vt:variant>
        <vt:lpwstr>http://www.hukumonline.com/</vt:lpwstr>
      </vt:variant>
      <vt:variant>
        <vt:lpwstr/>
      </vt:variant>
      <vt:variant>
        <vt:i4>2687100</vt:i4>
      </vt:variant>
      <vt:variant>
        <vt:i4>12</vt:i4>
      </vt:variant>
      <vt:variant>
        <vt:i4>0</vt:i4>
      </vt:variant>
      <vt:variant>
        <vt:i4>5</vt:i4>
      </vt:variant>
      <vt:variant>
        <vt:lpwstr>http://www.hukumonline.com/</vt:lpwstr>
      </vt:variant>
      <vt:variant>
        <vt:lpwstr/>
      </vt:variant>
      <vt:variant>
        <vt:i4>5636107</vt:i4>
      </vt:variant>
      <vt:variant>
        <vt:i4>9</vt:i4>
      </vt:variant>
      <vt:variant>
        <vt:i4>0</vt:i4>
      </vt:variant>
      <vt:variant>
        <vt:i4>5</vt:i4>
      </vt:variant>
      <vt:variant>
        <vt:lpwstr>http://www.komisiyudisial.go.id/</vt:lpwstr>
      </vt:variant>
      <vt:variant>
        <vt:lpwstr/>
      </vt:variant>
      <vt:variant>
        <vt:i4>2687100</vt:i4>
      </vt:variant>
      <vt:variant>
        <vt:i4>6</vt:i4>
      </vt:variant>
      <vt:variant>
        <vt:i4>0</vt:i4>
      </vt:variant>
      <vt:variant>
        <vt:i4>5</vt:i4>
      </vt:variant>
      <vt:variant>
        <vt:lpwstr>http://www.hukumonline.com/</vt:lpwstr>
      </vt:variant>
      <vt:variant>
        <vt:lpwstr/>
      </vt:variant>
      <vt:variant>
        <vt:i4>2687100</vt:i4>
      </vt:variant>
      <vt:variant>
        <vt:i4>3</vt:i4>
      </vt:variant>
      <vt:variant>
        <vt:i4>0</vt:i4>
      </vt:variant>
      <vt:variant>
        <vt:i4>5</vt:i4>
      </vt:variant>
      <vt:variant>
        <vt:lpwstr>http://www.hukumonline.com/</vt:lpwstr>
      </vt:variant>
      <vt:variant>
        <vt:lpwstr/>
      </vt:variant>
      <vt:variant>
        <vt:i4>2883697</vt:i4>
      </vt:variant>
      <vt:variant>
        <vt:i4>0</vt:i4>
      </vt:variant>
      <vt:variant>
        <vt:i4>0</vt:i4>
      </vt:variant>
      <vt:variant>
        <vt:i4>5</vt:i4>
      </vt:variant>
      <vt:variant>
        <vt:lpwstr>http://www.google.com./hukumonline/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subject/>
  <dc:creator>AKHMAD YUDIANTO</dc:creator>
  <cp:keywords/>
  <dc:description/>
  <cp:lastModifiedBy>lenovo</cp:lastModifiedBy>
  <cp:revision>1</cp:revision>
  <cp:lastPrinted>2020-07-25T13:18:00Z</cp:lastPrinted>
  <dcterms:created xsi:type="dcterms:W3CDTF">2020-07-23T20:39:00Z</dcterms:created>
  <dcterms:modified xsi:type="dcterms:W3CDTF">2020-07-25T13:45:00Z</dcterms:modified>
</cp:coreProperties>
</file>